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2E" w:rsidP="00DC6655" w:rsidRDefault="00B07EB2">
      <w:pPr>
        <w:pStyle w:val="Geenafstand"/>
        <w:spacing w:line="276" w:lineRule="auto"/>
        <w:rPr>
          <w:b/>
        </w:rPr>
      </w:pPr>
      <w:r>
        <w:rPr>
          <w:b/>
        </w:rPr>
        <w:t>Bijlage 1</w:t>
      </w:r>
      <w:r w:rsidR="0052132E">
        <w:rPr>
          <w:b/>
        </w:rPr>
        <w:t>. - Moties en openstaande toezeggingen</w:t>
      </w:r>
    </w:p>
    <w:p w:rsidR="0052132E" w:rsidP="00DC6655" w:rsidRDefault="0052132E">
      <w:pPr>
        <w:pStyle w:val="Geenafstand"/>
        <w:spacing w:line="276" w:lineRule="auto"/>
      </w:pPr>
      <w:r>
        <w:t xml:space="preserve">Tijdens het VAO Bankensector van 21 februari 2018 en het debat over </w:t>
      </w:r>
      <w:proofErr w:type="spellStart"/>
      <w:r>
        <w:t>crypto’s</w:t>
      </w:r>
      <w:proofErr w:type="spellEnd"/>
      <w:r>
        <w:t xml:space="preserve"> van 16 mei 2018 </w:t>
      </w:r>
      <w:r w:rsidR="00C933F9">
        <w:t xml:space="preserve">is </w:t>
      </w:r>
      <w:r>
        <w:t>een aantal moties ingediend en heb ik een aant</w:t>
      </w:r>
      <w:r w:rsidR="00BB644C">
        <w:t xml:space="preserve">al toezeggingen gedaan. Hieronder geef ik een overzicht </w:t>
      </w:r>
      <w:r>
        <w:t>over hoe ik uitvoering heb gegeven aan deze moties en toezeggingen</w:t>
      </w:r>
      <w:r w:rsidR="00DE5CA4">
        <w:t>.</w:t>
      </w:r>
    </w:p>
    <w:p w:rsidR="0052132E" w:rsidP="00DC6655" w:rsidRDefault="0052132E">
      <w:pPr>
        <w:pStyle w:val="Geenafstand"/>
        <w:spacing w:line="276" w:lineRule="auto"/>
      </w:pPr>
    </w:p>
    <w:p w:rsidR="007D3837" w:rsidP="00DC6655" w:rsidRDefault="007D3837">
      <w:pPr>
        <w:pStyle w:val="Geenafstand"/>
        <w:numPr>
          <w:ilvl w:val="0"/>
          <w:numId w:val="6"/>
        </w:numPr>
        <w:spacing w:line="276" w:lineRule="auto"/>
        <w:rPr>
          <w:i/>
        </w:rPr>
      </w:pPr>
      <w:r>
        <w:rPr>
          <w:i/>
        </w:rPr>
        <w:t xml:space="preserve">Regulering in andere landen (motie </w:t>
      </w:r>
      <w:proofErr w:type="spellStart"/>
      <w:r>
        <w:rPr>
          <w:i/>
        </w:rPr>
        <w:t>Paternotte</w:t>
      </w:r>
      <w:proofErr w:type="spellEnd"/>
      <w:r>
        <w:rPr>
          <w:i/>
        </w:rPr>
        <w:t xml:space="preserve">-Van der Linde en motie </w:t>
      </w:r>
      <w:proofErr w:type="spellStart"/>
      <w:r>
        <w:rPr>
          <w:i/>
        </w:rPr>
        <w:t>Azarkan</w:t>
      </w:r>
      <w:proofErr w:type="spellEnd"/>
      <w:r>
        <w:rPr>
          <w:i/>
        </w:rPr>
        <w:t>)</w:t>
      </w:r>
    </w:p>
    <w:p w:rsidR="007D3837" w:rsidP="00DC6655" w:rsidRDefault="007D3837">
      <w:pPr>
        <w:pStyle w:val="Geenafstand"/>
        <w:spacing w:line="276" w:lineRule="auto"/>
      </w:pPr>
      <w:r>
        <w:t>In</w:t>
      </w:r>
      <w:bookmarkStart w:name="_GoBack" w:id="0"/>
      <w:bookmarkEnd w:id="0"/>
      <w:r>
        <w:t xml:space="preserve"> de motie </w:t>
      </w:r>
      <w:proofErr w:type="spellStart"/>
      <w:r>
        <w:t>Paternotte</w:t>
      </w:r>
      <w:proofErr w:type="spellEnd"/>
      <w:r>
        <w:t>-Van der Linde</w:t>
      </w:r>
      <w:r>
        <w:rPr>
          <w:rStyle w:val="Voetnootmarkering"/>
        </w:rPr>
        <w:footnoteReference w:id="1"/>
      </w:r>
      <w:r>
        <w:t xml:space="preserve"> en de motie </w:t>
      </w:r>
      <w:proofErr w:type="spellStart"/>
      <w:r>
        <w:t>Azarkan</w:t>
      </w:r>
      <w:proofErr w:type="spellEnd"/>
      <w:r>
        <w:rPr>
          <w:rStyle w:val="Voetnootmarkering"/>
        </w:rPr>
        <w:footnoteReference w:id="2"/>
      </w:r>
      <w:r>
        <w:t xml:space="preserve"> verzoekt de Kamer de regering te onderzoeken in hoeverre respectievelijk het Japanse en het Zwitserse model voor regulering van </w:t>
      </w:r>
      <w:proofErr w:type="spellStart"/>
      <w:r>
        <w:t>crypto’s</w:t>
      </w:r>
      <w:proofErr w:type="spellEnd"/>
      <w:r>
        <w:t xml:space="preserve"> als inspiratie kunnen dienen voor een Nederlands regelgevend kader. De AFM en DNB hebben deze (en andere) landen meegenomen in de analyse voor hun advies, waarmee uitvoering is gegeven aan deze moties.</w:t>
      </w:r>
    </w:p>
    <w:p w:rsidR="007D3837" w:rsidP="00DC6655" w:rsidRDefault="007D3837">
      <w:pPr>
        <w:pStyle w:val="Geenafstand"/>
        <w:spacing w:line="276" w:lineRule="auto"/>
      </w:pPr>
    </w:p>
    <w:p w:rsidR="007D3837" w:rsidP="00DC6655" w:rsidRDefault="007D3837">
      <w:pPr>
        <w:pStyle w:val="Geenafstand"/>
        <w:numPr>
          <w:ilvl w:val="0"/>
          <w:numId w:val="6"/>
        </w:numPr>
        <w:spacing w:line="276" w:lineRule="auto"/>
        <w:rPr>
          <w:i/>
        </w:rPr>
      </w:pPr>
      <w:r>
        <w:rPr>
          <w:i/>
        </w:rPr>
        <w:t xml:space="preserve">Regulering van </w:t>
      </w:r>
      <w:proofErr w:type="spellStart"/>
      <w:r>
        <w:rPr>
          <w:i/>
        </w:rPr>
        <w:t>Initial</w:t>
      </w:r>
      <w:proofErr w:type="spellEnd"/>
      <w:r>
        <w:rPr>
          <w:i/>
        </w:rPr>
        <w:t xml:space="preserve"> </w:t>
      </w:r>
      <w:proofErr w:type="spellStart"/>
      <w:r>
        <w:rPr>
          <w:i/>
        </w:rPr>
        <w:t>Coin</w:t>
      </w:r>
      <w:proofErr w:type="spellEnd"/>
      <w:r>
        <w:rPr>
          <w:i/>
        </w:rPr>
        <w:t xml:space="preserve"> </w:t>
      </w:r>
      <w:proofErr w:type="spellStart"/>
      <w:r>
        <w:rPr>
          <w:i/>
        </w:rPr>
        <w:t>Offerings</w:t>
      </w:r>
      <w:proofErr w:type="spellEnd"/>
      <w:r>
        <w:rPr>
          <w:i/>
        </w:rPr>
        <w:t xml:space="preserve"> (</w:t>
      </w:r>
      <w:proofErr w:type="spellStart"/>
      <w:r>
        <w:rPr>
          <w:i/>
        </w:rPr>
        <w:t>ICO’s</w:t>
      </w:r>
      <w:proofErr w:type="spellEnd"/>
      <w:r>
        <w:rPr>
          <w:i/>
        </w:rPr>
        <w:t>)</w:t>
      </w:r>
    </w:p>
    <w:p w:rsidRPr="007D3837" w:rsidR="007D3837" w:rsidP="00DC6655" w:rsidRDefault="007D3837">
      <w:pPr>
        <w:pStyle w:val="Geenafstand"/>
        <w:spacing w:line="276" w:lineRule="auto"/>
      </w:pPr>
      <w:r>
        <w:t xml:space="preserve">De motie </w:t>
      </w:r>
      <w:proofErr w:type="spellStart"/>
      <w:r>
        <w:t>Paternotte</w:t>
      </w:r>
      <w:proofErr w:type="spellEnd"/>
      <w:r>
        <w:t>-Van der Linde</w:t>
      </w:r>
      <w:r w:rsidR="00D77A74">
        <w:rPr>
          <w:rStyle w:val="Voetnootmarkering"/>
        </w:rPr>
        <w:footnoteReference w:id="3"/>
      </w:r>
      <w:r>
        <w:t xml:space="preserve"> verzoekt de regering om te onderzoeken hoe een regelgevend kader voor </w:t>
      </w:r>
      <w:proofErr w:type="spellStart"/>
      <w:r>
        <w:t>ICO’s</w:t>
      </w:r>
      <w:proofErr w:type="spellEnd"/>
      <w:r>
        <w:t xml:space="preserve"> kan worden vormgegeven. </w:t>
      </w:r>
      <w:r w:rsidR="00BB644C">
        <w:t>I</w:t>
      </w:r>
      <w:r w:rsidR="00E23EE0">
        <w:t xml:space="preserve">n de Kamerbrief </w:t>
      </w:r>
      <w:r w:rsidR="00BB644C">
        <w:t>is aangegeven dat</w:t>
      </w:r>
      <w:r w:rsidR="00E23EE0">
        <w:t xml:space="preserve"> de</w:t>
      </w:r>
      <w:r>
        <w:t xml:space="preserve"> AFM en</w:t>
      </w:r>
      <w:r w:rsidR="00BB644C">
        <w:t xml:space="preserve"> DNB</w:t>
      </w:r>
      <w:r>
        <w:t xml:space="preserve"> aanbevelingen </w:t>
      </w:r>
      <w:r w:rsidR="00BB644C">
        <w:t xml:space="preserve">hebben </w:t>
      </w:r>
      <w:r>
        <w:t xml:space="preserve">gedaan voor een regelgevend kader voor </w:t>
      </w:r>
      <w:proofErr w:type="spellStart"/>
      <w:r>
        <w:t>ICO’s</w:t>
      </w:r>
      <w:proofErr w:type="spellEnd"/>
      <w:r>
        <w:t xml:space="preserve">. </w:t>
      </w:r>
      <w:r w:rsidR="00BB644C">
        <w:t>In de Kamerbrief heb ik</w:t>
      </w:r>
      <w:r w:rsidR="00E23EE0">
        <w:t xml:space="preserve"> aangegeven welke acties ik ga ondernemen naar aanleiding van deze aanbevelingen. Hiermee is uitvoering gegeven aan deze motie.</w:t>
      </w:r>
      <w:r>
        <w:t xml:space="preserve"> </w:t>
      </w:r>
    </w:p>
    <w:p w:rsidRPr="007D3837" w:rsidR="007D3837" w:rsidP="00DC6655" w:rsidRDefault="007D3837">
      <w:pPr>
        <w:pStyle w:val="Geenafstand"/>
        <w:spacing w:line="276" w:lineRule="auto"/>
        <w:rPr>
          <w:i/>
        </w:rPr>
      </w:pPr>
    </w:p>
    <w:p w:rsidRPr="00B5589A" w:rsidR="0052132E" w:rsidP="00DC6655" w:rsidRDefault="0052132E">
      <w:pPr>
        <w:pStyle w:val="Geenafstand"/>
        <w:numPr>
          <w:ilvl w:val="0"/>
          <w:numId w:val="6"/>
        </w:numPr>
        <w:spacing w:line="276" w:lineRule="auto"/>
        <w:rPr>
          <w:b/>
          <w:sz w:val="16"/>
        </w:rPr>
      </w:pPr>
      <w:r w:rsidRPr="003827B3">
        <w:rPr>
          <w:i/>
        </w:rPr>
        <w:t>Bewustwording consumenten</w:t>
      </w:r>
      <w:r w:rsidR="00003F7A">
        <w:rPr>
          <w:i/>
        </w:rPr>
        <w:t xml:space="preserve"> (motie </w:t>
      </w:r>
      <w:proofErr w:type="spellStart"/>
      <w:r w:rsidR="00003F7A">
        <w:rPr>
          <w:i/>
        </w:rPr>
        <w:t>Ronnes</w:t>
      </w:r>
      <w:proofErr w:type="spellEnd"/>
      <w:r w:rsidR="00003F7A">
        <w:rPr>
          <w:i/>
        </w:rPr>
        <w:t>-Bruins)</w:t>
      </w:r>
    </w:p>
    <w:p w:rsidRPr="003827B3" w:rsidR="0052132E" w:rsidP="00DC6655" w:rsidRDefault="0052132E">
      <w:pPr>
        <w:spacing w:line="276" w:lineRule="auto"/>
      </w:pPr>
      <w:r>
        <w:t xml:space="preserve">De motie </w:t>
      </w:r>
      <w:proofErr w:type="spellStart"/>
      <w:r>
        <w:t>Ronnes</w:t>
      </w:r>
      <w:proofErr w:type="spellEnd"/>
      <w:r>
        <w:t>-Bruins</w:t>
      </w:r>
      <w:r w:rsidR="007D3837">
        <w:rPr>
          <w:rStyle w:val="Voetnootmarkering"/>
        </w:rPr>
        <w:footnoteReference w:id="4"/>
      </w:r>
      <w:r>
        <w:t xml:space="preserve"> </w:t>
      </w:r>
      <w:r w:rsidR="00FD0A35">
        <w:t>verzoekt</w:t>
      </w:r>
      <w:r>
        <w:t xml:space="preserve"> de </w:t>
      </w:r>
      <w:r w:rsidR="007D3837">
        <w:t>regering</w:t>
      </w:r>
      <w:r>
        <w:t xml:space="preserve"> om in overleg te gaan met toezichthouders en consumentenorganisaties over het creëren van bewustwording van consumenten over de kansen en risico’s van </w:t>
      </w:r>
      <w:proofErr w:type="spellStart"/>
      <w:r>
        <w:t>crypto’s</w:t>
      </w:r>
      <w:proofErr w:type="spellEnd"/>
      <w:r>
        <w:t xml:space="preserve">. In reactie hierop heb ik een aantal acties ondernomen. </w:t>
      </w:r>
      <w:r w:rsidR="00810D88">
        <w:t>Er is c</w:t>
      </w:r>
      <w:r w:rsidR="00DC6655">
        <w:t>ontact opgenomen met Wijzer in G</w:t>
      </w:r>
      <w:r w:rsidR="00810D88">
        <w:t xml:space="preserve">eldzaken. Op de </w:t>
      </w:r>
      <w:r w:rsidRPr="007C768B" w:rsidR="00810D88">
        <w:rPr>
          <w:color w:val="auto"/>
        </w:rPr>
        <w:t>website</w:t>
      </w:r>
      <w:r w:rsidR="007C768B">
        <w:t xml:space="preserve"> van Wijzer in Geldzaken</w:t>
      </w:r>
      <w:r w:rsidR="00810D88">
        <w:t xml:space="preserve"> staat een artikel</w:t>
      </w:r>
      <w:r w:rsidR="00810D88">
        <w:rPr>
          <w:rStyle w:val="Voetnootmarkering"/>
        </w:rPr>
        <w:footnoteReference w:id="5"/>
      </w:r>
      <w:r w:rsidR="00810D88">
        <w:t xml:space="preserve"> over de risico’s van beleggen in </w:t>
      </w:r>
      <w:proofErr w:type="spellStart"/>
      <w:r w:rsidR="00810D88">
        <w:t>crypto’s</w:t>
      </w:r>
      <w:proofErr w:type="spellEnd"/>
      <w:r w:rsidR="00810D88">
        <w:t xml:space="preserve">. </w:t>
      </w:r>
      <w:r>
        <w:t xml:space="preserve">Daarnaast is er met de </w:t>
      </w:r>
      <w:r w:rsidRPr="003827B3">
        <w:t xml:space="preserve">Consumentenbond </w:t>
      </w:r>
      <w:r>
        <w:t xml:space="preserve">gesproken, die </w:t>
      </w:r>
      <w:r w:rsidRPr="003827B3">
        <w:t xml:space="preserve">meermaals </w:t>
      </w:r>
      <w:r>
        <w:t xml:space="preserve">heeft </w:t>
      </w:r>
      <w:r w:rsidRPr="003827B3">
        <w:t xml:space="preserve">geïnformeerd over de risico’s van </w:t>
      </w:r>
      <w:proofErr w:type="spellStart"/>
      <w:r w:rsidRPr="003827B3">
        <w:t>crypto’s</w:t>
      </w:r>
      <w:proofErr w:type="spellEnd"/>
      <w:r w:rsidRPr="003827B3">
        <w:t>.</w:t>
      </w:r>
      <w:r w:rsidRPr="003827B3">
        <w:rPr>
          <w:rStyle w:val="Voetnootmarkering"/>
        </w:rPr>
        <w:footnoteReference w:id="6"/>
      </w:r>
      <w:r w:rsidRPr="003827B3">
        <w:t xml:space="preserve"> </w:t>
      </w:r>
      <w:r w:rsidR="007C0B15">
        <w:t xml:space="preserve">Hierbij is afgesproken dat wij </w:t>
      </w:r>
      <w:r w:rsidR="00751FDC">
        <w:t xml:space="preserve">de komende tijd </w:t>
      </w:r>
      <w:r w:rsidR="007C0B15">
        <w:t xml:space="preserve">nauw contact houden over mogelijke problemen op het gebied van consumentenbescherming. </w:t>
      </w:r>
      <w:r w:rsidR="001775D9">
        <w:rPr>
          <w:lang w:eastAsia="en-US"/>
        </w:rPr>
        <w:t xml:space="preserve">Ten slotte heeft de AFM begin dit jaar onderzoek gedaan naar het gedrag van consumenten als het gaat om </w:t>
      </w:r>
      <w:proofErr w:type="spellStart"/>
      <w:r w:rsidR="001775D9">
        <w:rPr>
          <w:lang w:eastAsia="en-US"/>
        </w:rPr>
        <w:t>crypto’s</w:t>
      </w:r>
      <w:proofErr w:type="spellEnd"/>
      <w:r w:rsidR="001775D9">
        <w:rPr>
          <w:lang w:eastAsia="en-US"/>
        </w:rPr>
        <w:t>.</w:t>
      </w:r>
      <w:r w:rsidR="001775D9">
        <w:rPr>
          <w:rStyle w:val="Voetnootmarkering"/>
        </w:rPr>
        <w:footnoteReference w:id="7"/>
      </w:r>
      <w:r w:rsidR="001775D9">
        <w:rPr>
          <w:lang w:eastAsia="en-US"/>
        </w:rPr>
        <w:t xml:space="preserve"> Eind </w:t>
      </w:r>
      <w:r w:rsidR="00FD0A35">
        <w:rPr>
          <w:lang w:eastAsia="en-US"/>
        </w:rPr>
        <w:t>2018</w:t>
      </w:r>
      <w:r w:rsidR="001775D9">
        <w:rPr>
          <w:lang w:eastAsia="en-US"/>
        </w:rPr>
        <w:t xml:space="preserve"> </w:t>
      </w:r>
      <w:r w:rsidR="00FD0A35">
        <w:rPr>
          <w:lang w:eastAsia="en-US"/>
        </w:rPr>
        <w:t>heeft</w:t>
      </w:r>
      <w:r w:rsidR="001775D9">
        <w:rPr>
          <w:lang w:eastAsia="en-US"/>
        </w:rPr>
        <w:t xml:space="preserve"> de AFM de uitkomsten van</w:t>
      </w:r>
      <w:r w:rsidR="00E94726">
        <w:rPr>
          <w:lang w:eastAsia="en-US"/>
        </w:rPr>
        <w:t xml:space="preserve"> haar</w:t>
      </w:r>
      <w:r w:rsidR="001775D9">
        <w:rPr>
          <w:lang w:eastAsia="en-US"/>
        </w:rPr>
        <w:t xml:space="preserve"> vervolgonderzoek </w:t>
      </w:r>
      <w:r w:rsidR="00FD0A35">
        <w:rPr>
          <w:lang w:eastAsia="en-US"/>
        </w:rPr>
        <w:t>gepresenteerd</w:t>
      </w:r>
      <w:r w:rsidR="001775D9">
        <w:rPr>
          <w:lang w:eastAsia="en-US"/>
        </w:rPr>
        <w:t xml:space="preserve">. Dit laatste onderzoek </w:t>
      </w:r>
      <w:r w:rsidR="00FD0A35">
        <w:rPr>
          <w:lang w:eastAsia="en-US"/>
        </w:rPr>
        <w:t>bevestig</w:t>
      </w:r>
      <w:r w:rsidR="00751FDC">
        <w:rPr>
          <w:lang w:eastAsia="en-US"/>
        </w:rPr>
        <w:t>t</w:t>
      </w:r>
      <w:r w:rsidR="00FD0A35">
        <w:rPr>
          <w:lang w:eastAsia="en-US"/>
        </w:rPr>
        <w:t xml:space="preserve"> het eerdere beeld</w:t>
      </w:r>
      <w:r w:rsidR="001775D9">
        <w:rPr>
          <w:lang w:eastAsia="en-US"/>
        </w:rPr>
        <w:t xml:space="preserve"> dat verreweg de meeste Nederlanders die in </w:t>
      </w:r>
      <w:proofErr w:type="spellStart"/>
      <w:r w:rsidR="001775D9">
        <w:rPr>
          <w:lang w:eastAsia="en-US"/>
        </w:rPr>
        <w:t>crypto’s</w:t>
      </w:r>
      <w:proofErr w:type="spellEnd"/>
      <w:r w:rsidR="001775D9">
        <w:rPr>
          <w:lang w:eastAsia="en-US"/>
        </w:rPr>
        <w:t xml:space="preserve"> hebben geïnvesteerd, dit met </w:t>
      </w:r>
      <w:r w:rsidR="00BB644C">
        <w:rPr>
          <w:lang w:eastAsia="en-US"/>
        </w:rPr>
        <w:t>geld hebben gedaan dat ze</w:t>
      </w:r>
      <w:r w:rsidR="001775D9">
        <w:rPr>
          <w:lang w:eastAsia="en-US"/>
        </w:rPr>
        <w:t xml:space="preserve"> kunnen missen. Zo’n 95% van hen meldt niet in de financiële problemen te raken als hun crypto-bezit zou verdampen. De AFM heeft de afgelopen jaren consumenten met regelmaat gewaarschuwd voor de grote risico’s die er verbonden zijn aan het speculeren met </w:t>
      </w:r>
      <w:proofErr w:type="spellStart"/>
      <w:r w:rsidR="001775D9">
        <w:rPr>
          <w:lang w:eastAsia="en-US"/>
        </w:rPr>
        <w:t>crypto’s</w:t>
      </w:r>
      <w:proofErr w:type="spellEnd"/>
      <w:r w:rsidR="001775D9">
        <w:rPr>
          <w:lang w:eastAsia="en-US"/>
        </w:rPr>
        <w:t xml:space="preserve"> en hen gewezen op het feit dat </w:t>
      </w:r>
      <w:proofErr w:type="spellStart"/>
      <w:r w:rsidR="001775D9">
        <w:rPr>
          <w:lang w:eastAsia="en-US"/>
        </w:rPr>
        <w:t>crypto’s</w:t>
      </w:r>
      <w:proofErr w:type="spellEnd"/>
      <w:r w:rsidR="001775D9">
        <w:rPr>
          <w:lang w:eastAsia="en-US"/>
        </w:rPr>
        <w:t xml:space="preserve"> niet onder </w:t>
      </w:r>
      <w:proofErr w:type="spellStart"/>
      <w:r w:rsidR="00C933F9">
        <w:rPr>
          <w:lang w:eastAsia="en-US"/>
        </w:rPr>
        <w:t>Wft</w:t>
      </w:r>
      <w:proofErr w:type="spellEnd"/>
      <w:r w:rsidR="00C933F9">
        <w:rPr>
          <w:lang w:eastAsia="en-US"/>
        </w:rPr>
        <w:t>-</w:t>
      </w:r>
      <w:r w:rsidR="001775D9">
        <w:rPr>
          <w:lang w:eastAsia="en-US"/>
        </w:rPr>
        <w:t>toezicht staan. Van de crypto-bezitters zegt 80% bekend te zijn met de waarschuwingen die de AFM heeft gepubliceerd.</w:t>
      </w:r>
    </w:p>
    <w:p w:rsidR="0052132E" w:rsidP="00DC6655" w:rsidRDefault="0052132E">
      <w:pPr>
        <w:pStyle w:val="Geenafstand"/>
        <w:spacing w:line="276" w:lineRule="auto"/>
        <w:rPr>
          <w:i/>
        </w:rPr>
      </w:pPr>
    </w:p>
    <w:p w:rsidRPr="00B5589A" w:rsidR="0052132E" w:rsidP="00DC6655" w:rsidRDefault="0052132E">
      <w:pPr>
        <w:pStyle w:val="Geenafstand"/>
        <w:numPr>
          <w:ilvl w:val="0"/>
          <w:numId w:val="6"/>
        </w:numPr>
        <w:spacing w:line="276" w:lineRule="auto"/>
        <w:rPr>
          <w:b/>
        </w:rPr>
      </w:pPr>
      <w:r>
        <w:rPr>
          <w:i/>
        </w:rPr>
        <w:t xml:space="preserve">Kopen van </w:t>
      </w:r>
      <w:proofErr w:type="spellStart"/>
      <w:r>
        <w:rPr>
          <w:i/>
        </w:rPr>
        <w:t>crypto’s</w:t>
      </w:r>
      <w:proofErr w:type="spellEnd"/>
      <w:r>
        <w:rPr>
          <w:i/>
        </w:rPr>
        <w:t xml:space="preserve"> met cr</w:t>
      </w:r>
      <w:r w:rsidR="00451C06">
        <w:rPr>
          <w:i/>
        </w:rPr>
        <w:t>editcard (motie Nijboer-</w:t>
      </w:r>
      <w:proofErr w:type="spellStart"/>
      <w:r w:rsidR="00451C06">
        <w:rPr>
          <w:i/>
        </w:rPr>
        <w:t>Ronnes</w:t>
      </w:r>
      <w:proofErr w:type="spellEnd"/>
      <w:r w:rsidR="00451C06">
        <w:rPr>
          <w:i/>
        </w:rPr>
        <w:t>)</w:t>
      </w:r>
    </w:p>
    <w:p w:rsidR="0052132E" w:rsidP="00DC6655" w:rsidRDefault="0052132E">
      <w:pPr>
        <w:pStyle w:val="Geenafstand"/>
        <w:spacing w:line="276" w:lineRule="auto"/>
      </w:pPr>
      <w:r>
        <w:t xml:space="preserve">In de Verenigde Staten </w:t>
      </w:r>
      <w:r w:rsidR="00C933F9">
        <w:t xml:space="preserve">heeft </w:t>
      </w:r>
      <w:r>
        <w:t xml:space="preserve">een aantal banken zelfstandig actie ondernomen om te voorkomen dat klanten </w:t>
      </w:r>
      <w:proofErr w:type="spellStart"/>
      <w:r>
        <w:t>crypto</w:t>
      </w:r>
      <w:r w:rsidR="00C933F9">
        <w:t>’s</w:t>
      </w:r>
      <w:proofErr w:type="spellEnd"/>
      <w:r>
        <w:t xml:space="preserve"> met creditcards kunnen kopen, om zo te voorkomen dat zij met geleend geld speculeren met </w:t>
      </w:r>
      <w:proofErr w:type="spellStart"/>
      <w:r>
        <w:t>crypto</w:t>
      </w:r>
      <w:r w:rsidR="00C933F9">
        <w:t>’s</w:t>
      </w:r>
      <w:proofErr w:type="spellEnd"/>
      <w:r>
        <w:t xml:space="preserve"> en onnodige kredietrisico’s lopen. Naar aanleiding van de motie Nijboer-</w:t>
      </w:r>
      <w:proofErr w:type="spellStart"/>
      <w:r>
        <w:t>Ronnes</w:t>
      </w:r>
      <w:proofErr w:type="spellEnd"/>
      <w:r w:rsidR="007D3837">
        <w:rPr>
          <w:rStyle w:val="Voetnootmarkering"/>
        </w:rPr>
        <w:footnoteReference w:id="8"/>
      </w:r>
      <w:r>
        <w:t xml:space="preserve">, ingediend bij het VAO Bankensector, </w:t>
      </w:r>
      <w:r w:rsidR="00751FDC">
        <w:t xml:space="preserve">heb </w:t>
      </w:r>
      <w:r>
        <w:t>ik met creditcardmaatschappijen en de toezichthouders bespr</w:t>
      </w:r>
      <w:r w:rsidR="00751FDC">
        <w:t>o</w:t>
      </w:r>
      <w:r>
        <w:t>ken of dergelijke maatregelen</w:t>
      </w:r>
      <w:r w:rsidR="007D3837">
        <w:t xml:space="preserve"> in Nederland ook mogelijk zijn.</w:t>
      </w:r>
      <w:r>
        <w:t xml:space="preserve"> </w:t>
      </w:r>
      <w:r w:rsidR="00373C9B">
        <w:t>Hieruit</w:t>
      </w:r>
      <w:r>
        <w:t xml:space="preserve"> </w:t>
      </w:r>
      <w:r w:rsidR="00373C9B">
        <w:t xml:space="preserve">blijkt </w:t>
      </w:r>
      <w:r>
        <w:t xml:space="preserve">dat dit risico op dit moment in Nederland niet aan de orde is en dat er geen noodzaak is voor ingrijpen. Nederlandse creditcards werken anders dan Amerikaanse kaarten. Bij meer dan 90% van de in Nederland uitgegeven creditcards wordt elke maand het saldo afgeschreven en vindt van tevoren een gedegen kredietwaardigheidsonderzoek plaats. Daarnaast blijkt uit recent onderzoek </w:t>
      </w:r>
      <w:r>
        <w:lastRenderedPageBreak/>
        <w:t xml:space="preserve">van de AFM dat weliswaar 23% van de Nederlanders die </w:t>
      </w:r>
      <w:proofErr w:type="spellStart"/>
      <w:r>
        <w:t>crypto’s</w:t>
      </w:r>
      <w:proofErr w:type="spellEnd"/>
      <w:r>
        <w:t xml:space="preserve"> hebben gekocht dit middels een creditcard hebben gedaan, maar dat 95% van hen de creditcardrekening in één keer heeft voldaan. Desalniettemin zullen de toezichthouders de situatie in de toekomst in de gaten blijven houden.</w:t>
      </w:r>
      <w:r w:rsidR="00E23EE0">
        <w:t xml:space="preserve"> </w:t>
      </w:r>
    </w:p>
    <w:p w:rsidR="0052132E" w:rsidP="00DC6655" w:rsidRDefault="0052132E">
      <w:pPr>
        <w:pStyle w:val="Geenafstand"/>
        <w:spacing w:line="276" w:lineRule="auto"/>
      </w:pPr>
    </w:p>
    <w:p w:rsidRPr="00B5589A" w:rsidR="00FD21B2" w:rsidP="00DC6655" w:rsidRDefault="00FD21B2">
      <w:pPr>
        <w:pStyle w:val="Geenafstand"/>
        <w:numPr>
          <w:ilvl w:val="0"/>
          <w:numId w:val="6"/>
        </w:numPr>
        <w:spacing w:line="276" w:lineRule="auto"/>
        <w:rPr>
          <w:b/>
          <w:u w:val="single"/>
        </w:rPr>
      </w:pPr>
      <w:r>
        <w:rPr>
          <w:i/>
        </w:rPr>
        <w:t>Energieverbru</w:t>
      </w:r>
      <w:r w:rsidR="00E528D4">
        <w:rPr>
          <w:i/>
        </w:rPr>
        <w:t xml:space="preserve">ik van (het </w:t>
      </w:r>
      <w:proofErr w:type="spellStart"/>
      <w:r w:rsidR="00E528D4">
        <w:rPr>
          <w:i/>
        </w:rPr>
        <w:t>minen</w:t>
      </w:r>
      <w:proofErr w:type="spellEnd"/>
      <w:r w:rsidR="00E528D4">
        <w:rPr>
          <w:i/>
        </w:rPr>
        <w:t xml:space="preserve"> van) </w:t>
      </w:r>
      <w:proofErr w:type="spellStart"/>
      <w:r w:rsidR="00E528D4">
        <w:rPr>
          <w:i/>
        </w:rPr>
        <w:t>crypto’s</w:t>
      </w:r>
      <w:proofErr w:type="spellEnd"/>
    </w:p>
    <w:p w:rsidR="00C933F9" w:rsidP="00DC6655" w:rsidRDefault="00FD21B2">
      <w:pPr>
        <w:pStyle w:val="Geenafstand"/>
        <w:spacing w:line="276" w:lineRule="auto"/>
      </w:pPr>
      <w:r>
        <w:t xml:space="preserve">In het debat over </w:t>
      </w:r>
      <w:proofErr w:type="spellStart"/>
      <w:r>
        <w:t>crypto’s</w:t>
      </w:r>
      <w:proofErr w:type="spellEnd"/>
      <w:r>
        <w:t xml:space="preserve"> van 16 mei 2018 kwam het energieverbruik van </w:t>
      </w:r>
      <w:proofErr w:type="spellStart"/>
      <w:r>
        <w:t>crypto’s</w:t>
      </w:r>
      <w:proofErr w:type="spellEnd"/>
      <w:r>
        <w:t xml:space="preserve"> aan de orde. Met name het ‘</w:t>
      </w:r>
      <w:proofErr w:type="spellStart"/>
      <w:r w:rsidRPr="003827B3">
        <w:rPr>
          <w:i/>
        </w:rPr>
        <w:t>minen</w:t>
      </w:r>
      <w:proofErr w:type="spellEnd"/>
      <w:r>
        <w:rPr>
          <w:i/>
        </w:rPr>
        <w:t>’</w:t>
      </w:r>
      <w:r>
        <w:t xml:space="preserve"> van </w:t>
      </w:r>
      <w:proofErr w:type="spellStart"/>
      <w:r>
        <w:t>crypto’s</w:t>
      </w:r>
      <w:proofErr w:type="spellEnd"/>
      <w:r>
        <w:t xml:space="preserve"> kost veel energie, vanwege de grote computerkracht die hiervoor nodig is. In het debat heb ik </w:t>
      </w:r>
      <w:r w:rsidR="00EE09BB">
        <w:t xml:space="preserve">de leden Nijboer (PvdA) en </w:t>
      </w:r>
      <w:proofErr w:type="spellStart"/>
      <w:r w:rsidR="00EE09BB">
        <w:t>Ronnes</w:t>
      </w:r>
      <w:proofErr w:type="spellEnd"/>
      <w:r w:rsidR="00EE09BB">
        <w:t xml:space="preserve"> (CDA) </w:t>
      </w:r>
      <w:r>
        <w:t>toegezegd om het energieverbruik onder de aandacht van de minister van Economische Zaken en Klimaat te brengen en om te bekijken of het bijvoorbeeld aan de Industrietafel van het Klimaatak</w:t>
      </w:r>
      <w:r w:rsidR="00CA3844">
        <w:t>koord besproken kon worden. De s</w:t>
      </w:r>
      <w:r>
        <w:t>taatssecretaris van Economische Zaken en Klimaat heeft in beantwoording op eerdere Kamervragen aangegeven dat</w:t>
      </w:r>
      <w:r w:rsidR="00E528D4">
        <w:t xml:space="preserve"> het energieverbruik benodigd voor</w:t>
      </w:r>
      <w:r>
        <w:t xml:space="preserve"> </w:t>
      </w:r>
      <w:proofErr w:type="spellStart"/>
      <w:r>
        <w:t>miningactiviteiten</w:t>
      </w:r>
      <w:proofErr w:type="spellEnd"/>
      <w:r>
        <w:t xml:space="preserve"> die in Nederlandse datacenters plaatsvinden gebonden zijn aan de geldende energiebesparingswetgeving en aan energiebesparingsconvenanten (zoals het MJA3-convenant).</w:t>
      </w:r>
      <w:r>
        <w:rPr>
          <w:rStyle w:val="Voetnootmarkering"/>
        </w:rPr>
        <w:footnoteReference w:id="9"/>
      </w:r>
      <w:r>
        <w:t xml:space="preserve"> De Staatssecretaris heeft in haar beantwoording verder aangegeven dat verdere acties niet nodig zijn, met name omdat het overgrote deel van de </w:t>
      </w:r>
      <w:proofErr w:type="spellStart"/>
      <w:r>
        <w:t>miningactiviteiten</w:t>
      </w:r>
      <w:proofErr w:type="spellEnd"/>
      <w:r>
        <w:t xml:space="preserve"> buiten Nederland p</w:t>
      </w:r>
      <w:r w:rsidR="00BB644C">
        <w:t>laats vindt.</w:t>
      </w:r>
    </w:p>
    <w:p w:rsidRPr="00BB644C" w:rsidR="00BB644C" w:rsidP="00DC6655" w:rsidRDefault="00BB644C">
      <w:pPr>
        <w:pStyle w:val="Geenafstand"/>
        <w:spacing w:line="276" w:lineRule="auto"/>
      </w:pPr>
    </w:p>
    <w:p w:rsidRPr="00A128A1" w:rsidR="003C2320" w:rsidP="00DC6655" w:rsidRDefault="003C2320">
      <w:pPr>
        <w:pStyle w:val="Lijstalinea"/>
        <w:numPr>
          <w:ilvl w:val="0"/>
          <w:numId w:val="6"/>
        </w:numPr>
        <w:spacing w:line="276" w:lineRule="auto"/>
        <w:rPr>
          <w:i/>
        </w:rPr>
      </w:pPr>
      <w:r w:rsidRPr="00A128A1">
        <w:rPr>
          <w:i/>
        </w:rPr>
        <w:t>Kabinetsbrede digitaliseringstrategie</w:t>
      </w:r>
      <w:r w:rsidRPr="00A128A1" w:rsidR="006223AE">
        <w:rPr>
          <w:i/>
        </w:rPr>
        <w:t xml:space="preserve"> </w:t>
      </w:r>
    </w:p>
    <w:p w:rsidRPr="003C2320" w:rsidR="001775D9" w:rsidP="00DC6655" w:rsidRDefault="001775D9">
      <w:pPr>
        <w:autoSpaceDN/>
        <w:spacing w:after="200" w:line="276" w:lineRule="auto"/>
        <w:textAlignment w:val="auto"/>
      </w:pPr>
      <w:r>
        <w:t xml:space="preserve">In het debat heb ik tevens toegezegd om de staatssecretaris van Economische Zaken en </w:t>
      </w:r>
      <w:r w:rsidR="00CA3844">
        <w:t>Klimaat te</w:t>
      </w:r>
      <w:r>
        <w:t xml:space="preserve"> informeren over de wens van </w:t>
      </w:r>
      <w:r w:rsidR="00EE09BB">
        <w:t>het lid</w:t>
      </w:r>
      <w:r>
        <w:t xml:space="preserve"> Snels (GroenLinks) om in </w:t>
      </w:r>
      <w:r w:rsidRPr="005C7E97">
        <w:t>de kabinetsbrede digitalisering</w:t>
      </w:r>
      <w:r w:rsidR="00CA3844">
        <w:t>-</w:t>
      </w:r>
      <w:r w:rsidRPr="005C7E97">
        <w:t>strategie in te gaan op de rol van de overheid</w:t>
      </w:r>
      <w:r>
        <w:t xml:space="preserve"> in het kader van het reguleren en, met name, het stimuleren van de blockchaintechnologie. De Nederlandse Digitaliseringsstrategie zoals gepubliceerd in juni jl. gaat uitgebreid i</w:t>
      </w:r>
      <w:r w:rsidR="00491A16">
        <w:t>n op de blockchaintechnologie en de Nederlandse inzet hierop,</w:t>
      </w:r>
      <w:r>
        <w:t xml:space="preserve"> zoals het initiatief tot de Dutch Blockchain </w:t>
      </w:r>
      <w:proofErr w:type="spellStart"/>
      <w:r>
        <w:t>Coalition</w:t>
      </w:r>
      <w:proofErr w:type="spellEnd"/>
      <w:r>
        <w:t>.</w:t>
      </w:r>
      <w:r>
        <w:rPr>
          <w:rStyle w:val="Voetnootmarkering"/>
        </w:rPr>
        <w:footnoteReference w:id="10"/>
      </w:r>
      <w:r>
        <w:t xml:space="preserve"> In maart 2019 zal het kabinet, in samenwerking met o</w:t>
      </w:r>
      <w:r w:rsidR="00C933F9">
        <w:t xml:space="preserve">nder </w:t>
      </w:r>
      <w:r>
        <w:t>a</w:t>
      </w:r>
      <w:r w:rsidR="00C933F9">
        <w:t>ndere</w:t>
      </w:r>
      <w:r>
        <w:t xml:space="preserve"> kennisinstellingen, bedrijfsleven en wetenschap, een digitale top organiseren waarbij wordt ingegaan op de stand van zaken rondom de digitaliseringsstrategie en de vervolgacties die daaruit voortvloeien.  </w:t>
      </w:r>
    </w:p>
    <w:p w:rsidRPr="00B5589A" w:rsidR="0052132E" w:rsidP="00DC6655" w:rsidRDefault="0052132E">
      <w:pPr>
        <w:pStyle w:val="Geenafstand"/>
        <w:numPr>
          <w:ilvl w:val="0"/>
          <w:numId w:val="6"/>
        </w:numPr>
        <w:spacing w:line="276" w:lineRule="auto"/>
        <w:rPr>
          <w:b/>
        </w:rPr>
      </w:pPr>
      <w:r>
        <w:rPr>
          <w:i/>
        </w:rPr>
        <w:t>Piramidespelen</w:t>
      </w:r>
    </w:p>
    <w:p w:rsidR="0052132E" w:rsidP="00DC6655" w:rsidRDefault="0052132E">
      <w:pPr>
        <w:pStyle w:val="Geenafstand"/>
        <w:spacing w:line="276" w:lineRule="auto"/>
        <w:rPr>
          <w:b/>
          <w:u w:val="single"/>
        </w:rPr>
      </w:pPr>
      <w:r>
        <w:t xml:space="preserve">In het debat uitte </w:t>
      </w:r>
      <w:r w:rsidR="00EE09BB">
        <w:t xml:space="preserve">het lid Nijboer (PvdA) </w:t>
      </w:r>
      <w:r>
        <w:t xml:space="preserve">zorgen over het aantal piramidespelen rondom </w:t>
      </w:r>
      <w:proofErr w:type="spellStart"/>
      <w:r>
        <w:t>crypto’s</w:t>
      </w:r>
      <w:proofErr w:type="spellEnd"/>
      <w:r>
        <w:t xml:space="preserve">. Ik heb hierbij toegezegd om bij de Nederlandse Kansspelautoriteit (KSA), die verantwoordelijk is voor de aanpak van piramidespelen, onder de aandacht te brengen dat ik op de hoogte gehouden wil worden over piramidespelen waarbij </w:t>
      </w:r>
      <w:proofErr w:type="spellStart"/>
      <w:r>
        <w:t>crypto’s</w:t>
      </w:r>
      <w:proofErr w:type="spellEnd"/>
      <w:r>
        <w:t xml:space="preserve"> een rol hebben. De KSA heeft </w:t>
      </w:r>
      <w:r w:rsidR="00751FDC">
        <w:t>daarop</w:t>
      </w:r>
      <w:r>
        <w:t xml:space="preserve"> aangegeven </w:t>
      </w:r>
      <w:proofErr w:type="spellStart"/>
      <w:r>
        <w:t>crypto’s</w:t>
      </w:r>
      <w:proofErr w:type="spellEnd"/>
      <w:r>
        <w:t xml:space="preserve"> mee te nemen bij de algehele monitoring van mog</w:t>
      </w:r>
      <w:r w:rsidR="00E94726">
        <w:t>elijke piramidespelen. G</w:t>
      </w:r>
      <w:r>
        <w:t xml:space="preserve">ezien het geringe aantal meldingen bij de KSA over piramidespelen rondom </w:t>
      </w:r>
      <w:proofErr w:type="spellStart"/>
      <w:r>
        <w:t>crypto’s</w:t>
      </w:r>
      <w:proofErr w:type="spellEnd"/>
      <w:r>
        <w:t xml:space="preserve"> lijkt er </w:t>
      </w:r>
      <w:r w:rsidR="00E94726">
        <w:t>op dit moment</w:t>
      </w:r>
      <w:r w:rsidR="00C933F9">
        <w:t xml:space="preserve"> </w:t>
      </w:r>
      <w:r>
        <w:t>geen groot probleem te bestaan op dit punt.</w:t>
      </w:r>
    </w:p>
    <w:p w:rsidR="0052132E" w:rsidP="00DC6655" w:rsidRDefault="0052132E">
      <w:pPr>
        <w:pStyle w:val="Geenafstand"/>
        <w:spacing w:line="276" w:lineRule="auto"/>
      </w:pPr>
    </w:p>
    <w:p w:rsidRPr="005A3C94" w:rsidR="0052132E" w:rsidP="00DC6655" w:rsidRDefault="0052132E">
      <w:pPr>
        <w:pStyle w:val="Geenafstand"/>
        <w:numPr>
          <w:ilvl w:val="0"/>
          <w:numId w:val="6"/>
        </w:numPr>
        <w:spacing w:line="276" w:lineRule="auto"/>
        <w:rPr>
          <w:b/>
          <w:u w:val="single"/>
        </w:rPr>
      </w:pPr>
      <w:r>
        <w:rPr>
          <w:i/>
        </w:rPr>
        <w:t xml:space="preserve">Belastingheffing </w:t>
      </w:r>
      <w:proofErr w:type="spellStart"/>
      <w:r>
        <w:rPr>
          <w:i/>
        </w:rPr>
        <w:t>crypto’s</w:t>
      </w:r>
      <w:proofErr w:type="spellEnd"/>
    </w:p>
    <w:p w:rsidRPr="00864B2A" w:rsidR="00994710" w:rsidP="00DC6655" w:rsidRDefault="00994710">
      <w:pPr>
        <w:pStyle w:val="Geenafstand"/>
        <w:spacing w:line="276" w:lineRule="auto"/>
        <w:rPr>
          <w:b/>
          <w:u w:val="single"/>
        </w:rPr>
      </w:pPr>
      <w:r>
        <w:t xml:space="preserve">De belastingheffing over </w:t>
      </w:r>
      <w:proofErr w:type="spellStart"/>
      <w:r>
        <w:t>crypto’s</w:t>
      </w:r>
      <w:proofErr w:type="spellEnd"/>
      <w:r>
        <w:t xml:space="preserve"> kwam eveneens aan de orde in het debat. </w:t>
      </w:r>
      <w:r w:rsidR="00EE09BB">
        <w:t xml:space="preserve">Het lid </w:t>
      </w:r>
      <w:proofErr w:type="spellStart"/>
      <w:r w:rsidR="00EE09BB">
        <w:t>Ronnes</w:t>
      </w:r>
      <w:proofErr w:type="spellEnd"/>
      <w:r w:rsidR="00EE09BB">
        <w:t xml:space="preserve"> (CDA)</w:t>
      </w:r>
      <w:r>
        <w:t xml:space="preserve"> uitte</w:t>
      </w:r>
      <w:r w:rsidR="00751FDC">
        <w:t xml:space="preserve"> hierover</w:t>
      </w:r>
      <w:r>
        <w:t xml:space="preserve"> zorgen gezien het vaak anonieme karakter van </w:t>
      </w:r>
      <w:proofErr w:type="spellStart"/>
      <w:r>
        <w:t>crypto’s</w:t>
      </w:r>
      <w:proofErr w:type="spellEnd"/>
      <w:r w:rsidR="0061031C">
        <w:t>. Ik heb dit bij de s</w:t>
      </w:r>
      <w:r>
        <w:t xml:space="preserve">taatssecretaris van Financiën onder de aandacht gebracht. </w:t>
      </w:r>
      <w:r w:rsidRPr="00864B2A">
        <w:t xml:space="preserve">De Belastingdienst heeft de afgelopen periode informatie op belastingdienst.nl aangepast om particulieren en ondernemers beter te informeren over de wijze waarop </w:t>
      </w:r>
      <w:proofErr w:type="spellStart"/>
      <w:r w:rsidRPr="00864B2A">
        <w:t>crypto</w:t>
      </w:r>
      <w:r w:rsidR="00C933F9">
        <w:t>’s</w:t>
      </w:r>
      <w:proofErr w:type="spellEnd"/>
      <w:r w:rsidRPr="00864B2A">
        <w:t xml:space="preserve"> in de aangifte opgenomen dien</w:t>
      </w:r>
      <w:r w:rsidR="00751FDC">
        <w:t>en</w:t>
      </w:r>
      <w:r w:rsidRPr="00864B2A">
        <w:t xml:space="preserve"> te worden. </w:t>
      </w:r>
      <w:proofErr w:type="spellStart"/>
      <w:r w:rsidRPr="00864B2A">
        <w:t>C</w:t>
      </w:r>
      <w:r w:rsidR="00530416">
        <w:t>rypto’s</w:t>
      </w:r>
      <w:proofErr w:type="spellEnd"/>
      <w:r w:rsidRPr="00864B2A">
        <w:t xml:space="preserve"> zijn door de onderliggende techniek en het ontbreken van structurele (internationale) gegevensuitwisseling minder transparant dan reguliere financiële producten. Om het inzicht </w:t>
      </w:r>
      <w:r w:rsidR="00530416">
        <w:t xml:space="preserve">in </w:t>
      </w:r>
      <w:proofErr w:type="spellStart"/>
      <w:r w:rsidR="00530416">
        <w:t>crypto’s</w:t>
      </w:r>
      <w:proofErr w:type="spellEnd"/>
      <w:r w:rsidRPr="00864B2A">
        <w:t xml:space="preserve"> te verbeteren heeft de Belastingdienst (controle)medewerkers opgeleid en worden technische middelen verder ontwikkeld. De Belastingdienst blijft de controle- en opsporings</w:t>
      </w:r>
      <w:r w:rsidR="00530416">
        <w:t xml:space="preserve">vaardigheden rondom </w:t>
      </w:r>
      <w:proofErr w:type="spellStart"/>
      <w:r w:rsidR="00530416">
        <w:t>crypto’s</w:t>
      </w:r>
      <w:proofErr w:type="spellEnd"/>
      <w:r w:rsidRPr="00864B2A">
        <w:t xml:space="preserve"> waar nodig verbeteren. </w:t>
      </w:r>
    </w:p>
    <w:p w:rsidR="0052132E" w:rsidP="00DC6655" w:rsidRDefault="0052132E">
      <w:pPr>
        <w:pStyle w:val="Geenafstand"/>
        <w:spacing w:line="276" w:lineRule="auto"/>
      </w:pPr>
    </w:p>
    <w:p w:rsidRPr="00B5589A" w:rsidR="0052132E" w:rsidP="00DC6655" w:rsidRDefault="0052132E">
      <w:pPr>
        <w:pStyle w:val="Geenafstand"/>
        <w:numPr>
          <w:ilvl w:val="0"/>
          <w:numId w:val="6"/>
        </w:numPr>
        <w:spacing w:line="276" w:lineRule="auto"/>
        <w:rPr>
          <w:b/>
        </w:rPr>
      </w:pPr>
      <w:r>
        <w:rPr>
          <w:i/>
        </w:rPr>
        <w:t>Centrale bank digitaal geld</w:t>
      </w:r>
    </w:p>
    <w:p w:rsidR="007C768B" w:rsidP="00DC6655" w:rsidRDefault="0052132E">
      <w:pPr>
        <w:spacing w:line="276" w:lineRule="auto"/>
      </w:pPr>
      <w:r>
        <w:t>Ten</w:t>
      </w:r>
      <w:r w:rsidR="00751FDC">
        <w:t xml:space="preserve"> </w:t>
      </w:r>
      <w:r>
        <w:t xml:space="preserve">slotte kwam </w:t>
      </w:r>
      <w:r>
        <w:rPr>
          <w:i/>
        </w:rPr>
        <w:t xml:space="preserve">Central Bank Digital </w:t>
      </w:r>
      <w:proofErr w:type="spellStart"/>
      <w:r>
        <w:rPr>
          <w:i/>
        </w:rPr>
        <w:t>Currency</w:t>
      </w:r>
      <w:proofErr w:type="spellEnd"/>
      <w:r>
        <w:rPr>
          <w:i/>
        </w:rPr>
        <w:t xml:space="preserve"> </w:t>
      </w:r>
      <w:r>
        <w:t>(CBDC, centrale bank digitaal geld) aan de orde.</w:t>
      </w:r>
      <w:r w:rsidR="006223AE">
        <w:t xml:space="preserve"> </w:t>
      </w:r>
      <w:r w:rsidR="00EE09BB">
        <w:t xml:space="preserve">Het lid </w:t>
      </w:r>
      <w:proofErr w:type="spellStart"/>
      <w:r w:rsidR="00EE09BB">
        <w:t>Alkaya</w:t>
      </w:r>
      <w:proofErr w:type="spellEnd"/>
      <w:r w:rsidR="00EE09BB">
        <w:t xml:space="preserve"> (SP)</w:t>
      </w:r>
      <w:r w:rsidR="006223AE">
        <w:t xml:space="preserve"> vroeg mij over de mogelijkheden van een door de overheid uitgegeven digitale munt. Daarnaast </w:t>
      </w:r>
      <w:r w:rsidR="00EE09BB">
        <w:t>heeft hij</w:t>
      </w:r>
      <w:r>
        <w:t xml:space="preserve"> mij verzocht om, indien mogelijk, in deze brief al in te gaan op de </w:t>
      </w:r>
      <w:r>
        <w:lastRenderedPageBreak/>
        <w:t xml:space="preserve">uitkomsten van het onderzoek dat de Wetenschappelijke Raad voor Regeringsbeleid (WRR) over nieuwe vormen van geld, waarin CBDC ook wordt meegenomen. </w:t>
      </w:r>
      <w:r w:rsidR="00097452">
        <w:t>Op 17 januari 2019 is het onderzoek van de WRR gepresenteerd</w:t>
      </w:r>
      <w:r>
        <w:t>.</w:t>
      </w:r>
      <w:r w:rsidR="006223AE">
        <w:t xml:space="preserve"> Ik zal in de kabinetsreactie op dit rapport verder ingaan op de vragen over een door de overheid uitgegeven digitale munt.</w:t>
      </w:r>
    </w:p>
    <w:sectPr w:rsidR="007C76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32E" w:rsidRDefault="0052132E" w:rsidP="0052132E">
      <w:pPr>
        <w:spacing w:line="240" w:lineRule="auto"/>
      </w:pPr>
      <w:r>
        <w:separator/>
      </w:r>
    </w:p>
  </w:endnote>
  <w:endnote w:type="continuationSeparator" w:id="0">
    <w:p w:rsidR="0052132E" w:rsidRDefault="0052132E" w:rsidP="00521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2E" w:rsidRDefault="005213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2E" w:rsidRDefault="005213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2E" w:rsidRDefault="005213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32E" w:rsidRDefault="0052132E" w:rsidP="0052132E">
      <w:pPr>
        <w:spacing w:line="240" w:lineRule="auto"/>
      </w:pPr>
      <w:r>
        <w:separator/>
      </w:r>
    </w:p>
  </w:footnote>
  <w:footnote w:type="continuationSeparator" w:id="0">
    <w:p w:rsidR="0052132E" w:rsidRDefault="0052132E" w:rsidP="0052132E">
      <w:pPr>
        <w:spacing w:line="240" w:lineRule="auto"/>
      </w:pPr>
      <w:r>
        <w:continuationSeparator/>
      </w:r>
    </w:p>
  </w:footnote>
  <w:footnote w:id="1">
    <w:p w:rsidR="007D3837" w:rsidRPr="007D3837" w:rsidRDefault="007D3837">
      <w:pPr>
        <w:pStyle w:val="Voetnoottekst"/>
        <w:rPr>
          <w:sz w:val="14"/>
        </w:rPr>
      </w:pPr>
      <w:r w:rsidRPr="007D3837">
        <w:rPr>
          <w:rStyle w:val="Voetnootmarkering"/>
          <w:sz w:val="14"/>
        </w:rPr>
        <w:footnoteRef/>
      </w:r>
      <w:r>
        <w:rPr>
          <w:sz w:val="14"/>
        </w:rPr>
        <w:t xml:space="preserve"> Kamerstukken II</w:t>
      </w:r>
      <w:r w:rsidRPr="007D3837">
        <w:rPr>
          <w:sz w:val="14"/>
        </w:rPr>
        <w:t xml:space="preserve"> 2017-2018, 32 013, nr. 191</w:t>
      </w:r>
    </w:p>
  </w:footnote>
  <w:footnote w:id="2">
    <w:p w:rsidR="007D3837" w:rsidRDefault="007D3837">
      <w:pPr>
        <w:pStyle w:val="Voetnoottekst"/>
      </w:pPr>
      <w:r w:rsidRPr="007D3837">
        <w:rPr>
          <w:rStyle w:val="Voetnootmarkering"/>
          <w:sz w:val="14"/>
        </w:rPr>
        <w:footnoteRef/>
      </w:r>
      <w:r w:rsidRPr="007D3837">
        <w:rPr>
          <w:sz w:val="14"/>
        </w:rPr>
        <w:t xml:space="preserve"> Kamerstukke</w:t>
      </w:r>
      <w:r>
        <w:rPr>
          <w:sz w:val="14"/>
        </w:rPr>
        <w:t>n II</w:t>
      </w:r>
      <w:r w:rsidRPr="007D3837">
        <w:rPr>
          <w:sz w:val="14"/>
        </w:rPr>
        <w:t xml:space="preserve"> 2017-2018, 32 013, nr. 194</w:t>
      </w:r>
    </w:p>
  </w:footnote>
  <w:footnote w:id="3">
    <w:p w:rsidR="00D77A74" w:rsidRDefault="00D77A74">
      <w:pPr>
        <w:pStyle w:val="Voetnoottekst"/>
      </w:pPr>
      <w:r w:rsidRPr="00D77A74">
        <w:rPr>
          <w:rStyle w:val="Voetnootmarkering"/>
          <w:sz w:val="14"/>
        </w:rPr>
        <w:footnoteRef/>
      </w:r>
      <w:r w:rsidRPr="00D77A74">
        <w:rPr>
          <w:sz w:val="14"/>
        </w:rPr>
        <w:t xml:space="preserve"> Kamerstukken II 2017-2018, 32 013, nr. 192</w:t>
      </w:r>
    </w:p>
  </w:footnote>
  <w:footnote w:id="4">
    <w:p w:rsidR="007D3837" w:rsidRPr="007D3837" w:rsidRDefault="007D3837">
      <w:pPr>
        <w:pStyle w:val="Voetnoottekst"/>
        <w:rPr>
          <w:sz w:val="14"/>
          <w:szCs w:val="14"/>
        </w:rPr>
      </w:pPr>
      <w:r w:rsidRPr="007D3837">
        <w:rPr>
          <w:rStyle w:val="Voetnootmarkering"/>
          <w:sz w:val="14"/>
          <w:szCs w:val="14"/>
        </w:rPr>
        <w:footnoteRef/>
      </w:r>
      <w:r w:rsidRPr="007D3837">
        <w:rPr>
          <w:sz w:val="14"/>
          <w:szCs w:val="14"/>
        </w:rPr>
        <w:t xml:space="preserve"> Kamerstukken II 2017-2018, 32 013, nr. 193</w:t>
      </w:r>
    </w:p>
  </w:footnote>
  <w:footnote w:id="5">
    <w:p w:rsidR="00810D88" w:rsidRPr="007D3837" w:rsidRDefault="00810D88" w:rsidP="00810D88">
      <w:pPr>
        <w:pStyle w:val="Voetnoottekst"/>
        <w:rPr>
          <w:sz w:val="14"/>
          <w:szCs w:val="14"/>
        </w:rPr>
      </w:pPr>
      <w:r w:rsidRPr="007D3837">
        <w:rPr>
          <w:rStyle w:val="Voetnootmarkering"/>
          <w:sz w:val="14"/>
          <w:szCs w:val="14"/>
        </w:rPr>
        <w:footnoteRef/>
      </w:r>
      <w:r w:rsidRPr="007D3837">
        <w:rPr>
          <w:sz w:val="14"/>
          <w:szCs w:val="14"/>
        </w:rPr>
        <w:t xml:space="preserve"> Zie </w:t>
      </w:r>
      <w:hyperlink r:id="rId1" w:history="1">
        <w:r w:rsidR="009B5FE7" w:rsidRPr="007D3837">
          <w:rPr>
            <w:rStyle w:val="Hyperlink"/>
            <w:sz w:val="14"/>
            <w:szCs w:val="14"/>
          </w:rPr>
          <w:t>https://www.wijzeringeldzaken.nl/Beleggen/beleggen-in-bitcoins-en-ander-cryptogeld/</w:t>
        </w:r>
      </w:hyperlink>
      <w:r w:rsidR="009B5FE7" w:rsidRPr="007D3837">
        <w:rPr>
          <w:sz w:val="14"/>
          <w:szCs w:val="14"/>
        </w:rPr>
        <w:t xml:space="preserve"> </w:t>
      </w:r>
    </w:p>
  </w:footnote>
  <w:footnote w:id="6">
    <w:p w:rsidR="0052132E" w:rsidRPr="007D3837" w:rsidRDefault="0052132E" w:rsidP="0052132E">
      <w:pPr>
        <w:pStyle w:val="Voetnoottekst"/>
        <w:rPr>
          <w:sz w:val="14"/>
          <w:szCs w:val="14"/>
        </w:rPr>
      </w:pPr>
      <w:r w:rsidRPr="007D3837">
        <w:rPr>
          <w:rStyle w:val="Voetnootmarkering"/>
          <w:sz w:val="14"/>
          <w:szCs w:val="14"/>
        </w:rPr>
        <w:footnoteRef/>
      </w:r>
      <w:r w:rsidRPr="007D3837">
        <w:rPr>
          <w:sz w:val="14"/>
          <w:szCs w:val="14"/>
        </w:rPr>
        <w:t xml:space="preserve"> Zie bijvoorbeeld: </w:t>
      </w:r>
      <w:hyperlink r:id="rId2" w:history="1">
        <w:r w:rsidRPr="007D3837">
          <w:rPr>
            <w:rStyle w:val="Hyperlink"/>
            <w:sz w:val="14"/>
            <w:szCs w:val="14"/>
          </w:rPr>
          <w:t>https://www.consumentenbond.nl/sparen-en-beleggen/investeren-in-cryptovaluta</w:t>
        </w:r>
      </w:hyperlink>
      <w:r w:rsidRPr="007D3837">
        <w:rPr>
          <w:sz w:val="14"/>
          <w:szCs w:val="14"/>
        </w:rPr>
        <w:t xml:space="preserve">, </w:t>
      </w:r>
      <w:hyperlink r:id="rId3" w:history="1">
        <w:r w:rsidRPr="007D3837">
          <w:rPr>
            <w:rStyle w:val="Hyperlink"/>
            <w:sz w:val="14"/>
            <w:szCs w:val="14"/>
          </w:rPr>
          <w:t>https://www.consumentenbond.nl/online-kopen/betalen-met-bitcoin</w:t>
        </w:r>
      </w:hyperlink>
      <w:r w:rsidRPr="007D3837">
        <w:rPr>
          <w:sz w:val="14"/>
          <w:szCs w:val="14"/>
        </w:rPr>
        <w:t xml:space="preserve"> en </w:t>
      </w:r>
      <w:hyperlink r:id="rId4" w:history="1">
        <w:r w:rsidRPr="007D3837">
          <w:rPr>
            <w:rStyle w:val="Hyperlink"/>
            <w:sz w:val="14"/>
            <w:szCs w:val="14"/>
          </w:rPr>
          <w:t>https://www.consumentenbond.nl/binaries/content/assets/cbhippowebsite/gidsen/consumentengids/2018/nummer-1---januari/201801p30-de-bitcoin-p.pdf</w:t>
        </w:r>
      </w:hyperlink>
      <w:r w:rsidRPr="007D3837">
        <w:rPr>
          <w:sz w:val="14"/>
          <w:szCs w:val="14"/>
        </w:rPr>
        <w:t xml:space="preserve"> </w:t>
      </w:r>
    </w:p>
  </w:footnote>
  <w:footnote w:id="7">
    <w:p w:rsidR="001775D9" w:rsidRPr="007D3837" w:rsidRDefault="001775D9" w:rsidP="001775D9">
      <w:pPr>
        <w:pStyle w:val="Voetnoottekst"/>
        <w:rPr>
          <w:sz w:val="14"/>
          <w:szCs w:val="14"/>
        </w:rPr>
      </w:pPr>
      <w:r w:rsidRPr="007D3837">
        <w:rPr>
          <w:rStyle w:val="Voetnootmarkering"/>
          <w:sz w:val="14"/>
          <w:szCs w:val="14"/>
        </w:rPr>
        <w:footnoteRef/>
      </w:r>
      <w:r w:rsidRPr="007D3837">
        <w:rPr>
          <w:sz w:val="14"/>
          <w:szCs w:val="14"/>
        </w:rPr>
        <w:t xml:space="preserve"> Zie voor het volledige rapport: </w:t>
      </w:r>
      <w:hyperlink r:id="rId5" w:history="1">
        <w:r w:rsidRPr="007D3837">
          <w:rPr>
            <w:rStyle w:val="Hyperlink"/>
            <w:sz w:val="14"/>
            <w:szCs w:val="14"/>
          </w:rPr>
          <w:t>https://www.afm.nl/~/profmedia/files/onderwerpen/cryptos/rapport-investeren-in-crypto.pdf</w:t>
        </w:r>
      </w:hyperlink>
      <w:r w:rsidRPr="007D3837">
        <w:rPr>
          <w:sz w:val="14"/>
          <w:szCs w:val="14"/>
        </w:rPr>
        <w:t xml:space="preserve"> </w:t>
      </w:r>
    </w:p>
  </w:footnote>
  <w:footnote w:id="8">
    <w:p w:rsidR="007D3837" w:rsidRDefault="007D3837">
      <w:pPr>
        <w:pStyle w:val="Voetnoottekst"/>
      </w:pPr>
      <w:r w:rsidRPr="007D3837">
        <w:rPr>
          <w:rStyle w:val="Voetnootmarkering"/>
          <w:sz w:val="14"/>
          <w:szCs w:val="14"/>
        </w:rPr>
        <w:footnoteRef/>
      </w:r>
      <w:r w:rsidRPr="007D3837">
        <w:rPr>
          <w:sz w:val="14"/>
          <w:szCs w:val="14"/>
        </w:rPr>
        <w:t xml:space="preserve"> Kamerstukken II 2017-2018, 32 013, nr. 153</w:t>
      </w:r>
    </w:p>
  </w:footnote>
  <w:footnote w:id="9">
    <w:p w:rsidR="00FD21B2" w:rsidRDefault="00FD21B2" w:rsidP="00FD21B2">
      <w:pPr>
        <w:pStyle w:val="Voetnoottekst"/>
      </w:pPr>
      <w:r w:rsidRPr="007D3C2E">
        <w:rPr>
          <w:rStyle w:val="Voetnootmarkering"/>
          <w:sz w:val="14"/>
          <w:szCs w:val="14"/>
        </w:rPr>
        <w:footnoteRef/>
      </w:r>
      <w:r w:rsidRPr="007D3C2E">
        <w:rPr>
          <w:sz w:val="14"/>
          <w:szCs w:val="14"/>
        </w:rPr>
        <w:t xml:space="preserve"> Aanhangselen II 2017-2018, nr. 951</w:t>
      </w:r>
    </w:p>
  </w:footnote>
  <w:footnote w:id="10">
    <w:p w:rsidR="001775D9" w:rsidRPr="004F594C" w:rsidRDefault="001775D9" w:rsidP="001775D9">
      <w:pPr>
        <w:pStyle w:val="Voetnoottekst"/>
        <w:rPr>
          <w:color w:val="2E74B5" w:themeColor="accent1" w:themeShade="BF"/>
          <w:sz w:val="14"/>
          <w:szCs w:val="14"/>
          <w:u w:val="single"/>
        </w:rPr>
      </w:pPr>
      <w:r w:rsidRPr="007D3837">
        <w:rPr>
          <w:rStyle w:val="Voetnootmarkering"/>
          <w:sz w:val="14"/>
        </w:rPr>
        <w:footnoteRef/>
      </w:r>
      <w:r>
        <w:t xml:space="preserve"> </w:t>
      </w:r>
      <w:r>
        <w:rPr>
          <w:sz w:val="14"/>
          <w:szCs w:val="14"/>
        </w:rPr>
        <w:t xml:space="preserve">Zie voor het volledige rapport: </w:t>
      </w:r>
      <w:hyperlink r:id="rId6" w:history="1">
        <w:r w:rsidRPr="004F594C">
          <w:rPr>
            <w:rStyle w:val="Hyperlink"/>
            <w:color w:val="034990" w:themeColor="hyperlink" w:themeShade="BF"/>
            <w:sz w:val="14"/>
            <w:szCs w:val="14"/>
          </w:rPr>
          <w:t>https://www.rijksoverheid.nl/documenten/rapporten/2018/06/01/nederlandse-digitaliseringsstrategie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2E" w:rsidRDefault="005213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2E" w:rsidRDefault="005213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2E" w:rsidRDefault="005213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167B2B"/>
    <w:multiLevelType w:val="multilevel"/>
    <w:tmpl w:val="7EE80E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F7728F"/>
    <w:multiLevelType w:val="multilevel"/>
    <w:tmpl w:val="0040B3D6"/>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8783E24"/>
    <w:multiLevelType w:val="multilevel"/>
    <w:tmpl w:val="E0E72FC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840CC"/>
    <w:multiLevelType w:val="hybridMultilevel"/>
    <w:tmpl w:val="99E43F0E"/>
    <w:lvl w:ilvl="0" w:tplc="3880DDAC">
      <w:start w:val="1"/>
      <w:numFmt w:val="decimal"/>
      <w:lvlText w:val="%1."/>
      <w:lvlJc w:val="left"/>
      <w:pPr>
        <w:ind w:left="720" w:hanging="360"/>
      </w:pPr>
      <w:rPr>
        <w:rFonts w:hint="default"/>
        <w:b w:val="0"/>
        <w:i/>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DBB69E"/>
    <w:multiLevelType w:val="multilevel"/>
    <w:tmpl w:val="C84490A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412D5"/>
    <w:multiLevelType w:val="multilevel"/>
    <w:tmpl w:val="C0F897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sz w:val="18"/>
      </w:rPr>
    </w:lvl>
    <w:lvl w:ilvl="2">
      <w:start w:val="1"/>
      <w:numFmt w:val="decimal"/>
      <w:isLgl/>
      <w:lvlText w:val="%1.%2.%3."/>
      <w:lvlJc w:val="left"/>
      <w:pPr>
        <w:ind w:left="1080" w:hanging="720"/>
      </w:pPr>
      <w:rPr>
        <w:rFonts w:hint="default"/>
        <w:b w:val="0"/>
        <w:i/>
        <w:sz w:val="18"/>
      </w:rPr>
    </w:lvl>
    <w:lvl w:ilvl="3">
      <w:start w:val="1"/>
      <w:numFmt w:val="decimal"/>
      <w:isLgl/>
      <w:lvlText w:val="%1.%2.%3.%4."/>
      <w:lvlJc w:val="left"/>
      <w:pPr>
        <w:ind w:left="1440" w:hanging="1080"/>
      </w:pPr>
      <w:rPr>
        <w:rFonts w:hint="default"/>
        <w:b w:val="0"/>
        <w:i/>
        <w:sz w:val="18"/>
      </w:rPr>
    </w:lvl>
    <w:lvl w:ilvl="4">
      <w:start w:val="1"/>
      <w:numFmt w:val="decimal"/>
      <w:isLgl/>
      <w:lvlText w:val="%1.%2.%3.%4.%5."/>
      <w:lvlJc w:val="left"/>
      <w:pPr>
        <w:ind w:left="1440" w:hanging="1080"/>
      </w:pPr>
      <w:rPr>
        <w:rFonts w:hint="default"/>
        <w:b w:val="0"/>
        <w:i/>
        <w:sz w:val="18"/>
      </w:rPr>
    </w:lvl>
    <w:lvl w:ilvl="5">
      <w:start w:val="1"/>
      <w:numFmt w:val="decimal"/>
      <w:isLgl/>
      <w:lvlText w:val="%1.%2.%3.%4.%5.%6."/>
      <w:lvlJc w:val="left"/>
      <w:pPr>
        <w:ind w:left="1800" w:hanging="1440"/>
      </w:pPr>
      <w:rPr>
        <w:rFonts w:hint="default"/>
        <w:b w:val="0"/>
        <w:i/>
        <w:sz w:val="18"/>
      </w:rPr>
    </w:lvl>
    <w:lvl w:ilvl="6">
      <w:start w:val="1"/>
      <w:numFmt w:val="decimal"/>
      <w:isLgl/>
      <w:lvlText w:val="%1.%2.%3.%4.%5.%6.%7."/>
      <w:lvlJc w:val="left"/>
      <w:pPr>
        <w:ind w:left="1800" w:hanging="1440"/>
      </w:pPr>
      <w:rPr>
        <w:rFonts w:hint="default"/>
        <w:b w:val="0"/>
        <w:i/>
        <w:sz w:val="18"/>
      </w:rPr>
    </w:lvl>
    <w:lvl w:ilvl="7">
      <w:start w:val="1"/>
      <w:numFmt w:val="decimal"/>
      <w:isLgl/>
      <w:lvlText w:val="%1.%2.%3.%4.%5.%6.%7.%8."/>
      <w:lvlJc w:val="left"/>
      <w:pPr>
        <w:ind w:left="2160" w:hanging="1800"/>
      </w:pPr>
      <w:rPr>
        <w:rFonts w:hint="default"/>
        <w:b w:val="0"/>
        <w:i/>
        <w:sz w:val="18"/>
      </w:rPr>
    </w:lvl>
    <w:lvl w:ilvl="8">
      <w:start w:val="1"/>
      <w:numFmt w:val="decimal"/>
      <w:isLgl/>
      <w:lvlText w:val="%1.%2.%3.%4.%5.%6.%7.%8.%9."/>
      <w:lvlJc w:val="left"/>
      <w:pPr>
        <w:ind w:left="2160" w:hanging="1800"/>
      </w:pPr>
      <w:rPr>
        <w:rFonts w:hint="default"/>
        <w:b w:val="0"/>
        <w:i/>
        <w:sz w:val="18"/>
      </w:rPr>
    </w:lvl>
  </w:abstractNum>
  <w:abstractNum w:abstractNumId="6" w15:restartNumberingAfterBreak="0">
    <w:nsid w:val="3AF93123"/>
    <w:multiLevelType w:val="hybridMultilevel"/>
    <w:tmpl w:val="839215C2"/>
    <w:lvl w:ilvl="0" w:tplc="0E284EE2">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143B92"/>
    <w:multiLevelType w:val="hybridMultilevel"/>
    <w:tmpl w:val="574C97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9C150F"/>
    <w:multiLevelType w:val="hybridMultilevel"/>
    <w:tmpl w:val="99E43F0E"/>
    <w:lvl w:ilvl="0" w:tplc="3880DDAC">
      <w:start w:val="1"/>
      <w:numFmt w:val="decimal"/>
      <w:lvlText w:val="%1."/>
      <w:lvlJc w:val="left"/>
      <w:pPr>
        <w:ind w:left="720" w:hanging="360"/>
      </w:pPr>
      <w:rPr>
        <w:rFonts w:hint="default"/>
        <w:b w:val="0"/>
        <w:i/>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9551CA"/>
    <w:multiLevelType w:val="hybridMultilevel"/>
    <w:tmpl w:val="99E43F0E"/>
    <w:lvl w:ilvl="0" w:tplc="3880DDAC">
      <w:start w:val="1"/>
      <w:numFmt w:val="decimal"/>
      <w:lvlText w:val="%1."/>
      <w:lvlJc w:val="left"/>
      <w:pPr>
        <w:ind w:left="720" w:hanging="360"/>
      </w:pPr>
      <w:rPr>
        <w:rFonts w:hint="default"/>
        <w:b w:val="0"/>
        <w:i/>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8"/>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2E"/>
    <w:rsid w:val="00003F7A"/>
    <w:rsid w:val="000427EB"/>
    <w:rsid w:val="0004499C"/>
    <w:rsid w:val="00097452"/>
    <w:rsid w:val="001775D9"/>
    <w:rsid w:val="00203678"/>
    <w:rsid w:val="00264A63"/>
    <w:rsid w:val="002F400E"/>
    <w:rsid w:val="003376A0"/>
    <w:rsid w:val="00373C9B"/>
    <w:rsid w:val="00383E30"/>
    <w:rsid w:val="003C2320"/>
    <w:rsid w:val="003C3DFF"/>
    <w:rsid w:val="00451C06"/>
    <w:rsid w:val="00491A16"/>
    <w:rsid w:val="004C14F0"/>
    <w:rsid w:val="004F594C"/>
    <w:rsid w:val="004F68D9"/>
    <w:rsid w:val="0052132E"/>
    <w:rsid w:val="00530416"/>
    <w:rsid w:val="005C7E97"/>
    <w:rsid w:val="00601072"/>
    <w:rsid w:val="0061031C"/>
    <w:rsid w:val="006223AE"/>
    <w:rsid w:val="00751FDC"/>
    <w:rsid w:val="007C0B15"/>
    <w:rsid w:val="007C768B"/>
    <w:rsid w:val="007D3837"/>
    <w:rsid w:val="007D3C2E"/>
    <w:rsid w:val="00810D88"/>
    <w:rsid w:val="00871629"/>
    <w:rsid w:val="00994710"/>
    <w:rsid w:val="009B5FE7"/>
    <w:rsid w:val="00A128A1"/>
    <w:rsid w:val="00B07EB2"/>
    <w:rsid w:val="00BB644C"/>
    <w:rsid w:val="00C50EAA"/>
    <w:rsid w:val="00C933F9"/>
    <w:rsid w:val="00CA3844"/>
    <w:rsid w:val="00D75B01"/>
    <w:rsid w:val="00D77A74"/>
    <w:rsid w:val="00DC6655"/>
    <w:rsid w:val="00DE2233"/>
    <w:rsid w:val="00DE5CA4"/>
    <w:rsid w:val="00E11D57"/>
    <w:rsid w:val="00E23EE0"/>
    <w:rsid w:val="00E42CB3"/>
    <w:rsid w:val="00E528D4"/>
    <w:rsid w:val="00E67D29"/>
    <w:rsid w:val="00E94726"/>
    <w:rsid w:val="00ED73AE"/>
    <w:rsid w:val="00EE09BB"/>
    <w:rsid w:val="00F45B7B"/>
    <w:rsid w:val="00F471F1"/>
    <w:rsid w:val="00F651A6"/>
    <w:rsid w:val="00FC396E"/>
    <w:rsid w:val="00FD0A35"/>
    <w:rsid w:val="00FD2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20D5B-B863-436D-B48C-4D3E6455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13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132E"/>
    <w:rPr>
      <w:rFonts w:ascii="Verdana" w:hAnsi="Verdana"/>
      <w:color w:val="000000"/>
      <w:sz w:val="18"/>
      <w:szCs w:val="18"/>
    </w:rPr>
  </w:style>
  <w:style w:type="paragraph" w:styleId="Voettekst">
    <w:name w:val="footer"/>
    <w:basedOn w:val="Standaard"/>
    <w:link w:val="VoettekstChar"/>
    <w:uiPriority w:val="99"/>
    <w:unhideWhenUsed/>
    <w:rsid w:val="005213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132E"/>
    <w:rPr>
      <w:rFonts w:ascii="Verdana" w:hAnsi="Verdana"/>
      <w:color w:val="000000"/>
      <w:sz w:val="18"/>
      <w:szCs w:val="18"/>
    </w:rPr>
  </w:style>
  <w:style w:type="paragraph" w:styleId="Geenafstand">
    <w:name w:val="No Spacing"/>
    <w:uiPriority w:val="1"/>
    <w:qFormat/>
    <w:rsid w:val="0052132E"/>
    <w:pPr>
      <w:autoSpaceDN/>
      <w:textAlignment w:val="auto"/>
    </w:pPr>
    <w:rPr>
      <w:rFonts w:ascii="Verdana" w:eastAsiaTheme="minorHAnsi" w:hAnsi="Verdana" w:cstheme="minorBidi"/>
      <w:sz w:val="18"/>
      <w:szCs w:val="22"/>
      <w:lang w:eastAsia="en-US"/>
    </w:rPr>
  </w:style>
  <w:style w:type="paragraph" w:styleId="Voetnoottekst">
    <w:name w:val="footnote text"/>
    <w:basedOn w:val="Standaard"/>
    <w:link w:val="VoetnoottekstChar"/>
    <w:uiPriority w:val="99"/>
    <w:semiHidden/>
    <w:unhideWhenUsed/>
    <w:rsid w:val="0052132E"/>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2132E"/>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52132E"/>
    <w:rPr>
      <w:vertAlign w:val="superscript"/>
    </w:rPr>
  </w:style>
  <w:style w:type="character" w:styleId="Hyperlink">
    <w:name w:val="Hyperlink"/>
    <w:basedOn w:val="Standaardalinea-lettertype"/>
    <w:uiPriority w:val="99"/>
    <w:unhideWhenUsed/>
    <w:rsid w:val="0052132E"/>
    <w:rPr>
      <w:color w:val="0563C1" w:themeColor="hyperlink"/>
      <w:u w:val="single"/>
    </w:rPr>
  </w:style>
  <w:style w:type="paragraph" w:styleId="Lijstalinea">
    <w:name w:val="List Paragraph"/>
    <w:basedOn w:val="Standaard"/>
    <w:uiPriority w:val="34"/>
    <w:qFormat/>
    <w:rsid w:val="005C7E97"/>
    <w:pPr>
      <w:ind w:left="720"/>
      <w:contextualSpacing/>
    </w:pPr>
  </w:style>
  <w:style w:type="paragraph" w:styleId="Ballontekst">
    <w:name w:val="Balloon Text"/>
    <w:basedOn w:val="Standaard"/>
    <w:link w:val="BallontekstChar"/>
    <w:uiPriority w:val="99"/>
    <w:semiHidden/>
    <w:unhideWhenUsed/>
    <w:rsid w:val="00810D8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10D88"/>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FD0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598">
      <w:bodyDiv w:val="1"/>
      <w:marLeft w:val="0"/>
      <w:marRight w:val="0"/>
      <w:marTop w:val="0"/>
      <w:marBottom w:val="0"/>
      <w:divBdr>
        <w:top w:val="none" w:sz="0" w:space="0" w:color="auto"/>
        <w:left w:val="none" w:sz="0" w:space="0" w:color="auto"/>
        <w:bottom w:val="none" w:sz="0" w:space="0" w:color="auto"/>
        <w:right w:val="none" w:sz="0" w:space="0" w:color="auto"/>
      </w:divBdr>
    </w:div>
    <w:div w:id="168454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umentenbond.nl/online-kopen/betalen-met-bitcoin" TargetMode="External"/><Relationship Id="rId2" Type="http://schemas.openxmlformats.org/officeDocument/2006/relationships/hyperlink" Target="https://www.consumentenbond.nl/sparen-en-beleggen/investeren-in-cryptovaluta" TargetMode="External"/><Relationship Id="rId1" Type="http://schemas.openxmlformats.org/officeDocument/2006/relationships/hyperlink" Target="https://www.wijzeringeldzaken.nl/Beleggen/beleggen-in-bitcoins-en-ander-cryptogeld/" TargetMode="External"/><Relationship Id="rId6" Type="http://schemas.openxmlformats.org/officeDocument/2006/relationships/hyperlink" Target="https://www.rijksoverheid.nl/documenten/rapporten/2018/06/01/nederlandse-digitaliseringsstrategie" TargetMode="External"/><Relationship Id="rId5" Type="http://schemas.openxmlformats.org/officeDocument/2006/relationships/hyperlink" Target="https://www.afm.nl/~/profmedia/files/onderwerpen/cryptos/rapport-investeren-in-crypto.pdf" TargetMode="External"/><Relationship Id="rId4" Type="http://schemas.openxmlformats.org/officeDocument/2006/relationships/hyperlink" Target="https://www.consumentenbond.nl/binaries/content/assets/cbhippowebsite/gidsen/consumentengids/2018/nummer-1---januari/201801p30-de-bitcoin-p.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1230</ap:Words>
  <ap:Characters>6766</ap:Characters>
  <ap:DocSecurity>4</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2019-01-18T14:28:00.0000000Z</dcterms:created>
  <dcterms:modified xsi:type="dcterms:W3CDTF">2019-01-18T14:28:00.0000000Z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Moties en toezeggingen omtrent crypto's</vt:lpwstr>
  </property>
  <property fmtid="{D5CDD505-2E9C-101B-9397-08002B2CF9AE}" pid="3" name="Docgensjabloon">
    <vt:lpwstr>DocGen_Blanco_document_nl_NL</vt:lpwstr>
  </property>
  <property fmtid="{D5CDD505-2E9C-101B-9397-08002B2CF9AE}" pid="4" name="ContentTypeId">
    <vt:lpwstr>0x010100F9DC815612F01641B02BABF1F21780BC</vt:lpwstr>
  </property>
</Properties>
</file>