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09" w:rsidRDefault="00B46D9F" w14:paraId="3CD6388F" w14:textId="2DF9F729">
      <w:pPr>
        <w:rPr>
          <w:sz w:val="28"/>
          <w:szCs w:val="28"/>
        </w:rPr>
      </w:pPr>
      <w:proofErr w:type="spellStart"/>
      <w:r>
        <w:rPr>
          <w:sz w:val="28"/>
          <w:szCs w:val="28"/>
        </w:rPr>
        <w:t>Position</w:t>
      </w:r>
      <w:proofErr w:type="spellEnd"/>
      <w:r>
        <w:rPr>
          <w:sz w:val="28"/>
          <w:szCs w:val="28"/>
        </w:rPr>
        <w:t xml:space="preserve"> Paper </w:t>
      </w:r>
      <w:r w:rsidRPr="00F773CA" w:rsidR="00F773CA">
        <w:rPr>
          <w:sz w:val="28"/>
          <w:szCs w:val="28"/>
        </w:rPr>
        <w:t>Tweede Kamer, 21 januari 2019</w:t>
      </w:r>
    </w:p>
    <w:p w:rsidR="00E91DD1" w:rsidRDefault="00E91DD1" w14:paraId="22CFFE85" w14:textId="2064065D">
      <w:pPr>
        <w:rPr>
          <w:sz w:val="28"/>
          <w:szCs w:val="28"/>
        </w:rPr>
      </w:pPr>
      <w:r>
        <w:rPr>
          <w:sz w:val="28"/>
          <w:szCs w:val="28"/>
        </w:rPr>
        <w:t xml:space="preserve">J M G </w:t>
      </w:r>
      <w:proofErr w:type="spellStart"/>
      <w:r>
        <w:rPr>
          <w:sz w:val="28"/>
          <w:szCs w:val="28"/>
        </w:rPr>
        <w:t>Frijns</w:t>
      </w:r>
      <w:proofErr w:type="spellEnd"/>
    </w:p>
    <w:p w:rsidR="00F773CA" w:rsidRDefault="00F773CA" w14:paraId="014495E7" w14:textId="77777777">
      <w:pPr>
        <w:rPr>
          <w:sz w:val="28"/>
          <w:szCs w:val="28"/>
        </w:rPr>
      </w:pPr>
    </w:p>
    <w:p w:rsidRPr="002D70A5" w:rsidR="00F773CA" w:rsidP="00544029" w:rsidRDefault="0084302D" w14:paraId="3F376B20" w14:textId="54B4A00A">
      <w:pPr>
        <w:rPr>
          <w:i/>
        </w:rPr>
      </w:pPr>
      <w:r w:rsidRPr="002D70A5">
        <w:rPr>
          <w:i/>
        </w:rPr>
        <w:t xml:space="preserve">Inleiding </w:t>
      </w:r>
    </w:p>
    <w:p w:rsidRPr="002D70A5" w:rsidR="0084302D" w:rsidRDefault="0084302D" w14:paraId="7D2377B7" w14:textId="77777777"/>
    <w:p w:rsidRPr="002D70A5" w:rsidR="00E91DD1" w:rsidRDefault="00E91DD1" w14:paraId="49D8F458" w14:textId="2718D5BD">
      <w:r w:rsidRPr="002D70A5">
        <w:t xml:space="preserve">Het doel van de bijeenkomst is een gedachtewisseling met de Vaste Kamercommissie SZW over het standpunt ‘dat ook voor zachtere pensioenaanspraken de risicovrije rente moet gelden’. Dit standpunt is verwoord in de brief van DNB aan Minister Koolmees van 19 september 2018. </w:t>
      </w:r>
    </w:p>
    <w:p w:rsidRPr="002D70A5" w:rsidR="0079594E" w:rsidRDefault="0079594E" w14:paraId="7D5F0A93" w14:textId="5934018B"/>
    <w:p w:rsidRPr="002D70A5" w:rsidR="0079594E" w:rsidRDefault="00E91DD1" w14:paraId="28DC027A" w14:textId="7773E417">
      <w:r w:rsidRPr="002D70A5">
        <w:t xml:space="preserve">In dit paper ga ik kort in op de positie van DNB en op de bezwaren tegen </w:t>
      </w:r>
      <w:r w:rsidRPr="002D70A5" w:rsidR="00135727">
        <w:t>een rekenrente gelijk aan de vigerende rentetermijncurve. Vervolgens pleit ik voor een</w:t>
      </w:r>
      <w:r w:rsidR="00C06F35">
        <w:t xml:space="preserve"> andere manier om naar de rekenrente te kijken </w:t>
      </w:r>
      <w:r w:rsidRPr="002D70A5" w:rsidR="00135727">
        <w:t xml:space="preserve">om af te sluiten met een korte paragraaf over </w:t>
      </w:r>
      <w:r w:rsidR="00AE75E9">
        <w:t>de eisen te stellen aan een prudente rekenrente</w:t>
      </w:r>
      <w:r w:rsidRPr="002D70A5" w:rsidR="00135727">
        <w:t xml:space="preserve">. </w:t>
      </w:r>
    </w:p>
    <w:p w:rsidRPr="002D70A5" w:rsidR="0079594E" w:rsidRDefault="0079594E" w14:paraId="1B57D57E" w14:textId="77777777"/>
    <w:p w:rsidRPr="002D70A5" w:rsidR="0084302D" w:rsidRDefault="0084302D" w14:paraId="4DFE174C" w14:textId="77777777"/>
    <w:p w:rsidRPr="002D70A5" w:rsidR="0079594E" w:rsidP="00C3142D" w:rsidRDefault="00F5773F" w14:paraId="1504BD2C" w14:textId="644FB23C">
      <w:pPr>
        <w:rPr>
          <w:i/>
        </w:rPr>
      </w:pPr>
      <w:r w:rsidRPr="002D70A5">
        <w:rPr>
          <w:i/>
        </w:rPr>
        <w:t>Positie DNB en r</w:t>
      </w:r>
      <w:r w:rsidRPr="002D70A5" w:rsidR="0093461B">
        <w:rPr>
          <w:i/>
        </w:rPr>
        <w:t>ekenrente op basis marktwaarde</w:t>
      </w:r>
    </w:p>
    <w:p w:rsidRPr="002D70A5" w:rsidR="0093461B" w:rsidP="0093461B" w:rsidRDefault="0093461B" w14:paraId="082276D6" w14:textId="77777777">
      <w:pPr>
        <w:rPr>
          <w:i/>
        </w:rPr>
      </w:pPr>
    </w:p>
    <w:p w:rsidR="004D48D8" w:rsidP="004D48D8" w:rsidRDefault="00135727" w14:paraId="251D94E0" w14:textId="653F8F57">
      <w:r w:rsidRPr="002D70A5">
        <w:t xml:space="preserve">Op de positie DNB over de aard </w:t>
      </w:r>
      <w:r w:rsidR="00C1224A">
        <w:t>van pensioen</w:t>
      </w:r>
      <w:r w:rsidRPr="002D70A5">
        <w:t xml:space="preserve">aanspraken is heel wat af te dingen. DNB stelt dat </w:t>
      </w:r>
      <w:r w:rsidR="00FA10D7">
        <w:t>“</w:t>
      </w:r>
      <w:r w:rsidRPr="002D70A5">
        <w:t>voor het waarderen van nominale pensioenaanspraken en –rechten de risicovrije rentetermijnstructuur de passende discontocurve is</w:t>
      </w:r>
      <w:r w:rsidR="00FA10D7">
        <w:t>”</w:t>
      </w:r>
      <w:r w:rsidRPr="002D70A5">
        <w:t xml:space="preserve">, ongeacht </w:t>
      </w:r>
      <w:r w:rsidR="00FA10D7">
        <w:t>“</w:t>
      </w:r>
      <w:r w:rsidRPr="002D70A5">
        <w:t>de mate van zekerheid waarmee deze pensioenaanspraken –en rechten naar de toekomst worden nagekomen</w:t>
      </w:r>
      <w:r w:rsidR="00FA10D7">
        <w:t>”</w:t>
      </w:r>
      <w:r w:rsidRPr="002D70A5">
        <w:t xml:space="preserve">. </w:t>
      </w:r>
      <w:r w:rsidR="00E05BB0">
        <w:t>Die logica ontgaat mij.</w:t>
      </w:r>
      <w:r w:rsidR="00E05BB0">
        <w:rPr>
          <w:rStyle w:val="FootnoteReference"/>
        </w:rPr>
        <w:footnoteReference w:id="1"/>
      </w:r>
      <w:r w:rsidR="00E05BB0">
        <w:t xml:space="preserve"> </w:t>
      </w:r>
      <w:r w:rsidRPr="002D70A5">
        <w:t xml:space="preserve">Wijziging van de aard der aanspraken zou toch, zeker vanuit marktwaarde </w:t>
      </w:r>
      <w:r w:rsidR="00C1224A">
        <w:t>invalshoek</w:t>
      </w:r>
      <w:r w:rsidRPr="002D70A5">
        <w:t>, tot een andere waardering moeten leide</w:t>
      </w:r>
      <w:r w:rsidRPr="002D70A5" w:rsidR="004D48D8">
        <w:t>n</w:t>
      </w:r>
      <w:r w:rsidRPr="002D70A5" w:rsidR="004D48D8">
        <w:rPr>
          <w:rStyle w:val="FootnoteReference"/>
        </w:rPr>
        <w:footnoteReference w:id="2"/>
      </w:r>
      <w:r w:rsidRPr="002D70A5">
        <w:t xml:space="preserve">. </w:t>
      </w:r>
      <w:r w:rsidRPr="002D70A5" w:rsidR="007B5C99">
        <w:t>Het pensioenresultaat hangt af van vermogen om risico te nemen</w:t>
      </w:r>
      <w:r w:rsidR="007B5C99">
        <w:t>. Het pensioencontract is gericht op een betaalbaar en dus tot op zekere hoogte onzeker pensioen. Dat dient terug te komen in de b</w:t>
      </w:r>
      <w:r w:rsidRPr="002D70A5" w:rsidR="007B5C99">
        <w:t>a</w:t>
      </w:r>
      <w:r w:rsidR="007B5C99">
        <w:t xml:space="preserve">lanswaardering en </w:t>
      </w:r>
      <w:r w:rsidRPr="002D70A5" w:rsidR="007B5C99">
        <w:t xml:space="preserve">in de premiebepaling. </w:t>
      </w:r>
      <w:r w:rsidRPr="002D70A5" w:rsidR="004D48D8">
        <w:t xml:space="preserve">Merk op dat het aan de wetgever is de aard van de aanspraken in de wet te verankeren. </w:t>
      </w:r>
    </w:p>
    <w:p w:rsidRPr="002D70A5" w:rsidR="00381EBF" w:rsidP="004D48D8" w:rsidRDefault="00381EBF" w14:paraId="6AF9EC81" w14:textId="77777777"/>
    <w:p w:rsidR="00381EBF" w:rsidP="00381EBF" w:rsidRDefault="00381EBF" w14:paraId="2D4F1D87" w14:textId="34754222">
      <w:r w:rsidRPr="002D70A5">
        <w:t xml:space="preserve">DNB </w:t>
      </w:r>
      <w:r>
        <w:t xml:space="preserve">lijkt rekening te willen houden met de wens om bij de pensioenuitkering rekening te houden met het verwachte rendement. In bovengenoemde brief, bladzijde 2, wordt gesteld: </w:t>
      </w:r>
      <w:r w:rsidRPr="002D70A5">
        <w:t xml:space="preserve"> “Het waarderen van een pensioenuitkering kan op twee manieren: het verwacht rendement wordt wel of niet meegenomen in zowel de verwachte pensioenuitkering alsook de disconteringsvoet. Bij een consistente toepassing (..) leiden beide keuzes tot dezelfde waarde, en deze is gelijk aan de marktwaarde.” </w:t>
      </w:r>
      <w:r>
        <w:t>Hier hanteert DNB een truc: als je teller en noemer met hetzelfde getal vermenigvuldigt, verandert er niks.</w:t>
      </w:r>
      <w:r w:rsidRPr="00062FD7">
        <w:t xml:space="preserve"> </w:t>
      </w:r>
      <w:r>
        <w:t>Het</w:t>
      </w:r>
      <w:r w:rsidRPr="002D70A5">
        <w:t xml:space="preserve"> is bijna een wiskundige tautologie maar ook niet meer dan dat.</w:t>
      </w:r>
      <w:r>
        <w:t xml:space="preserve"> </w:t>
      </w:r>
      <w:r w:rsidR="00AE75E9">
        <w:t>De pijn zit echter in de waardering van de nominale aanspraken. A</w:t>
      </w:r>
      <w:r>
        <w:t xml:space="preserve">ls de nominale aanspraak contant gemaakt met de risicovrije rente geen goede maatstaf is voor de marktwaarde </w:t>
      </w:r>
      <w:r w:rsidR="00AE75E9">
        <w:t>van</w:t>
      </w:r>
      <w:r>
        <w:t xml:space="preserve"> aanspra</w:t>
      </w:r>
      <w:r w:rsidR="00AE75E9">
        <w:t xml:space="preserve">ken die </w:t>
      </w:r>
      <w:r>
        <w:t xml:space="preserve">niet hard </w:t>
      </w:r>
      <w:r w:rsidR="00AE75E9">
        <w:t xml:space="preserve">zijn dan is de </w:t>
      </w:r>
      <w:r>
        <w:t xml:space="preserve">tweede methode </w:t>
      </w:r>
      <w:r w:rsidR="00AE75E9">
        <w:t xml:space="preserve">dat </w:t>
      </w:r>
      <w:r>
        <w:t>ook niet</w:t>
      </w:r>
      <w:r>
        <w:rPr>
          <w:rStyle w:val="FootnoteReference"/>
        </w:rPr>
        <w:footnoteReference w:id="3"/>
      </w:r>
      <w:r>
        <w:t xml:space="preserve">. </w:t>
      </w:r>
    </w:p>
    <w:p w:rsidRPr="002D70A5" w:rsidR="004D48D8" w:rsidP="004D48D8" w:rsidRDefault="004D48D8" w14:paraId="7AE52DB6" w14:textId="77777777">
      <w:pPr>
        <w:pStyle w:val="ListParagraph"/>
        <w:ind w:left="1440"/>
      </w:pPr>
    </w:p>
    <w:p w:rsidRPr="00C304F7" w:rsidR="00544029" w:rsidP="0093461B" w:rsidRDefault="00544029" w14:paraId="19A92131" w14:textId="77777777"/>
    <w:p w:rsidRPr="002D70A5" w:rsidR="0021525D" w:rsidP="0093461B" w:rsidRDefault="00EE4455" w14:paraId="63BE4115" w14:textId="526AF697">
      <w:r w:rsidRPr="002D70A5">
        <w:t>In de</w:t>
      </w:r>
      <w:r w:rsidR="00381EBF">
        <w:t>zelfde</w:t>
      </w:r>
      <w:r w:rsidRPr="002D70A5">
        <w:t xml:space="preserve"> brief </w:t>
      </w:r>
      <w:r w:rsidR="00381EBF">
        <w:t xml:space="preserve">stelt </w:t>
      </w:r>
      <w:r w:rsidRPr="002D70A5">
        <w:t xml:space="preserve">DNB </w:t>
      </w:r>
      <w:r w:rsidR="00CD2995">
        <w:t xml:space="preserve">op zichzelf </w:t>
      </w:r>
      <w:r w:rsidRPr="002D70A5" w:rsidR="00B579E6">
        <w:t xml:space="preserve">terecht </w:t>
      </w:r>
      <w:r w:rsidRPr="002D70A5">
        <w:t xml:space="preserve">dat </w:t>
      </w:r>
      <w:r w:rsidRPr="002D70A5" w:rsidR="00B579E6">
        <w:t>“de verwachte pensioenuitkering afhankelijk is van hoe de dekkingsgraad zich ontwikkelt in relatie tot de afgesproken regels voor korten en toeslagverlening</w:t>
      </w:r>
      <w:r w:rsidRPr="002D70A5" w:rsidR="00E709E2">
        <w:t xml:space="preserve">”. </w:t>
      </w:r>
      <w:r w:rsidR="00CD2995">
        <w:t>I</w:t>
      </w:r>
      <w:r w:rsidRPr="002D70A5" w:rsidR="00E709E2">
        <w:t xml:space="preserve">mpliciet </w:t>
      </w:r>
      <w:r w:rsidR="00CD2995">
        <w:t xml:space="preserve">zegt DNB </w:t>
      </w:r>
      <w:r w:rsidRPr="002D70A5" w:rsidR="00E709E2">
        <w:t>dat de ontwikkeling van de dekkingsgraad en dus van de verwachte pensioenuitkering in hoge mate afhangt van de ontwikkeling van de rekenrente. Stijgt deze dan vallen grote delen van het nu beklemde vermogen vrij; bij een rentestijging van zeg 2 %-p</w:t>
      </w:r>
      <w:r w:rsidR="00FA10D7">
        <w:t>u</w:t>
      </w:r>
      <w:r w:rsidRPr="002D70A5" w:rsidR="00E709E2">
        <w:t xml:space="preserve">nt gaat het om honderden miljarden Euro’s. </w:t>
      </w:r>
      <w:r w:rsidRPr="002D70A5" w:rsidR="00C44AF6">
        <w:t>Bij de bepaling van de “marktwaarde” (lees balanswaa</w:t>
      </w:r>
      <w:r w:rsidRPr="002D70A5" w:rsidR="0021525D">
        <w:t xml:space="preserve">rde) wordt </w:t>
      </w:r>
      <w:r w:rsidR="00D619F9">
        <w:t xml:space="preserve">uitgegaan van een </w:t>
      </w:r>
      <w:r w:rsidR="000D2773">
        <w:t>rentetermijnstructuur</w:t>
      </w:r>
      <w:r w:rsidR="00D619F9">
        <w:t xml:space="preserve"> die deze rentes extrapoleert over de toekomstige 50 jaar</w:t>
      </w:r>
      <w:r w:rsidRPr="002D70A5" w:rsidR="0021525D">
        <w:t xml:space="preserve">. </w:t>
      </w:r>
      <w:r w:rsidR="00D619F9">
        <w:t xml:space="preserve">Is de rente laag, zoals nu, dat werkt dat niveau door in de waardering </w:t>
      </w:r>
      <w:r w:rsidR="00B65182">
        <w:t xml:space="preserve">van aanspraken die pas </w:t>
      </w:r>
      <w:r w:rsidR="00D619F9">
        <w:t>over zeer lange termijn</w:t>
      </w:r>
      <w:r w:rsidR="00B65182">
        <w:t xml:space="preserve"> tot uitkering komen</w:t>
      </w:r>
      <w:r w:rsidR="00D619F9">
        <w:t xml:space="preserve">. Is de rente hoog, dan gebeurt dit ook, </w:t>
      </w:r>
      <w:r w:rsidR="00B65182">
        <w:t xml:space="preserve">maar dan </w:t>
      </w:r>
      <w:r w:rsidR="00D619F9">
        <w:t xml:space="preserve">vanuit deze hoge niveaus. Pensioenwaarderingen bij </w:t>
      </w:r>
      <w:r w:rsidR="00EC6829">
        <w:t xml:space="preserve">zeer </w:t>
      </w:r>
      <w:r w:rsidR="00D619F9">
        <w:t xml:space="preserve">hoge of lage rentes leiden tot extreme uitkomsten. </w:t>
      </w:r>
      <w:r w:rsidR="00EC6829">
        <w:t xml:space="preserve">Gevolg </w:t>
      </w:r>
      <w:r w:rsidR="00B65182">
        <w:t>van veranderingen van de rente zijn</w:t>
      </w:r>
      <w:r w:rsidR="00EC6829">
        <w:t xml:space="preserve"> forse</w:t>
      </w:r>
      <w:r w:rsidRPr="002D70A5" w:rsidR="00EC6829">
        <w:t xml:space="preserve"> </w:t>
      </w:r>
      <w:proofErr w:type="spellStart"/>
      <w:r w:rsidRPr="001D3EC8" w:rsidR="00EC6829">
        <w:rPr>
          <w:i/>
        </w:rPr>
        <w:t>windfall</w:t>
      </w:r>
      <w:proofErr w:type="spellEnd"/>
      <w:r w:rsidRPr="001D3EC8" w:rsidR="00EC6829">
        <w:rPr>
          <w:i/>
        </w:rPr>
        <w:t xml:space="preserve"> </w:t>
      </w:r>
      <w:proofErr w:type="spellStart"/>
      <w:r w:rsidRPr="001D3EC8" w:rsidR="00EC6829">
        <w:rPr>
          <w:i/>
        </w:rPr>
        <w:t>profit</w:t>
      </w:r>
      <w:r w:rsidR="00ED714E">
        <w:rPr>
          <w:i/>
        </w:rPr>
        <w:t>s</w:t>
      </w:r>
      <w:proofErr w:type="spellEnd"/>
      <w:r w:rsidRPr="002D70A5" w:rsidR="00EC6829">
        <w:t xml:space="preserve"> </w:t>
      </w:r>
      <w:r w:rsidR="00EC6829">
        <w:t xml:space="preserve">of </w:t>
      </w:r>
      <w:proofErr w:type="spellStart"/>
      <w:r w:rsidRPr="001D3EC8" w:rsidR="00EC6829">
        <w:rPr>
          <w:i/>
        </w:rPr>
        <w:t>windfall</w:t>
      </w:r>
      <w:proofErr w:type="spellEnd"/>
      <w:r w:rsidRPr="001D3EC8" w:rsidR="00EC6829">
        <w:rPr>
          <w:i/>
        </w:rPr>
        <w:t xml:space="preserve"> </w:t>
      </w:r>
      <w:proofErr w:type="spellStart"/>
      <w:r w:rsidRPr="001D3EC8" w:rsidR="00EC6829">
        <w:rPr>
          <w:i/>
        </w:rPr>
        <w:t>loss</w:t>
      </w:r>
      <w:r w:rsidR="00ED714E">
        <w:rPr>
          <w:i/>
        </w:rPr>
        <w:t>es</w:t>
      </w:r>
      <w:proofErr w:type="spellEnd"/>
      <w:r w:rsidR="00EC6829">
        <w:t xml:space="preserve"> </w:t>
      </w:r>
      <w:r w:rsidRPr="002D70A5" w:rsidR="00EC6829">
        <w:t xml:space="preserve">voor de generaties die dan in het pensioenfonds zitten. </w:t>
      </w:r>
      <w:r w:rsidR="00F725CB">
        <w:t xml:space="preserve">Het solvabiliteitstoezicht bevordert daarmee het ontstaan van </w:t>
      </w:r>
      <w:r w:rsidRPr="00F725CB" w:rsidR="00F725CB">
        <w:t>'pech en gelukgeneraties'.</w:t>
      </w:r>
      <w:r w:rsidR="00F725CB">
        <w:t xml:space="preserve"> Dat zouden wij niet moeten willen. </w:t>
      </w:r>
    </w:p>
    <w:p w:rsidR="009601CB" w:rsidP="0093461B" w:rsidRDefault="009601CB" w14:paraId="645F4ADD" w14:textId="77777777"/>
    <w:p w:rsidRPr="002D70A5" w:rsidR="00E709E2" w:rsidP="0093461B" w:rsidRDefault="00E709E2" w14:paraId="07548206" w14:textId="77777777"/>
    <w:p w:rsidRPr="002D70A5" w:rsidR="001D3EC8" w:rsidP="00381EBF" w:rsidRDefault="00DF4FB6" w14:paraId="46079FCC" w14:textId="77918A05">
      <w:r w:rsidRPr="002D70A5">
        <w:t>E</w:t>
      </w:r>
      <w:r w:rsidRPr="002D70A5" w:rsidR="00544029">
        <w:t xml:space="preserve">lders </w:t>
      </w:r>
      <w:r w:rsidRPr="002D70A5">
        <w:t xml:space="preserve">zijn de bezwaren tegen het hanteren van de actuele rentetermijnstructuur voor de rekenrente </w:t>
      </w:r>
      <w:r w:rsidRPr="002D70A5" w:rsidR="00544029">
        <w:t>al uitvoerig beschreven</w:t>
      </w:r>
      <w:r w:rsidRPr="002D70A5">
        <w:t>. Deze</w:t>
      </w:r>
      <w:r w:rsidRPr="002D70A5" w:rsidR="00544029">
        <w:t xml:space="preserve"> bezwaren </w:t>
      </w:r>
      <w:r w:rsidRPr="002D70A5">
        <w:t xml:space="preserve">gelden </w:t>
      </w:r>
      <w:r w:rsidRPr="002D70A5" w:rsidR="00DC0C39">
        <w:t>vrijwel onverkort</w:t>
      </w:r>
      <w:r w:rsidRPr="002D70A5">
        <w:t xml:space="preserve"> tegen de positie zoals verwoord in de brief van DNB</w:t>
      </w:r>
      <w:r w:rsidRPr="002D70A5" w:rsidR="00DC0C39">
        <w:t xml:space="preserve">. Het gebruik </w:t>
      </w:r>
      <w:r w:rsidR="007B5C99">
        <w:t xml:space="preserve">van de actuele </w:t>
      </w:r>
      <w:r w:rsidRPr="002D70A5" w:rsidR="00DC0C39">
        <w:t xml:space="preserve">marktrente voor rekenrente leidt tot extra </w:t>
      </w:r>
      <w:r w:rsidRPr="002D70A5" w:rsidR="000F05AE">
        <w:t xml:space="preserve">volatiliteit; </w:t>
      </w:r>
      <w:r w:rsidRPr="002D70A5">
        <w:t xml:space="preserve">het is </w:t>
      </w:r>
      <w:r w:rsidRPr="002D70A5" w:rsidR="000F05AE">
        <w:t xml:space="preserve">navrant dat </w:t>
      </w:r>
      <w:r w:rsidRPr="002D70A5">
        <w:t xml:space="preserve">een </w:t>
      </w:r>
      <w:r w:rsidRPr="002D70A5" w:rsidR="00DC0C39">
        <w:t>institutione</w:t>
      </w:r>
      <w:r w:rsidRPr="002D70A5">
        <w:t>e</w:t>
      </w:r>
      <w:r w:rsidRPr="002D70A5" w:rsidR="000F05AE">
        <w:t xml:space="preserve">l arrangement </w:t>
      </w:r>
      <w:r w:rsidRPr="002D70A5" w:rsidR="00DC0C39">
        <w:t xml:space="preserve">dat bedoeld is de deelnemers zoveel als mogelijk te vrijwaren voor marktrisico’s langs de achterdeur van de balanswaardering grote en deels onnodige risico’s binnen haalt. </w:t>
      </w:r>
      <w:r w:rsidR="007B5C99">
        <w:t>H</w:t>
      </w:r>
      <w:r w:rsidRPr="002D70A5" w:rsidR="00DC0C39">
        <w:t>et FTK z</w:t>
      </w:r>
      <w:r w:rsidRPr="002D70A5" w:rsidR="00B46D9F">
        <w:t xml:space="preserve">et </w:t>
      </w:r>
      <w:r w:rsidR="007B5C99">
        <w:t xml:space="preserve">bovendien </w:t>
      </w:r>
      <w:r w:rsidRPr="002D70A5" w:rsidR="00B46D9F">
        <w:t xml:space="preserve">aan tot verkeerd risicomanagement: zie </w:t>
      </w:r>
      <w:r w:rsidRPr="002D70A5">
        <w:t xml:space="preserve">bijvoorbeeld de kanttekeningen van </w:t>
      </w:r>
      <w:proofErr w:type="spellStart"/>
      <w:r w:rsidRPr="002D70A5" w:rsidR="00B46D9F">
        <w:t>Eloy</w:t>
      </w:r>
      <w:proofErr w:type="spellEnd"/>
      <w:r w:rsidRPr="002D70A5" w:rsidR="00B46D9F">
        <w:t xml:space="preserve"> </w:t>
      </w:r>
      <w:proofErr w:type="spellStart"/>
      <w:r w:rsidRPr="002D70A5" w:rsidR="00B46D9F">
        <w:t>Lindeijer</w:t>
      </w:r>
      <w:proofErr w:type="spellEnd"/>
      <w:r w:rsidR="00B87F42">
        <w:t xml:space="preserve"> (</w:t>
      </w:r>
      <w:proofErr w:type="spellStart"/>
      <w:r w:rsidR="00B87F42">
        <w:t>PensioenPro</w:t>
      </w:r>
      <w:proofErr w:type="spellEnd"/>
      <w:r w:rsidR="00B87F42">
        <w:t xml:space="preserve"> 2018)</w:t>
      </w:r>
      <w:r w:rsidRPr="002D70A5" w:rsidR="00F5773F">
        <w:t xml:space="preserve">. </w:t>
      </w:r>
      <w:r w:rsidR="007B5C99">
        <w:t>De focus</w:t>
      </w:r>
      <w:r w:rsidR="00B65182">
        <w:t xml:space="preserve"> in het beleid</w:t>
      </w:r>
      <w:r w:rsidR="007B5C99">
        <w:t xml:space="preserve"> komt, zeker bij lage dekkingsgraden, steeds meer te liggen op het </w:t>
      </w:r>
      <w:r w:rsidR="005632A8">
        <w:t xml:space="preserve">insluiten van de huidige lage rente tot in de verre toekomst. Dat maakt het pensioen duur en introduceert extra inflatierisico’s. Voor het </w:t>
      </w:r>
      <w:r w:rsidR="001D3EC8">
        <w:t xml:space="preserve"> </w:t>
      </w:r>
      <w:r w:rsidR="005632A8">
        <w:t xml:space="preserve">afdekken van deze renterisico’s wordt </w:t>
      </w:r>
      <w:r w:rsidR="001D3EC8">
        <w:t xml:space="preserve">noodgedwongen </w:t>
      </w:r>
      <w:r w:rsidR="005632A8">
        <w:t>op grote schaal gebruik van gemaakt van derivaten. Dat cre</w:t>
      </w:r>
      <w:r w:rsidR="00381EBF">
        <w:rPr>
          <w:rFonts w:ascii="Cambria" w:hAnsi="Cambria"/>
        </w:rPr>
        <w:t>ë</w:t>
      </w:r>
      <w:r w:rsidR="005632A8">
        <w:t>ert extra risico’s en legt een groot beslag op liquiditeiten.</w:t>
      </w:r>
    </w:p>
    <w:p w:rsidRPr="002D70A5" w:rsidR="00A43418" w:rsidP="00C304F7" w:rsidRDefault="00A43418" w14:paraId="3C9FBA14" w14:textId="680EF9EE">
      <w:pPr>
        <w:pStyle w:val="ListParagraph"/>
        <w:ind w:left="420"/>
      </w:pPr>
    </w:p>
    <w:p w:rsidR="0074289D" w:rsidP="0074289D" w:rsidRDefault="0074289D" w14:paraId="4C19EE9E" w14:textId="77777777">
      <w:pPr>
        <w:pStyle w:val="ListParagraph"/>
        <w:ind w:left="420"/>
      </w:pPr>
    </w:p>
    <w:p w:rsidR="0074289D" w:rsidP="0074289D" w:rsidRDefault="0074289D" w14:paraId="7CB55A54" w14:textId="589E2ADA">
      <w:pPr>
        <w:ind w:left="60"/>
      </w:pPr>
      <w:r w:rsidRPr="006E6D07">
        <w:t xml:space="preserve">Er is </w:t>
      </w:r>
      <w:r w:rsidR="007B5C99">
        <w:t xml:space="preserve">vanuit </w:t>
      </w:r>
      <w:proofErr w:type="spellStart"/>
      <w:r w:rsidR="007B5C99">
        <w:t>prudentieel</w:t>
      </w:r>
      <w:proofErr w:type="spellEnd"/>
      <w:r w:rsidR="007B5C99">
        <w:t xml:space="preserve"> oogpunt </w:t>
      </w:r>
      <w:r w:rsidRPr="006E6D07">
        <w:t xml:space="preserve">geen unieke rekenrente, toch lijkt het in de discussie in Nederland alsof de risicovrije rekenrente die </w:t>
      </w:r>
      <w:r>
        <w:t>in</w:t>
      </w:r>
      <w:r w:rsidRPr="006E6D07">
        <w:t xml:space="preserve"> het Financiële Toetsingskader (FTK) in 2007 bij wet is vastgelegd, </w:t>
      </w:r>
      <w:r>
        <w:t>daar de claim oplegt</w:t>
      </w:r>
      <w:r w:rsidRPr="006E6D07">
        <w:t xml:space="preserve">. </w:t>
      </w:r>
      <w:r>
        <w:t>De marktrente als waarderingsmaatstaf is eind jaren negentig van de vorige eeuw geïntroduceerd vanuit een accountantsinvalshoek</w:t>
      </w:r>
      <w:r w:rsidR="00261997">
        <w:t xml:space="preserve"> (voor verplichtingen van het bedrijfsleven)</w:t>
      </w:r>
      <w:r>
        <w:t xml:space="preserve">. </w:t>
      </w:r>
      <w:r w:rsidRPr="002D70A5">
        <w:t>De charme zit in de objectiviteit maar impliciet gaat men uit van het gelijk van de financi</w:t>
      </w:r>
      <w:r w:rsidRPr="0074289D">
        <w:rPr>
          <w:rFonts w:ascii="Cambria" w:hAnsi="Cambria"/>
        </w:rPr>
        <w:t>ë</w:t>
      </w:r>
      <w:r w:rsidRPr="002D70A5">
        <w:t xml:space="preserve">le markten. </w:t>
      </w:r>
      <w:r w:rsidR="00261997">
        <w:t xml:space="preserve">De </w:t>
      </w:r>
      <w:r w:rsidR="00D91953">
        <w:t xml:space="preserve">waardering van </w:t>
      </w:r>
      <w:r w:rsidR="00261997">
        <w:t>lange</w:t>
      </w:r>
      <w:r w:rsidR="00381EBF">
        <w:t xml:space="preserve"> </w:t>
      </w:r>
      <w:r w:rsidR="00261997">
        <w:t>termijn</w:t>
      </w:r>
      <w:r w:rsidR="000A0939">
        <w:t xml:space="preserve"> </w:t>
      </w:r>
      <w:r w:rsidR="00261997">
        <w:t>verplichting</w:t>
      </w:r>
      <w:r w:rsidR="00D91953">
        <w:t>en</w:t>
      </w:r>
      <w:r w:rsidR="00261997">
        <w:t xml:space="preserve"> van h</w:t>
      </w:r>
      <w:r w:rsidRPr="002D70A5">
        <w:t xml:space="preserve">et pensioenfonds wordt </w:t>
      </w:r>
      <w:r w:rsidR="00D91953">
        <w:t xml:space="preserve">gedicteerd door </w:t>
      </w:r>
      <w:r w:rsidR="00261997">
        <w:t xml:space="preserve">de </w:t>
      </w:r>
      <w:r w:rsidR="00B65182">
        <w:t xml:space="preserve">actuele rente. Deze rente is onderhevig aan de </w:t>
      </w:r>
      <w:r w:rsidR="002A7E5C">
        <w:t>(</w:t>
      </w:r>
      <w:r w:rsidR="00261997">
        <w:t>korte termijn</w:t>
      </w:r>
      <w:r w:rsidR="002A7E5C">
        <w:t>)</w:t>
      </w:r>
      <w:r w:rsidR="00261997">
        <w:t xml:space="preserve"> volatiliteit </w:t>
      </w:r>
      <w:r w:rsidRPr="002D70A5">
        <w:t>van financi</w:t>
      </w:r>
      <w:r w:rsidRPr="0074289D">
        <w:rPr>
          <w:rFonts w:ascii="Cambria" w:hAnsi="Cambria"/>
        </w:rPr>
        <w:t>ë</w:t>
      </w:r>
      <w:r w:rsidRPr="002D70A5">
        <w:t>le markten</w:t>
      </w:r>
      <w:r w:rsidR="004973CA">
        <w:t>.</w:t>
      </w:r>
      <w:r w:rsidR="00B65182">
        <w:t xml:space="preserve"> </w:t>
      </w:r>
      <w:r w:rsidR="00261997">
        <w:t xml:space="preserve">Via de hefboom van de </w:t>
      </w:r>
      <w:proofErr w:type="spellStart"/>
      <w:r w:rsidR="00261997">
        <w:t>duration</w:t>
      </w:r>
      <w:proofErr w:type="spellEnd"/>
      <w:r w:rsidR="00261997">
        <w:t xml:space="preserve"> </w:t>
      </w:r>
      <w:r w:rsidR="00B65182">
        <w:t xml:space="preserve">van de lange termijnverplichtingen </w:t>
      </w:r>
      <w:r w:rsidR="00261997">
        <w:lastRenderedPageBreak/>
        <w:t>werkt dat extra hard door op de</w:t>
      </w:r>
      <w:r w:rsidR="00B65182">
        <w:t xml:space="preserve"> dekkingsgraad</w:t>
      </w:r>
      <w:r w:rsidR="00261997">
        <w:t xml:space="preserve">. </w:t>
      </w:r>
      <w:r w:rsidRPr="002D70A5">
        <w:t>Voor pensioenfonds contracten die looptijden van een halve eeuw of meer hebben is dat een discutabele zaak (</w:t>
      </w:r>
      <w:proofErr w:type="spellStart"/>
      <w:r w:rsidRPr="002D70A5">
        <w:t>to</w:t>
      </w:r>
      <w:proofErr w:type="spellEnd"/>
      <w:r w:rsidRPr="002D70A5">
        <w:t xml:space="preserve"> put </w:t>
      </w:r>
      <w:proofErr w:type="spellStart"/>
      <w:r w:rsidR="00261997">
        <w:t>it</w:t>
      </w:r>
      <w:proofErr w:type="spellEnd"/>
      <w:r w:rsidRPr="002D70A5" w:rsidR="00261997">
        <w:t xml:space="preserve"> </w:t>
      </w:r>
      <w:proofErr w:type="spellStart"/>
      <w:r w:rsidRPr="002D70A5">
        <w:t>mildly</w:t>
      </w:r>
      <w:proofErr w:type="spellEnd"/>
      <w:r w:rsidRPr="002D70A5">
        <w:t>)</w:t>
      </w:r>
      <w:r w:rsidR="004973CA">
        <w:rPr>
          <w:rStyle w:val="FootnoteReference"/>
        </w:rPr>
        <w:footnoteReference w:id="4"/>
      </w:r>
      <w:r w:rsidRPr="002D70A5">
        <w:t>.</w:t>
      </w:r>
      <w:r>
        <w:t xml:space="preserve"> </w:t>
      </w:r>
      <w:r w:rsidR="00E2492E">
        <w:t xml:space="preserve">Die benadering staat bovendien op gespannen voet met de opdracht aan DNB in de Pensioenwet: </w:t>
      </w:r>
      <w:proofErr w:type="spellStart"/>
      <w:r w:rsidRPr="00E2492E" w:rsidR="00E2492E">
        <w:t>Prudentieel</w:t>
      </w:r>
      <w:proofErr w:type="spellEnd"/>
      <w:r w:rsidRPr="00E2492E" w:rsidR="00E2492E">
        <w:t xml:space="preserve"> toezicht is toezicht gericht op de normen ten aanzien van de financiële soliditeit van pensioenfondsen </w:t>
      </w:r>
      <w:r w:rsidR="00225E06">
        <w:t xml:space="preserve">(micro) </w:t>
      </w:r>
      <w:r w:rsidRPr="00E2492E" w:rsidR="00E2492E">
        <w:t>en het bijdragen aan de financiële stabiliteit van de sector van pensioenfondsen</w:t>
      </w:r>
      <w:r w:rsidR="00225E06">
        <w:t xml:space="preserve"> (macro)</w:t>
      </w:r>
      <w:r w:rsidRPr="00E2492E" w:rsidR="00E2492E">
        <w:t>.</w:t>
      </w:r>
      <w:r w:rsidR="00E2492E">
        <w:rPr>
          <w:rStyle w:val="FootnoteReference"/>
        </w:rPr>
        <w:footnoteReference w:id="5"/>
      </w:r>
      <w:r w:rsidR="00E2492E">
        <w:t xml:space="preserve"> </w:t>
      </w:r>
      <w:r w:rsidR="00225E06">
        <w:t>Met haar opvatting bereikt DNB noch de micro- noch de macrodoelstelling.</w:t>
      </w:r>
    </w:p>
    <w:p w:rsidR="0074289D" w:rsidP="0074289D" w:rsidRDefault="0074289D" w14:paraId="5457317D" w14:textId="77777777">
      <w:pPr>
        <w:pStyle w:val="ListParagraph"/>
        <w:ind w:left="420"/>
      </w:pPr>
    </w:p>
    <w:p w:rsidR="00F5773F" w:rsidP="00F5773F" w:rsidRDefault="00F5773F" w14:paraId="3EB8F611" w14:textId="7365D1D6"/>
    <w:p w:rsidR="00F5773F" w:rsidP="00F5773F" w:rsidRDefault="00F5773F" w14:paraId="69C25CE6" w14:textId="0E7E1ADD">
      <w:pPr>
        <w:rPr>
          <w:i/>
        </w:rPr>
      </w:pPr>
      <w:r w:rsidRPr="002D70A5">
        <w:rPr>
          <w:i/>
        </w:rPr>
        <w:t>Een rekenrente</w:t>
      </w:r>
      <w:r w:rsidR="00C06F35">
        <w:rPr>
          <w:i/>
        </w:rPr>
        <w:t xml:space="preserve"> die de</w:t>
      </w:r>
      <w:r w:rsidR="00B21E05">
        <w:rPr>
          <w:i/>
        </w:rPr>
        <w:t xml:space="preserve"> pensioenambitie en</w:t>
      </w:r>
      <w:r w:rsidR="00C06F35">
        <w:rPr>
          <w:i/>
        </w:rPr>
        <w:t xml:space="preserve"> beleggingsportefeuille centraal stelt</w:t>
      </w:r>
      <w:r w:rsidRPr="002D70A5">
        <w:rPr>
          <w:i/>
        </w:rPr>
        <w:t xml:space="preserve"> </w:t>
      </w:r>
    </w:p>
    <w:p w:rsidRPr="002D70A5" w:rsidR="004A7881" w:rsidP="00F5773F" w:rsidRDefault="004A7881" w14:paraId="54E30513" w14:textId="77777777">
      <w:pPr>
        <w:rPr>
          <w:i/>
        </w:rPr>
      </w:pPr>
    </w:p>
    <w:p w:rsidR="00B77311" w:rsidP="0074289D" w:rsidRDefault="0074289D" w14:paraId="54BDA85C" w14:textId="0DC7CCF2">
      <w:r>
        <w:t xml:space="preserve">De zekerheid </w:t>
      </w:r>
      <w:r w:rsidR="00B77311">
        <w:t xml:space="preserve">en hoogte </w:t>
      </w:r>
      <w:r>
        <w:t xml:space="preserve">van de pensioenuitkering hangt af van de kwaliteit van de beleggingen en de hoogte van de </w:t>
      </w:r>
      <w:r w:rsidR="00B77311">
        <w:t>rendementen en niet van een balansmaatstaf. Daarom zoek</w:t>
      </w:r>
      <w:r w:rsidR="00EF4746">
        <w:t xml:space="preserve"> ik bij </w:t>
      </w:r>
      <w:r w:rsidR="00B77311">
        <w:t xml:space="preserve">de bepaling van de rekenrente aansluiting bij wat op lange termijn </w:t>
      </w:r>
      <w:r w:rsidR="00EF4746">
        <w:t xml:space="preserve">de </w:t>
      </w:r>
      <w:r w:rsidR="00B77311">
        <w:t xml:space="preserve">rendementsverwachting </w:t>
      </w:r>
      <w:r w:rsidR="00EF4746">
        <w:t xml:space="preserve">is </w:t>
      </w:r>
      <w:r w:rsidR="00B77311">
        <w:t xml:space="preserve">voor een beleggingsportefeuille </w:t>
      </w:r>
      <w:r w:rsidR="00DE55BE">
        <w:t>d</w:t>
      </w:r>
      <w:r w:rsidR="00B77311">
        <w:t>ie past bij het gekozen risic</w:t>
      </w:r>
      <w:r w:rsidR="00DE55BE">
        <w:t>o</w:t>
      </w:r>
      <w:r w:rsidR="00B77311">
        <w:t xml:space="preserve">profiel voor het pensioenfonds. </w:t>
      </w:r>
      <w:r w:rsidR="00EF4746">
        <w:t xml:space="preserve"> En hoe doe je dat?</w:t>
      </w:r>
    </w:p>
    <w:p w:rsidR="00B77311" w:rsidP="0074289D" w:rsidRDefault="00B77311" w14:paraId="50344080" w14:textId="77777777"/>
    <w:p w:rsidR="004C2D50" w:rsidP="004C2D50" w:rsidRDefault="00DE55BE" w14:paraId="05B83869" w14:textId="4D5F3003">
      <w:r>
        <w:t>De aldus bepaalde</w:t>
      </w:r>
      <w:r w:rsidRPr="002D70A5" w:rsidR="00C3142D">
        <w:t xml:space="preserve"> rekenrente </w:t>
      </w:r>
      <w:r w:rsidR="00D26485">
        <w:t>kijkt</w:t>
      </w:r>
      <w:r w:rsidRPr="002D70A5" w:rsidR="0036269A">
        <w:t xml:space="preserve"> </w:t>
      </w:r>
      <w:r w:rsidR="00D26485">
        <w:t>vooruit</w:t>
      </w:r>
      <w:r w:rsidRPr="002D70A5" w:rsidR="004C2D50">
        <w:t xml:space="preserve">, rekening houdend met een voor het betreffende fonds acceptabel </w:t>
      </w:r>
      <w:r w:rsidRPr="002D70A5" w:rsidR="0036269A">
        <w:t>risicoprofiel. De bepaling daarvan is in eerste instantie aan de contractpartijen zelf; de toezichthouder ziet toe op consistentie met het vigerende economische regime en op prudentie</w:t>
      </w:r>
      <w:r w:rsidR="004973CA">
        <w:t xml:space="preserve">. </w:t>
      </w:r>
      <w:r w:rsidR="00BE26F7">
        <w:t>Indien dat in de Nederlandse toezichttraditie een stap te ver is kan de wet een uniforme bovengrens aan de door pensioenfondsen te hanteren rekenrente</w:t>
      </w:r>
      <w:r w:rsidRPr="00C304F7" w:rsidR="00BE26F7">
        <w:rPr>
          <w:szCs w:val="16"/>
        </w:rPr>
        <w:t xml:space="preserve"> </w:t>
      </w:r>
      <w:r w:rsidR="00BE26F7">
        <w:rPr>
          <w:szCs w:val="16"/>
        </w:rPr>
        <w:t xml:space="preserve">voorschrijven. </w:t>
      </w:r>
      <w:r w:rsidRPr="00C304F7" w:rsidR="004973CA">
        <w:rPr>
          <w:szCs w:val="16"/>
        </w:rPr>
        <w:t>Een vooruitkijkende rekenrente zal redelijk stabiel zijn maar daarmee niet ongevoelig voor het vigerende economische regiem; substanti</w:t>
      </w:r>
      <w:r w:rsidRPr="00C304F7" w:rsidR="004973CA">
        <w:rPr>
          <w:rFonts w:ascii="Cambria" w:hAnsi="Cambria"/>
          <w:szCs w:val="16"/>
        </w:rPr>
        <w:t>ë</w:t>
      </w:r>
      <w:r w:rsidRPr="00C304F7" w:rsidR="004973CA">
        <w:rPr>
          <w:szCs w:val="16"/>
        </w:rPr>
        <w:t>le wijzigingen in economische omgeving kunnen nopen tot aanpassing van de parameters</w:t>
      </w:r>
      <w:r w:rsidRPr="002D70A5" w:rsidR="0036269A">
        <w:t xml:space="preserve">. </w:t>
      </w:r>
      <w:r w:rsidR="00FC4963">
        <w:t>Stress tests (financi</w:t>
      </w:r>
      <w:r w:rsidR="00806BA9">
        <w:rPr>
          <w:rFonts w:ascii="Cambria" w:hAnsi="Cambria"/>
        </w:rPr>
        <w:t>ë</w:t>
      </w:r>
      <w:r w:rsidR="00FC4963">
        <w:t>le gezondheid onder andere economische regimes) en cash flow analyses kunnen daarbij helpen</w:t>
      </w:r>
      <w:r w:rsidR="00FC4963">
        <w:rPr>
          <w:rStyle w:val="FootnoteReference"/>
        </w:rPr>
        <w:footnoteReference w:id="6"/>
      </w:r>
      <w:r w:rsidR="00BA4E34">
        <w:t xml:space="preserve"> om het solvabiliteits</w:t>
      </w:r>
      <w:r w:rsidR="00496EF2">
        <w:t>- en liquiditeitsrisico in beeld te brengen</w:t>
      </w:r>
      <w:r w:rsidR="00FC4963">
        <w:t xml:space="preserve">. </w:t>
      </w:r>
    </w:p>
    <w:p w:rsidR="0074289D" w:rsidP="004C2D50" w:rsidRDefault="0074289D" w14:paraId="5BA806BC" w14:textId="77777777">
      <w:pPr>
        <w:rPr>
          <w:i/>
        </w:rPr>
      </w:pPr>
    </w:p>
    <w:p w:rsidR="0074289D" w:rsidP="004C2D50" w:rsidRDefault="0074289D" w14:paraId="581748F7" w14:textId="77777777">
      <w:pPr>
        <w:rPr>
          <w:i/>
        </w:rPr>
      </w:pPr>
    </w:p>
    <w:p w:rsidR="00EC0BC9" w:rsidP="004C2D50" w:rsidRDefault="00EC0BC9" w14:paraId="07494041" w14:textId="77777777">
      <w:pPr>
        <w:rPr>
          <w:i/>
        </w:rPr>
      </w:pPr>
      <w:r>
        <w:rPr>
          <w:i/>
        </w:rPr>
        <w:t>Waar moet een prudente rekenrente aan voldoen?</w:t>
      </w:r>
    </w:p>
    <w:p w:rsidR="00C06F35" w:rsidP="004C2D50" w:rsidRDefault="00C06F35" w14:paraId="67D6846A" w14:textId="77777777">
      <w:pPr>
        <w:rPr>
          <w:i/>
        </w:rPr>
      </w:pPr>
    </w:p>
    <w:p w:rsidR="00EC0BC9" w:rsidP="004C2D50" w:rsidRDefault="00C06F35" w14:paraId="32CAEE91" w14:textId="4968C421">
      <w:r>
        <w:t>De rekenrente discussie is belast</w:t>
      </w:r>
      <w:r w:rsidR="00496EF2">
        <w:t>,</w:t>
      </w:r>
      <w:r>
        <w:t xml:space="preserve"> en beland</w:t>
      </w:r>
      <w:r w:rsidR="00D47052">
        <w:t>t</w:t>
      </w:r>
      <w:r>
        <w:t xml:space="preserve"> in een impasse; toch is het nodig uit deze impasse te komen</w:t>
      </w:r>
      <w:r w:rsidR="00017DF1">
        <w:t xml:space="preserve">. </w:t>
      </w:r>
      <w:r w:rsidR="00EC0BC9">
        <w:t xml:space="preserve">We </w:t>
      </w:r>
      <w:r w:rsidR="00017DF1">
        <w:t>zetten</w:t>
      </w:r>
      <w:r w:rsidR="00EC0BC9">
        <w:t xml:space="preserve"> </w:t>
      </w:r>
      <w:r w:rsidR="002947B7">
        <w:t>d</w:t>
      </w:r>
      <w:r w:rsidR="00EC0BC9">
        <w:t xml:space="preserve">aaraan </w:t>
      </w:r>
      <w:r w:rsidR="002947B7">
        <w:t xml:space="preserve">de eisen waaraan </w:t>
      </w:r>
      <w:r w:rsidR="00EC0BC9">
        <w:t>een go</w:t>
      </w:r>
      <w:r w:rsidR="00017DF1">
        <w:t>e</w:t>
      </w:r>
      <w:r w:rsidR="00EC0BC9">
        <w:t>de rekenrente moet voldoen</w:t>
      </w:r>
      <w:r w:rsidR="00017DF1">
        <w:t xml:space="preserve"> op een rijtje</w:t>
      </w:r>
      <w:r w:rsidR="00EC0BC9">
        <w:t>. Dat zijn er nogal wat:</w:t>
      </w:r>
    </w:p>
    <w:p w:rsidR="00EC0BC9" w:rsidP="004C2D50" w:rsidRDefault="00EC0BC9" w14:paraId="03F2C93C" w14:textId="77777777"/>
    <w:p w:rsidR="00EC0BC9" w:rsidP="00C304F7" w:rsidRDefault="00EC0BC9" w14:paraId="1BA49207" w14:textId="477C0BD8">
      <w:pPr>
        <w:pStyle w:val="ListParagraph"/>
        <w:numPr>
          <w:ilvl w:val="0"/>
          <w:numId w:val="7"/>
        </w:numPr>
      </w:pPr>
      <w:r>
        <w:t>aansluiting</w:t>
      </w:r>
      <w:r w:rsidR="00017DF1">
        <w:t xml:space="preserve"> </w:t>
      </w:r>
      <w:r>
        <w:t>bij de aard van de aanspraken: in een re</w:t>
      </w:r>
      <w:r w:rsidRPr="00EC0BC9">
        <w:rPr>
          <w:rFonts w:ascii="Cambria" w:hAnsi="Cambria"/>
        </w:rPr>
        <w:t>ë</w:t>
      </w:r>
      <w:r>
        <w:t>el pensioencontract zijn dat risicovolle aanspraken</w:t>
      </w:r>
      <w:r w:rsidR="00993800">
        <w:t xml:space="preserve"> maar wel gericht op behoud koopkracht</w:t>
      </w:r>
      <w:r>
        <w:t>;</w:t>
      </w:r>
    </w:p>
    <w:p w:rsidR="00EC0BC9" w:rsidP="00C304F7" w:rsidRDefault="00EC0BC9" w14:paraId="25774F38" w14:textId="6FD1D9FE">
      <w:pPr>
        <w:pStyle w:val="ListParagraph"/>
        <w:numPr>
          <w:ilvl w:val="0"/>
          <w:numId w:val="7"/>
        </w:numPr>
      </w:pPr>
      <w:r>
        <w:lastRenderedPageBreak/>
        <w:t>p</w:t>
      </w:r>
      <w:r w:rsidR="00017DF1">
        <w:t>rudent, dat w</w:t>
      </w:r>
      <w:r>
        <w:t>il zeggen de kans dat de aanspraken niet</w:t>
      </w:r>
      <w:r w:rsidR="00017DF1">
        <w:t xml:space="preserve"> kunnen worden nagekomen </w:t>
      </w:r>
      <w:r>
        <w:t xml:space="preserve">klein </w:t>
      </w:r>
      <w:r w:rsidR="00017DF1">
        <w:t xml:space="preserve">dient </w:t>
      </w:r>
      <w:r>
        <w:t>te zijn</w:t>
      </w:r>
      <w:r w:rsidR="004F184D">
        <w:t>. H</w:t>
      </w:r>
      <w:r>
        <w:t>oe klein hangt af van de risicovoorkeur van  de deelnemers</w:t>
      </w:r>
      <w:r w:rsidR="004F184D">
        <w:t>;</w:t>
      </w:r>
    </w:p>
    <w:p w:rsidR="00EC0BC9" w:rsidP="00C304F7" w:rsidRDefault="00017DF1" w14:paraId="5BD3DC17" w14:textId="30BF4E2C">
      <w:pPr>
        <w:pStyle w:val="ListParagraph"/>
        <w:numPr>
          <w:ilvl w:val="0"/>
          <w:numId w:val="7"/>
        </w:numPr>
      </w:pPr>
      <w:r>
        <w:t>fai</w:t>
      </w:r>
      <w:r w:rsidR="00EC0BC9">
        <w:t>r naar alle groepen deelnemers; hoe lager de rekenrente, hoe</w:t>
      </w:r>
      <w:r w:rsidR="004973CA">
        <w:t xml:space="preserve"> hoger het vereiste vermogen en hoe</w:t>
      </w:r>
      <w:r w:rsidR="00EC0BC9">
        <w:t xml:space="preserve"> zekerder en hoger het verwachte pensioen voor jongeren maar is dat fair naar de ouderen</w:t>
      </w:r>
      <w:r w:rsidR="004973CA">
        <w:t>?</w:t>
      </w:r>
      <w:r>
        <w:t xml:space="preserve"> De rekenrente moet dus ook niet hoger zijn dan nodig</w:t>
      </w:r>
      <w:r w:rsidR="002947B7">
        <w:t>;</w:t>
      </w:r>
    </w:p>
    <w:p w:rsidR="00017DF1" w:rsidP="00C304F7" w:rsidRDefault="00017DF1" w14:paraId="02002706" w14:textId="3C4F0118">
      <w:pPr>
        <w:pStyle w:val="ListParagraph"/>
        <w:numPr>
          <w:ilvl w:val="0"/>
          <w:numId w:val="7"/>
        </w:numPr>
      </w:pPr>
      <w:r>
        <w:t>stabiel maar wel meebewegend met de wijzigingen in de economische omgeving</w:t>
      </w:r>
      <w:r w:rsidR="002E6849">
        <w:t>. Bij de voorbereiding van het nieuwe FTK in 2013 was nauwelijks oog voor de effecten van neerwaartse renteschokken op het pensioen. Het CPB onderzoek naar een macro-stabiele discontovoet concludeerde: “het effect van een meer stabiele discontovoet op het pensioenresultaat is uiterst beperkt”. (CPB notitie, 12 september 2013). In januari 2015 werd het nieuwe FTK ingevoerd en in maart 2015 meldde DNB dat “vanwege de sterk gedaalde rente moeten veel pensioenfondsen deze zomer een herstelplan indienen”. Het kan verkeren. Opvallend was dat in 2014 wel veel aandacht was voor premiestabilisatie</w:t>
      </w:r>
      <w:r w:rsidR="00984B6A">
        <w:t xml:space="preserve">; de staatssecretaris deelde blijkbaar deze zorgen (brief SZW aan Tweede Kamer, 1 oktober 2013) met als gevolg dat een aparte meer stabiele en hogere rekenrente voor de premiestelling mag worden gehanteerd. Of dat </w:t>
      </w:r>
      <w:proofErr w:type="spellStart"/>
      <w:r w:rsidR="00984B6A">
        <w:t>generationeel</w:t>
      </w:r>
      <w:proofErr w:type="spellEnd"/>
      <w:r w:rsidR="00984B6A">
        <w:t xml:space="preserve"> fair was maakte niemand zich zorgen.  </w:t>
      </w:r>
    </w:p>
    <w:p w:rsidR="00017DF1" w:rsidP="00C304F7" w:rsidRDefault="00017DF1" w14:paraId="1D182032" w14:textId="2496A5F2">
      <w:pPr>
        <w:pStyle w:val="ListParagraph"/>
        <w:numPr>
          <w:ilvl w:val="0"/>
          <w:numId w:val="7"/>
        </w:numPr>
      </w:pPr>
      <w:r>
        <w:t>zoveel als mogelijk objectief vast te stellen</w:t>
      </w:r>
      <w:r w:rsidR="004F184D">
        <w:t>.</w:t>
      </w:r>
    </w:p>
    <w:p w:rsidR="00017DF1" w:rsidP="00017DF1" w:rsidRDefault="00017DF1" w14:paraId="72EDB42E" w14:textId="77777777"/>
    <w:p w:rsidR="00017DF1" w:rsidP="00017DF1" w:rsidRDefault="00017DF1" w14:paraId="0D71BFF5" w14:textId="77777777"/>
    <w:p w:rsidRPr="00C06F35" w:rsidR="00C06F35" w:rsidP="004C2D50" w:rsidRDefault="00017DF1" w14:paraId="1B8D956B" w14:textId="35068027">
      <w:r>
        <w:t>Een mogelijkheid is het hanteren van het gemiddeld rendement over het verleden. Het grote bezwaar hiertegen is  dat wijzigingen in de economische omgeving, bijvoorbeeld de overgang naar een lage rente regiem, pa</w:t>
      </w:r>
      <w:r w:rsidR="002947B7">
        <w:t>s met grote vertraging doorwerken</w:t>
      </w:r>
      <w:r>
        <w:t xml:space="preserve">. Dat is niet handig. </w:t>
      </w:r>
      <w:r w:rsidR="008A0C58">
        <w:t>Een</w:t>
      </w:r>
      <w:r>
        <w:t xml:space="preserve"> alternatief</w:t>
      </w:r>
      <w:r w:rsidR="008A0C58">
        <w:t xml:space="preserve"> is </w:t>
      </w:r>
      <w:r>
        <w:t>het gebruik van de huidige risicovrije rente plus risico-opslag</w:t>
      </w:r>
      <w:r w:rsidR="008A0C58">
        <w:t xml:space="preserve"> maar dat</w:t>
      </w:r>
      <w:r>
        <w:t xml:space="preserve"> geeft een te groot gewicht aan korte termijn marktfluctuaties. E</w:t>
      </w:r>
      <w:r w:rsidRPr="002D70A5" w:rsidR="0074289D">
        <w:t xml:space="preserve">en </w:t>
      </w:r>
      <w:r w:rsidR="00D47052">
        <w:t xml:space="preserve">enigszins </w:t>
      </w:r>
      <w:r w:rsidR="00496EF2">
        <w:t>toekomst</w:t>
      </w:r>
      <w:r w:rsidR="00D47052">
        <w:t xml:space="preserve">bestendige </w:t>
      </w:r>
      <w:r w:rsidRPr="002D70A5" w:rsidR="0074289D">
        <w:t xml:space="preserve">aanpassing </w:t>
      </w:r>
      <w:r w:rsidR="00496EF2">
        <w:t>zou zijn</w:t>
      </w:r>
      <w:r w:rsidRPr="002D70A5" w:rsidR="00496EF2">
        <w:t xml:space="preserve"> </w:t>
      </w:r>
      <w:r w:rsidRPr="002D70A5" w:rsidR="0074289D">
        <w:t xml:space="preserve">het </w:t>
      </w:r>
      <w:r w:rsidR="00B77311">
        <w:t>hanteren</w:t>
      </w:r>
      <w:r w:rsidRPr="002D70A5" w:rsidR="0074289D">
        <w:t xml:space="preserve"> van een lange t</w:t>
      </w:r>
      <w:r w:rsidR="00B77311">
        <w:t xml:space="preserve">ermijn evenwichtswaarde voor de rente: dat leidt tot meer stabiliteit en sluit aan bij de best </w:t>
      </w:r>
      <w:proofErr w:type="spellStart"/>
      <w:r w:rsidR="00B77311">
        <w:t>practices</w:t>
      </w:r>
      <w:proofErr w:type="spellEnd"/>
      <w:r w:rsidR="00B77311">
        <w:t xml:space="preserve"> in lange termijn beleggen</w:t>
      </w:r>
      <w:r w:rsidR="00496EF2">
        <w:t xml:space="preserve"> en met ontwikkelingen in het buitenland</w:t>
      </w:r>
      <w:r w:rsidR="007B2961">
        <w:rPr>
          <w:rStyle w:val="FootnoteReference"/>
        </w:rPr>
        <w:footnoteReference w:id="7"/>
      </w:r>
      <w:r w:rsidR="00984B6A">
        <w:t xml:space="preserve"> Een andere mogelijkheid is de rekenrente die gebruikt wordt voor de premiebepaling ook te gebruiken voor de waardering van de aanspraken</w:t>
      </w:r>
      <w:r w:rsidR="002A7E5C">
        <w:rPr>
          <w:rStyle w:val="FootnoteReference"/>
        </w:rPr>
        <w:footnoteReference w:id="8"/>
      </w:r>
      <w:r w:rsidR="00984B6A">
        <w:t xml:space="preserve">. Dat is transparant, </w:t>
      </w:r>
      <w:proofErr w:type="spellStart"/>
      <w:r w:rsidR="00984B6A">
        <w:t>generationeel</w:t>
      </w:r>
      <w:proofErr w:type="spellEnd"/>
      <w:r w:rsidR="00984B6A">
        <w:t xml:space="preserve"> fair en draagt bij aan de stabiliteit van het stelsel</w:t>
      </w:r>
      <w:r w:rsidR="00B77311">
        <w:t xml:space="preserve">.  </w:t>
      </w:r>
    </w:p>
    <w:p w:rsidRPr="002D70A5" w:rsidR="00B87F42" w:rsidP="004C2D50" w:rsidRDefault="00B87F42" w14:paraId="4A5A968B" w14:textId="77777777"/>
    <w:p w:rsidRPr="001D3EC8" w:rsidR="00206A2E" w:rsidP="00206A2E" w:rsidRDefault="00B87F42" w14:paraId="2C4F3D47" w14:textId="6C82CD9A">
      <w:pPr>
        <w:rPr>
          <w:lang w:val="sv-SE"/>
        </w:rPr>
      </w:pPr>
      <w:r w:rsidRPr="001D3EC8">
        <w:rPr>
          <w:lang w:val="sv-SE"/>
        </w:rPr>
        <w:t>J</w:t>
      </w:r>
      <w:r w:rsidRPr="001D3EC8" w:rsidR="00206A2E">
        <w:rPr>
          <w:lang w:val="sv-SE"/>
        </w:rPr>
        <w:t xml:space="preserve">ean </w:t>
      </w:r>
      <w:proofErr w:type="spellStart"/>
      <w:r w:rsidRPr="001D3EC8" w:rsidR="00206A2E">
        <w:rPr>
          <w:lang w:val="sv-SE"/>
        </w:rPr>
        <w:t>Frijns</w:t>
      </w:r>
      <w:proofErr w:type="spellEnd"/>
      <w:r w:rsidRPr="001D3EC8" w:rsidR="00206A2E">
        <w:rPr>
          <w:lang w:val="sv-SE"/>
        </w:rPr>
        <w:t>,</w:t>
      </w:r>
      <w:r w:rsidRPr="001D3EC8">
        <w:rPr>
          <w:lang w:val="sv-SE"/>
        </w:rPr>
        <w:t xml:space="preserve"> </w:t>
      </w:r>
      <w:r w:rsidR="00BB52D9">
        <w:rPr>
          <w:lang w:val="sv-SE"/>
        </w:rPr>
        <w:t>1</w:t>
      </w:r>
      <w:r w:rsidR="00FA10D7">
        <w:rPr>
          <w:lang w:val="sv-SE"/>
        </w:rPr>
        <w:t>5</w:t>
      </w:r>
      <w:r w:rsidRPr="001D3EC8" w:rsidR="00BB52D9">
        <w:rPr>
          <w:lang w:val="sv-SE"/>
        </w:rPr>
        <w:t xml:space="preserve"> </w:t>
      </w:r>
      <w:r w:rsidRPr="001D3EC8">
        <w:rPr>
          <w:lang w:val="sv-SE"/>
        </w:rPr>
        <w:t>januari 2019</w:t>
      </w:r>
    </w:p>
    <w:p w:rsidRPr="001D3EC8" w:rsidR="00085EEE" w:rsidP="00206A2E" w:rsidRDefault="00085EEE" w14:paraId="31A5F227" w14:textId="6638A08F">
      <w:pPr>
        <w:rPr>
          <w:lang w:val="sv-SE"/>
        </w:rPr>
      </w:pPr>
      <w:r w:rsidRPr="001D3EC8">
        <w:rPr>
          <w:lang w:val="sv-SE"/>
        </w:rPr>
        <w:t>Jeanfrijns2@gmail.com</w:t>
      </w:r>
    </w:p>
    <w:p w:rsidRPr="001D3EC8" w:rsidR="00D26485" w:rsidP="00206A2E" w:rsidRDefault="00D26485" w14:paraId="1C982335" w14:textId="77777777">
      <w:pPr>
        <w:rPr>
          <w:lang w:val="sv-SE"/>
        </w:rPr>
      </w:pPr>
    </w:p>
    <w:p w:rsidR="00D26485" w:rsidP="00206A2E" w:rsidRDefault="00D26485" w14:paraId="138B6B2B" w14:textId="77777777">
      <w:pPr>
        <w:rPr>
          <w:lang w:val="sv-SE"/>
        </w:rPr>
      </w:pPr>
    </w:p>
    <w:p w:rsidR="00FA10D7" w:rsidP="00206A2E" w:rsidRDefault="00FA10D7" w14:paraId="02D2F200" w14:textId="77777777">
      <w:pPr>
        <w:rPr>
          <w:lang w:val="sv-SE"/>
        </w:rPr>
      </w:pPr>
    </w:p>
    <w:p w:rsidR="00FA10D7" w:rsidP="00206A2E" w:rsidRDefault="00FA10D7" w14:paraId="719A9455" w14:textId="77777777">
      <w:pPr>
        <w:rPr>
          <w:lang w:val="sv-SE"/>
        </w:rPr>
      </w:pPr>
    </w:p>
    <w:p w:rsidR="00FA10D7" w:rsidP="00206A2E" w:rsidRDefault="00FA10D7" w14:paraId="523972C5" w14:textId="77777777">
      <w:pPr>
        <w:rPr>
          <w:lang w:val="sv-SE"/>
        </w:rPr>
      </w:pPr>
    </w:p>
    <w:p w:rsidRPr="001D3EC8" w:rsidR="00FA10D7" w:rsidP="00206A2E" w:rsidRDefault="00FA10D7" w14:paraId="7A3B4051" w14:textId="77777777">
      <w:pPr>
        <w:rPr>
          <w:lang w:val="sv-SE"/>
        </w:rPr>
      </w:pPr>
      <w:bookmarkStart w:name="_GoBack" w:id="0"/>
      <w:bookmarkEnd w:id="0"/>
    </w:p>
    <w:p w:rsidRPr="001D3EC8" w:rsidR="00F42142" w:rsidP="00206A2E" w:rsidRDefault="00F42142" w14:paraId="3ED8F8A8" w14:textId="77777777">
      <w:pPr>
        <w:rPr>
          <w:lang w:val="sv-SE"/>
        </w:rPr>
      </w:pPr>
    </w:p>
    <w:p w:rsidRPr="001D3EC8" w:rsidR="00F42142" w:rsidP="00206A2E" w:rsidRDefault="00F42142" w14:paraId="1C943B4E" w14:textId="77777777">
      <w:pPr>
        <w:rPr>
          <w:lang w:val="sv-SE"/>
        </w:rPr>
      </w:pPr>
    </w:p>
    <w:p w:rsidRPr="001D3EC8" w:rsidR="00F42142" w:rsidP="00206A2E" w:rsidRDefault="00F42142" w14:paraId="7DB3D5CE" w14:textId="77777777">
      <w:pPr>
        <w:rPr>
          <w:lang w:val="sv-SE"/>
        </w:rPr>
      </w:pPr>
    </w:p>
    <w:p w:rsidR="00206A2E" w:rsidP="00206A2E" w:rsidRDefault="00D5603A" w14:paraId="76EEAA3A" w14:textId="6FD1A96A">
      <w:r>
        <w:t xml:space="preserve">Kort CV J </w:t>
      </w:r>
      <w:proofErr w:type="spellStart"/>
      <w:r>
        <w:t>Frijns</w:t>
      </w:r>
      <w:proofErr w:type="spellEnd"/>
    </w:p>
    <w:p w:rsidR="00D5603A" w:rsidP="00206A2E" w:rsidRDefault="00D5603A" w14:paraId="6EEF5D0D" w14:textId="77777777"/>
    <w:p w:rsidRPr="002D70A5" w:rsidR="00D5603A" w:rsidP="00206A2E" w:rsidRDefault="00D5603A" w14:paraId="595D44B6" w14:textId="3422EDAF">
      <w:proofErr w:type="spellStart"/>
      <w:r>
        <w:t>Dr</w:t>
      </w:r>
      <w:proofErr w:type="spellEnd"/>
      <w:r>
        <w:t xml:space="preserve"> J M G </w:t>
      </w:r>
      <w:proofErr w:type="spellStart"/>
      <w:r>
        <w:t>Frijns</w:t>
      </w:r>
      <w:proofErr w:type="spellEnd"/>
      <w:r>
        <w:t xml:space="preserve"> (1947) is econometrist </w:t>
      </w:r>
      <w:r w:rsidR="001C2647">
        <w:t>en begon zijn loopbaan</w:t>
      </w:r>
      <w:r>
        <w:t xml:space="preserve"> bij de Universiteit Tilburg en het Centraal Planbureau. Van 1988 tot 2005 was hij werkzaam bij het ABP, de laatste 12 jaar als directeur beleggingen. Van 1993 tot 2005 was hij deeltijdhoogleraar Beleggingsleer aan de VU. Na zijn vertrek bij ABP </w:t>
      </w:r>
      <w:r w:rsidR="001C2647">
        <w:t>is hij werkzaam geweest als adviseur en commissaris in de financi</w:t>
      </w:r>
      <w:r w:rsidR="001C2647">
        <w:rPr>
          <w:rFonts w:ascii="Cambria" w:hAnsi="Cambria"/>
        </w:rPr>
        <w:t>ë</w:t>
      </w:r>
      <w:r w:rsidR="001C2647">
        <w:t xml:space="preserve">le sector. </w:t>
      </w:r>
      <w:r>
        <w:t xml:space="preserve"> </w:t>
      </w:r>
    </w:p>
    <w:p w:rsidRPr="002D70A5" w:rsidR="00B46D9F" w:rsidP="00206A2E" w:rsidRDefault="00B46D9F" w14:paraId="1F297F41" w14:textId="77777777"/>
    <w:p w:rsidRPr="002D70A5" w:rsidR="00C926F5" w:rsidP="00206A2E" w:rsidRDefault="00C926F5" w14:paraId="1D28DAE7" w14:textId="77777777"/>
    <w:p w:rsidRPr="002D70A5" w:rsidR="00C926F5" w:rsidP="00206A2E" w:rsidRDefault="00C926F5" w14:paraId="43629813" w14:textId="77777777"/>
    <w:p w:rsidRPr="002D70A5" w:rsidR="00C926F5" w:rsidP="00206A2E" w:rsidRDefault="00C926F5" w14:paraId="3870E7AC" w14:textId="77777777"/>
    <w:p w:rsidRPr="002D70A5" w:rsidR="00C926F5" w:rsidP="00206A2E" w:rsidRDefault="00C926F5" w14:paraId="5E7471FF" w14:textId="77777777"/>
    <w:p w:rsidRPr="002D70A5" w:rsidR="00C926F5" w:rsidP="00206A2E" w:rsidRDefault="00C926F5" w14:paraId="719C3234" w14:textId="77777777"/>
    <w:p w:rsidRPr="002D70A5" w:rsidR="00C926F5" w:rsidP="00206A2E" w:rsidRDefault="00C926F5" w14:paraId="6702B394" w14:textId="77777777"/>
    <w:p w:rsidRPr="002D70A5" w:rsidR="00C926F5" w:rsidP="00206A2E" w:rsidRDefault="00C926F5" w14:paraId="6DB01D96" w14:textId="77777777"/>
    <w:p w:rsidRPr="002D70A5" w:rsidR="00C926F5" w:rsidP="00206A2E" w:rsidRDefault="00C926F5" w14:paraId="103EF1CD" w14:textId="77777777"/>
    <w:p w:rsidRPr="002D70A5" w:rsidR="00C926F5" w:rsidP="00206A2E" w:rsidRDefault="00C926F5" w14:paraId="59CEF128" w14:textId="77777777"/>
    <w:p w:rsidRPr="002D70A5" w:rsidR="00C926F5" w:rsidP="00206A2E" w:rsidRDefault="00C926F5" w14:paraId="73066165" w14:textId="77777777"/>
    <w:p w:rsidRPr="002D70A5" w:rsidR="00C926F5" w:rsidP="00206A2E" w:rsidRDefault="00C926F5" w14:paraId="56D36609" w14:textId="77777777"/>
    <w:p w:rsidRPr="002D70A5" w:rsidR="00C926F5" w:rsidP="00206A2E" w:rsidRDefault="00C926F5" w14:paraId="06FE5B56" w14:textId="77777777"/>
    <w:p w:rsidRPr="002D70A5" w:rsidR="00B46D9F" w:rsidP="00206A2E" w:rsidRDefault="00B46D9F" w14:paraId="1603A840" w14:textId="77777777"/>
    <w:p w:rsidRPr="002D70A5" w:rsidR="00D61869" w:rsidP="00206A2E" w:rsidRDefault="00D61869" w14:paraId="222DF190" w14:textId="77777777"/>
    <w:p w:rsidRPr="002D70A5" w:rsidR="00D61869" w:rsidP="00206A2E" w:rsidRDefault="00D61869" w14:paraId="5D633526" w14:textId="77777777"/>
    <w:p w:rsidRPr="002D70A5" w:rsidR="00D61869" w:rsidP="00206A2E" w:rsidRDefault="00D61869" w14:paraId="504FA7AB" w14:textId="77777777"/>
    <w:p w:rsidRPr="002D70A5" w:rsidR="00A94672" w:rsidP="00206A2E" w:rsidRDefault="00A94672" w14:paraId="5E834E72" w14:textId="12135F2C">
      <w:r w:rsidRPr="002D70A5">
        <w:t xml:space="preserve"> </w:t>
      </w:r>
    </w:p>
    <w:p w:rsidRPr="002D70A5" w:rsidR="00A94672" w:rsidP="00206A2E" w:rsidRDefault="00A94672" w14:paraId="0147378A" w14:textId="77777777"/>
    <w:p w:rsidRPr="002D70A5" w:rsidR="00A94672" w:rsidP="00206A2E" w:rsidRDefault="00A94672" w14:paraId="242A4E73" w14:textId="77777777"/>
    <w:p w:rsidRPr="002D70A5" w:rsidR="00F773CA" w:rsidP="00F773CA" w:rsidRDefault="00F773CA" w14:paraId="124CD6F9" w14:textId="77777777"/>
    <w:p w:rsidRPr="002D70A5" w:rsidR="00F773CA" w:rsidP="00F773CA" w:rsidRDefault="00F773CA" w14:paraId="28DFD63D" w14:textId="77777777">
      <w:r w:rsidRPr="002D70A5">
        <w:br/>
      </w:r>
    </w:p>
    <w:sectPr w:rsidRPr="002D70A5" w:rsidR="00F773CA" w:rsidSect="00352209">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2D5149" w15:done="0"/>
  <w15:commentEx w15:paraId="16ACFFE8" w15:done="0"/>
  <w15:commentEx w15:paraId="55F240CC" w15:done="0"/>
  <w15:commentEx w15:paraId="0067658F" w15:done="0"/>
  <w15:commentEx w15:paraId="2FADD6A8" w15:done="0"/>
  <w15:commentEx w15:paraId="4EEC7FDD" w15:done="0"/>
  <w15:commentEx w15:paraId="37569DC1" w15:done="0"/>
  <w15:commentEx w15:paraId="1CF2A42B" w15:done="0"/>
  <w15:commentEx w15:paraId="0B04E673" w15:done="0"/>
  <w15:commentEx w15:paraId="180BF480" w15:done="0"/>
  <w15:commentEx w15:paraId="6BB850EC" w15:done="0"/>
  <w15:commentEx w15:paraId="77B2C911" w15:done="0"/>
  <w15:commentEx w15:paraId="09E0F169" w15:done="0"/>
  <w15:commentEx w15:paraId="39645BC2" w15:done="0"/>
  <w15:commentEx w15:paraId="1D1008A9" w15:done="0"/>
  <w15:commentEx w15:paraId="00AFB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DD6A8" w16cid:durableId="1FE1D51E"/>
  <w16cid:commentId w16cid:paraId="1CF2A42B" w16cid:durableId="1FE1D5FE"/>
  <w16cid:commentId w16cid:paraId="180BF480" w16cid:durableId="1FE1DE33"/>
  <w16cid:commentId w16cid:paraId="77B2C911" w16cid:durableId="1FE1DB2B"/>
  <w16cid:commentId w16cid:paraId="39645BC2" w16cid:durableId="1FE1DE8F"/>
  <w16cid:commentId w16cid:paraId="00AFB9AA" w16cid:durableId="1FE1DC6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6DBC7" w14:textId="77777777" w:rsidR="00FA10D7" w:rsidRDefault="00FA10D7" w:rsidP="004D48D8">
      <w:r>
        <w:separator/>
      </w:r>
    </w:p>
  </w:endnote>
  <w:endnote w:type="continuationSeparator" w:id="0">
    <w:p w14:paraId="1F041DFF" w14:textId="77777777" w:rsidR="00FA10D7" w:rsidRDefault="00FA10D7" w:rsidP="004D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Microsoft Sans Serif"/>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144D" w14:textId="7E0FFDB6" w:rsidR="00FA10D7" w:rsidRDefault="00FA10D7" w:rsidP="00731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6BD09CE" w14:textId="77777777" w:rsidR="00FA10D7" w:rsidRDefault="00FA10D7" w:rsidP="00D662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F54A" w14:textId="71E9B93D" w:rsidR="00FA10D7" w:rsidRDefault="00FA10D7" w:rsidP="00731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F35">
      <w:rPr>
        <w:rStyle w:val="PageNumber"/>
        <w:noProof/>
      </w:rPr>
      <w:t>4</w:t>
    </w:r>
    <w:r>
      <w:rPr>
        <w:rStyle w:val="PageNumber"/>
      </w:rPr>
      <w:fldChar w:fldCharType="end"/>
    </w:r>
  </w:p>
  <w:p w14:paraId="4F5D5DAF" w14:textId="77777777" w:rsidR="00FA10D7" w:rsidRDefault="00FA10D7" w:rsidP="00D6628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C60BE" w14:textId="77777777" w:rsidR="00FA10D7" w:rsidRDefault="00FA10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5C16C" w14:textId="77777777" w:rsidR="00FA10D7" w:rsidRDefault="00FA10D7" w:rsidP="004D48D8">
      <w:r>
        <w:separator/>
      </w:r>
    </w:p>
  </w:footnote>
  <w:footnote w:type="continuationSeparator" w:id="0">
    <w:p w14:paraId="6CDD725D" w14:textId="77777777" w:rsidR="00FA10D7" w:rsidRDefault="00FA10D7" w:rsidP="004D48D8">
      <w:r>
        <w:continuationSeparator/>
      </w:r>
    </w:p>
  </w:footnote>
  <w:footnote w:id="1">
    <w:p w14:paraId="5720D3BB" w14:textId="643867C2" w:rsidR="00FA10D7" w:rsidRPr="00E05BB0" w:rsidRDefault="00FA10D7">
      <w:pPr>
        <w:pStyle w:val="FootnoteText"/>
      </w:pPr>
      <w:r>
        <w:rPr>
          <w:rStyle w:val="FootnoteReference"/>
        </w:rPr>
        <w:footnoteRef/>
      </w:r>
      <w:r>
        <w:t xml:space="preserve"> En met mij anderen: Zie </w:t>
      </w:r>
      <w:proofErr w:type="spellStart"/>
      <w:r w:rsidRPr="00E05BB0">
        <w:t>Frijns</w:t>
      </w:r>
      <w:proofErr w:type="spellEnd"/>
      <w:r w:rsidRPr="00E05BB0">
        <w:t>, Maatman en Mensonides (Ondernemingsrecht, 2018</w:t>
      </w:r>
      <w:r>
        <w:t>/122</w:t>
      </w:r>
      <w:r w:rsidRPr="00E05BB0">
        <w:t xml:space="preserve">) en </w:t>
      </w:r>
      <w:proofErr w:type="spellStart"/>
      <w:r w:rsidRPr="00E05BB0">
        <w:t>Teulings</w:t>
      </w:r>
      <w:proofErr w:type="spellEnd"/>
      <w:r w:rsidRPr="00E05BB0">
        <w:t xml:space="preserve"> (FD 19 oktober 2019)</w:t>
      </w:r>
      <w:r>
        <w:t>.</w:t>
      </w:r>
      <w:r w:rsidRPr="00E05BB0" w:rsidDel="00E05BB0">
        <w:t xml:space="preserve"> </w:t>
      </w:r>
    </w:p>
  </w:footnote>
  <w:footnote w:id="2">
    <w:p w14:paraId="55E778E4" w14:textId="30736440" w:rsidR="00FA10D7" w:rsidRPr="00381EBF" w:rsidRDefault="00FA10D7">
      <w:pPr>
        <w:pStyle w:val="FootnoteText"/>
        <w:rPr>
          <w:szCs w:val="16"/>
        </w:rPr>
      </w:pPr>
      <w:r>
        <w:rPr>
          <w:rStyle w:val="FootnoteReference"/>
        </w:rPr>
        <w:footnoteRef/>
      </w:r>
      <w:r>
        <w:t xml:space="preserve"> </w:t>
      </w:r>
      <w:r w:rsidRPr="00381EBF">
        <w:rPr>
          <w:szCs w:val="16"/>
        </w:rPr>
        <w:t>Zoals wel is gebeurd in 2013 in het concept van de Wet invoering re</w:t>
      </w:r>
      <w:r w:rsidRPr="00381EBF">
        <w:rPr>
          <w:rFonts w:ascii="Cambria" w:hAnsi="Cambria"/>
          <w:szCs w:val="16"/>
        </w:rPr>
        <w:t>ë</w:t>
      </w:r>
      <w:r w:rsidRPr="00381EBF">
        <w:rPr>
          <w:szCs w:val="16"/>
        </w:rPr>
        <w:t xml:space="preserve">le ambitieovereenkomst; daarin is voor de rekenrente uitgegaan van een risico-opslag op de risicovrije rente. </w:t>
      </w:r>
    </w:p>
  </w:footnote>
  <w:footnote w:id="3">
    <w:p w14:paraId="4F2C91D1" w14:textId="6127D9BB" w:rsidR="00FA10D7" w:rsidRPr="002D70A5" w:rsidRDefault="00FA10D7" w:rsidP="00381EBF">
      <w:r w:rsidRPr="004F184D">
        <w:rPr>
          <w:rStyle w:val="FootnoteReference"/>
          <w:sz w:val="16"/>
          <w:szCs w:val="16"/>
        </w:rPr>
        <w:footnoteRef/>
      </w:r>
      <w:r>
        <w:t xml:space="preserve"> </w:t>
      </w:r>
      <w:r w:rsidRPr="00381EBF">
        <w:rPr>
          <w:sz w:val="16"/>
          <w:szCs w:val="16"/>
        </w:rPr>
        <w:t>Ik ben overigens om nog een ander</w:t>
      </w:r>
      <w:r>
        <w:rPr>
          <w:sz w:val="16"/>
          <w:szCs w:val="16"/>
        </w:rPr>
        <w:t>e</w:t>
      </w:r>
      <w:r w:rsidRPr="00381EBF">
        <w:rPr>
          <w:sz w:val="16"/>
          <w:szCs w:val="16"/>
        </w:rPr>
        <w:t xml:space="preserve"> reden niet ingenomen met de praktijk nominale aanspraken contant te maken met een nominale rente. Impliciet wordt dan aangenomen dat de te verdienen risicopremie kan worden gebruikt voor indexatie en koopkrachtbehoud. I</w:t>
      </w:r>
      <w:r>
        <w:rPr>
          <w:sz w:val="16"/>
          <w:szCs w:val="16"/>
        </w:rPr>
        <w:t>s</w:t>
      </w:r>
      <w:r w:rsidRPr="00381EBF">
        <w:rPr>
          <w:sz w:val="16"/>
          <w:szCs w:val="16"/>
        </w:rPr>
        <w:t xml:space="preserve"> deze risicopremie hoger dan de verwachte inflatie </w:t>
      </w:r>
      <w:r>
        <w:rPr>
          <w:sz w:val="16"/>
          <w:szCs w:val="16"/>
        </w:rPr>
        <w:t>dan zal</w:t>
      </w:r>
      <w:r w:rsidRPr="00381EBF">
        <w:rPr>
          <w:sz w:val="16"/>
          <w:szCs w:val="16"/>
        </w:rPr>
        <w:t xml:space="preserve"> de verwachte vervangingsratio (= pensioenuitkering/target uitkering) </w:t>
      </w:r>
      <w:r>
        <w:rPr>
          <w:sz w:val="16"/>
          <w:szCs w:val="16"/>
        </w:rPr>
        <w:t>hoger zijn naarmate</w:t>
      </w:r>
      <w:r w:rsidRPr="00381EBF">
        <w:rPr>
          <w:sz w:val="16"/>
          <w:szCs w:val="16"/>
        </w:rPr>
        <w:t xml:space="preserve"> de deelnemer jonger is. Is de risicopremie lager dan de verwachte inflatie dan geldt het omgekeerde</w:t>
      </w:r>
      <w:r>
        <w:rPr>
          <w:sz w:val="16"/>
          <w:szCs w:val="16"/>
        </w:rPr>
        <w:t>.</w:t>
      </w:r>
      <w:r w:rsidRPr="002D70A5">
        <w:t xml:space="preserve"> </w:t>
      </w:r>
    </w:p>
    <w:p w14:paraId="7BE2ED97" w14:textId="77777777" w:rsidR="00FA10D7" w:rsidRDefault="00FA10D7" w:rsidP="00381EBF">
      <w:pPr>
        <w:pStyle w:val="FootnoteText"/>
      </w:pPr>
    </w:p>
  </w:footnote>
  <w:footnote w:id="4">
    <w:p w14:paraId="067CA868" w14:textId="17BFDC17" w:rsidR="00FA10D7" w:rsidRDefault="00FA10D7">
      <w:pPr>
        <w:pStyle w:val="FootnoteText"/>
      </w:pPr>
      <w:r>
        <w:rPr>
          <w:rStyle w:val="FootnoteReference"/>
        </w:rPr>
        <w:footnoteRef/>
      </w:r>
      <w:r>
        <w:t xml:space="preserve"> </w:t>
      </w:r>
      <w:r>
        <w:t xml:space="preserve">De huidige rentetermijnstructuur en daarvan afgeleide grootheden als de “forward” rentes zijn bovendien notoir slechte voorspellers van de rente over 20 jaar en verder. De rente is regiem-afhankelijk en over een periode van 50 jaar en verder zijn regiemwisselingen meer dan waarschijnlijk. </w:t>
      </w:r>
    </w:p>
  </w:footnote>
  <w:footnote w:id="5">
    <w:p w14:paraId="1F4626DB" w14:textId="6C2B8353" w:rsidR="00FA10D7" w:rsidRPr="00E2492E" w:rsidRDefault="00FA10D7">
      <w:pPr>
        <w:pStyle w:val="FootnoteText"/>
      </w:pPr>
      <w:r>
        <w:rPr>
          <w:rStyle w:val="FootnoteReference"/>
        </w:rPr>
        <w:footnoteRef/>
      </w:r>
      <w:r>
        <w:t xml:space="preserve"> </w:t>
      </w:r>
      <w:r>
        <w:t xml:space="preserve">Art. 151 PW. Het derde lid bepaalt dat DNB is </w:t>
      </w:r>
      <w:r w:rsidRPr="00E2492E">
        <w:t xml:space="preserve">belast met het </w:t>
      </w:r>
      <w:proofErr w:type="spellStart"/>
      <w:r w:rsidRPr="00E2492E">
        <w:t>prudentieel</w:t>
      </w:r>
      <w:proofErr w:type="spellEnd"/>
      <w:r w:rsidRPr="00E2492E">
        <w:t xml:space="preserve"> toezicht en het materieel toezicht.</w:t>
      </w:r>
    </w:p>
  </w:footnote>
  <w:footnote w:id="6">
    <w:p w14:paraId="60375EE7" w14:textId="783EEBD2" w:rsidR="00FA10D7" w:rsidRPr="004F184D" w:rsidRDefault="00FA10D7" w:rsidP="004973CA">
      <w:pPr>
        <w:rPr>
          <w:sz w:val="16"/>
          <w:szCs w:val="16"/>
        </w:rPr>
      </w:pPr>
      <w:r w:rsidRPr="004F184D">
        <w:rPr>
          <w:rStyle w:val="FootnoteReference"/>
          <w:sz w:val="16"/>
          <w:szCs w:val="16"/>
        </w:rPr>
        <w:footnoteRef/>
      </w:r>
      <w:r w:rsidRPr="004F184D">
        <w:rPr>
          <w:sz w:val="16"/>
          <w:szCs w:val="16"/>
        </w:rPr>
        <w:t>. Pensioenfondsbesturen zien zich ook nu gesteld voor de vraag hoe een evenwichtige behandeling van de verschillende (</w:t>
      </w:r>
      <w:proofErr w:type="spellStart"/>
      <w:r w:rsidRPr="004F184D">
        <w:rPr>
          <w:sz w:val="16"/>
          <w:szCs w:val="16"/>
        </w:rPr>
        <w:t>leeftijds</w:t>
      </w:r>
      <w:proofErr w:type="spellEnd"/>
      <w:r w:rsidRPr="004F184D">
        <w:rPr>
          <w:sz w:val="16"/>
          <w:szCs w:val="16"/>
        </w:rPr>
        <w:t xml:space="preserve">)groepen vorm te geven. Veelal maken zij daarbij gebruik van een modellering van de pensioenuitkeringen over de tijd en per groep. In deze methode wordt met simulaties onder verschillende economische scenario’s de onzekere toekomst zo goed mogelijk verkend. Toetsen op evenwichtigheid worden gebaseerd op de uitkomsten van deze simulatie/scenario studies. </w:t>
      </w:r>
    </w:p>
    <w:p w14:paraId="4740B0B7" w14:textId="77777777" w:rsidR="00FA10D7" w:rsidRPr="004F184D" w:rsidRDefault="00FA10D7" w:rsidP="004973CA">
      <w:pPr>
        <w:rPr>
          <w:i/>
          <w:sz w:val="16"/>
          <w:szCs w:val="16"/>
        </w:rPr>
      </w:pPr>
    </w:p>
    <w:p w14:paraId="42FE8488" w14:textId="2EB4BB79" w:rsidR="00FA10D7" w:rsidRPr="00E06DB1" w:rsidRDefault="00FA10D7">
      <w:pPr>
        <w:pStyle w:val="FootnoteText"/>
        <w:rPr>
          <w:szCs w:val="16"/>
        </w:rPr>
      </w:pPr>
    </w:p>
  </w:footnote>
  <w:footnote w:id="7">
    <w:p w14:paraId="3BCAF057" w14:textId="4773F2EB" w:rsidR="00FA10D7" w:rsidRDefault="00FA10D7">
      <w:pPr>
        <w:pStyle w:val="FootnoteText"/>
      </w:pPr>
      <w:r>
        <w:rPr>
          <w:rStyle w:val="FootnoteReference"/>
        </w:rPr>
        <w:footnoteRef/>
      </w:r>
      <w:r>
        <w:t xml:space="preserve"> </w:t>
      </w:r>
      <w:r w:rsidR="00425F35">
        <w:t xml:space="preserve">Te overwegen is ook </w:t>
      </w:r>
      <w:r>
        <w:t xml:space="preserve">het gebruik van het voortschrijdend gemiddelde van de groei van het bruto nationaal product. Zie hiervoor het artikel van </w:t>
      </w:r>
      <w:proofErr w:type="spellStart"/>
      <w:r>
        <w:t>Frijns</w:t>
      </w:r>
      <w:proofErr w:type="spellEnd"/>
      <w:r>
        <w:t xml:space="preserve">, van de Klundert en van </w:t>
      </w:r>
      <w:proofErr w:type="spellStart"/>
      <w:r>
        <w:t>Nunen</w:t>
      </w:r>
      <w:proofErr w:type="spellEnd"/>
      <w:r>
        <w:t xml:space="preserve"> (ESB, 2017). </w:t>
      </w:r>
    </w:p>
  </w:footnote>
  <w:footnote w:id="8">
    <w:p w14:paraId="556F1755" w14:textId="60C6D8DA" w:rsidR="002A7E5C" w:rsidRDefault="002A7E5C">
      <w:pPr>
        <w:pStyle w:val="FootnoteText"/>
      </w:pPr>
      <w:r>
        <w:rPr>
          <w:rStyle w:val="FootnoteReference"/>
        </w:rPr>
        <w:footnoteRef/>
      </w:r>
      <w:r>
        <w:t xml:space="preserve"> </w:t>
      </w:r>
      <w:r>
        <w:t xml:space="preserve">Voor premiedemping, zie art.128 lid 2 </w:t>
      </w:r>
      <w:proofErr w:type="spellStart"/>
      <w:r>
        <w:t>Pw</w:t>
      </w:r>
      <w:proofErr w:type="spell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5EC85" w14:textId="77777777" w:rsidR="00FA10D7" w:rsidRDefault="00FA10D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A667" w14:textId="77777777" w:rsidR="00FA10D7" w:rsidRDefault="00FA10D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8F571" w14:textId="77777777" w:rsidR="00FA10D7" w:rsidRDefault="00FA10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2C2"/>
    <w:multiLevelType w:val="hybridMultilevel"/>
    <w:tmpl w:val="68A6216E"/>
    <w:lvl w:ilvl="0" w:tplc="CC6A8644">
      <w:start w:val="4"/>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C7F689A"/>
    <w:multiLevelType w:val="hybridMultilevel"/>
    <w:tmpl w:val="6EBA5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3B33A5"/>
    <w:multiLevelType w:val="hybridMultilevel"/>
    <w:tmpl w:val="F8D6AC0C"/>
    <w:lvl w:ilvl="0" w:tplc="73C6D6E8">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C4AB5"/>
    <w:multiLevelType w:val="hybridMultilevel"/>
    <w:tmpl w:val="9880D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60938"/>
    <w:multiLevelType w:val="hybridMultilevel"/>
    <w:tmpl w:val="63B20D9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6D76E9"/>
    <w:multiLevelType w:val="hybridMultilevel"/>
    <w:tmpl w:val="7918FAD2"/>
    <w:lvl w:ilvl="0" w:tplc="083C62B6">
      <w:start w:val="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15162"/>
    <w:multiLevelType w:val="hybridMultilevel"/>
    <w:tmpl w:val="A238B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lle mensonides">
    <w15:presenceInfo w15:providerId="Windows Live" w15:userId="e99538b0aa45175c"/>
  </w15:person>
  <w15:person w15:author="Maatman, René">
    <w15:presenceInfo w15:providerId="None" w15:userId="Maatman, Ren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CA"/>
    <w:rsid w:val="000178A3"/>
    <w:rsid w:val="00017DF1"/>
    <w:rsid w:val="00062FD7"/>
    <w:rsid w:val="00065A08"/>
    <w:rsid w:val="00085EEE"/>
    <w:rsid w:val="000A0939"/>
    <w:rsid w:val="000A635B"/>
    <w:rsid w:val="000D2773"/>
    <w:rsid w:val="000F05AE"/>
    <w:rsid w:val="001266E5"/>
    <w:rsid w:val="00135727"/>
    <w:rsid w:val="0015082A"/>
    <w:rsid w:val="0019594F"/>
    <w:rsid w:val="001C2647"/>
    <w:rsid w:val="001D3EC8"/>
    <w:rsid w:val="00206A2E"/>
    <w:rsid w:val="00212C40"/>
    <w:rsid w:val="0021525D"/>
    <w:rsid w:val="00225DD1"/>
    <w:rsid w:val="00225E06"/>
    <w:rsid w:val="0023158B"/>
    <w:rsid w:val="00261997"/>
    <w:rsid w:val="002913CE"/>
    <w:rsid w:val="002947B7"/>
    <w:rsid w:val="002A298B"/>
    <w:rsid w:val="002A7E5C"/>
    <w:rsid w:val="002B193F"/>
    <w:rsid w:val="002D70A5"/>
    <w:rsid w:val="002E573C"/>
    <w:rsid w:val="002E6849"/>
    <w:rsid w:val="00310E45"/>
    <w:rsid w:val="00320FC6"/>
    <w:rsid w:val="00352209"/>
    <w:rsid w:val="00361115"/>
    <w:rsid w:val="0036200A"/>
    <w:rsid w:val="0036269A"/>
    <w:rsid w:val="003702D9"/>
    <w:rsid w:val="00381EBF"/>
    <w:rsid w:val="003A3C54"/>
    <w:rsid w:val="003D78C6"/>
    <w:rsid w:val="00425F35"/>
    <w:rsid w:val="00437D20"/>
    <w:rsid w:val="00456A86"/>
    <w:rsid w:val="00475E1B"/>
    <w:rsid w:val="00496EF2"/>
    <w:rsid w:val="004973CA"/>
    <w:rsid w:val="004A7881"/>
    <w:rsid w:val="004C2D50"/>
    <w:rsid w:val="004D48D8"/>
    <w:rsid w:val="004D4D08"/>
    <w:rsid w:val="004D6EB9"/>
    <w:rsid w:val="004E29D0"/>
    <w:rsid w:val="004F184D"/>
    <w:rsid w:val="00544029"/>
    <w:rsid w:val="00554A2C"/>
    <w:rsid w:val="005565C1"/>
    <w:rsid w:val="005632A8"/>
    <w:rsid w:val="0058559C"/>
    <w:rsid w:val="00596857"/>
    <w:rsid w:val="005B5677"/>
    <w:rsid w:val="006448A1"/>
    <w:rsid w:val="006B6393"/>
    <w:rsid w:val="00717117"/>
    <w:rsid w:val="007241AB"/>
    <w:rsid w:val="00731CEA"/>
    <w:rsid w:val="007323C6"/>
    <w:rsid w:val="0074289D"/>
    <w:rsid w:val="00752AAD"/>
    <w:rsid w:val="0079594E"/>
    <w:rsid w:val="007B2961"/>
    <w:rsid w:val="007B5C99"/>
    <w:rsid w:val="007F352D"/>
    <w:rsid w:val="00806BA9"/>
    <w:rsid w:val="0081454E"/>
    <w:rsid w:val="0084302D"/>
    <w:rsid w:val="00862BBB"/>
    <w:rsid w:val="008A0C58"/>
    <w:rsid w:val="008C3B4A"/>
    <w:rsid w:val="008D218D"/>
    <w:rsid w:val="008D2F69"/>
    <w:rsid w:val="008F2A33"/>
    <w:rsid w:val="00913252"/>
    <w:rsid w:val="00932539"/>
    <w:rsid w:val="0093461B"/>
    <w:rsid w:val="009601CB"/>
    <w:rsid w:val="00981EF9"/>
    <w:rsid w:val="00984B6A"/>
    <w:rsid w:val="00991FE1"/>
    <w:rsid w:val="00993800"/>
    <w:rsid w:val="009D4BB3"/>
    <w:rsid w:val="009E4E29"/>
    <w:rsid w:val="009F0109"/>
    <w:rsid w:val="009F7D6F"/>
    <w:rsid w:val="00A0535E"/>
    <w:rsid w:val="00A07766"/>
    <w:rsid w:val="00A43418"/>
    <w:rsid w:val="00A94672"/>
    <w:rsid w:val="00AE75E9"/>
    <w:rsid w:val="00B21E05"/>
    <w:rsid w:val="00B45368"/>
    <w:rsid w:val="00B46D9F"/>
    <w:rsid w:val="00B47AE1"/>
    <w:rsid w:val="00B579E6"/>
    <w:rsid w:val="00B65182"/>
    <w:rsid w:val="00B714E6"/>
    <w:rsid w:val="00B75433"/>
    <w:rsid w:val="00B77311"/>
    <w:rsid w:val="00B87F42"/>
    <w:rsid w:val="00BA4E34"/>
    <w:rsid w:val="00BB19FC"/>
    <w:rsid w:val="00BB52D9"/>
    <w:rsid w:val="00BE26F7"/>
    <w:rsid w:val="00BF448E"/>
    <w:rsid w:val="00C02FAB"/>
    <w:rsid w:val="00C04EC8"/>
    <w:rsid w:val="00C06F35"/>
    <w:rsid w:val="00C0738F"/>
    <w:rsid w:val="00C1224A"/>
    <w:rsid w:val="00C14BC0"/>
    <w:rsid w:val="00C2763A"/>
    <w:rsid w:val="00C304F7"/>
    <w:rsid w:val="00C3142D"/>
    <w:rsid w:val="00C441A5"/>
    <w:rsid w:val="00C44AF6"/>
    <w:rsid w:val="00C62B89"/>
    <w:rsid w:val="00C85837"/>
    <w:rsid w:val="00C926F5"/>
    <w:rsid w:val="00CA6CD7"/>
    <w:rsid w:val="00CD2995"/>
    <w:rsid w:val="00D26485"/>
    <w:rsid w:val="00D47052"/>
    <w:rsid w:val="00D5603A"/>
    <w:rsid w:val="00D60FE2"/>
    <w:rsid w:val="00D61869"/>
    <w:rsid w:val="00D619F9"/>
    <w:rsid w:val="00D6628F"/>
    <w:rsid w:val="00D76A7F"/>
    <w:rsid w:val="00D77684"/>
    <w:rsid w:val="00D813C6"/>
    <w:rsid w:val="00D91953"/>
    <w:rsid w:val="00DB12F6"/>
    <w:rsid w:val="00DC0C39"/>
    <w:rsid w:val="00DE55BE"/>
    <w:rsid w:val="00DF3257"/>
    <w:rsid w:val="00DF4FB6"/>
    <w:rsid w:val="00E05BB0"/>
    <w:rsid w:val="00E06DB1"/>
    <w:rsid w:val="00E2492E"/>
    <w:rsid w:val="00E709E2"/>
    <w:rsid w:val="00E91DD1"/>
    <w:rsid w:val="00EC0BC9"/>
    <w:rsid w:val="00EC6829"/>
    <w:rsid w:val="00ED714E"/>
    <w:rsid w:val="00EE4455"/>
    <w:rsid w:val="00EF4746"/>
    <w:rsid w:val="00F30AFD"/>
    <w:rsid w:val="00F42142"/>
    <w:rsid w:val="00F5773F"/>
    <w:rsid w:val="00F601F6"/>
    <w:rsid w:val="00F725CB"/>
    <w:rsid w:val="00F773CA"/>
    <w:rsid w:val="00F85AAA"/>
    <w:rsid w:val="00FA10D7"/>
    <w:rsid w:val="00FC4963"/>
    <w:rsid w:val="00FF645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8C5CE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A"/>
    <w:pPr>
      <w:ind w:left="720"/>
      <w:contextualSpacing/>
    </w:pPr>
  </w:style>
  <w:style w:type="table" w:styleId="TableGrid">
    <w:name w:val="Table Grid"/>
    <w:basedOn w:val="TableNormal"/>
    <w:uiPriority w:val="59"/>
    <w:rsid w:val="00F7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94E"/>
    <w:rPr>
      <w:rFonts w:ascii="Lucida Grande" w:hAnsi="Lucida Grande" w:cs="Lucida Grande"/>
      <w:sz w:val="18"/>
      <w:szCs w:val="18"/>
    </w:rPr>
  </w:style>
  <w:style w:type="paragraph" w:styleId="FootnoteText">
    <w:name w:val="footnote text"/>
    <w:basedOn w:val="Normal"/>
    <w:link w:val="FootnoteTextChar"/>
    <w:rsid w:val="00E2492E"/>
    <w:pPr>
      <w:jc w:val="both"/>
    </w:pPr>
    <w:rPr>
      <w:rFonts w:ascii="Arial" w:eastAsia="Calibri" w:hAnsi="Arial" w:cs="Times New Roman"/>
      <w:spacing w:val="3"/>
      <w:sz w:val="16"/>
      <w:szCs w:val="20"/>
    </w:rPr>
  </w:style>
  <w:style w:type="character" w:customStyle="1" w:styleId="FootnoteTextChar">
    <w:name w:val="Footnote Text Char"/>
    <w:basedOn w:val="DefaultParagraphFont"/>
    <w:link w:val="FootnoteText"/>
    <w:rsid w:val="00E2492E"/>
    <w:rPr>
      <w:rFonts w:ascii="Arial" w:eastAsia="Calibri" w:hAnsi="Arial" w:cs="Times New Roman"/>
      <w:spacing w:val="3"/>
      <w:sz w:val="16"/>
      <w:szCs w:val="20"/>
    </w:rPr>
  </w:style>
  <w:style w:type="character" w:styleId="FootnoteReference">
    <w:name w:val="footnote reference"/>
    <w:basedOn w:val="DefaultParagraphFont"/>
    <w:uiPriority w:val="99"/>
    <w:unhideWhenUsed/>
    <w:rsid w:val="004D48D8"/>
    <w:rPr>
      <w:vertAlign w:val="superscript"/>
    </w:rPr>
  </w:style>
  <w:style w:type="paragraph" w:styleId="Footer">
    <w:name w:val="footer"/>
    <w:basedOn w:val="Normal"/>
    <w:link w:val="FooterChar"/>
    <w:uiPriority w:val="99"/>
    <w:unhideWhenUsed/>
    <w:rsid w:val="00D6628F"/>
    <w:pPr>
      <w:tabs>
        <w:tab w:val="center" w:pos="4320"/>
        <w:tab w:val="right" w:pos="8640"/>
      </w:tabs>
    </w:pPr>
  </w:style>
  <w:style w:type="character" w:customStyle="1" w:styleId="FooterChar">
    <w:name w:val="Footer Char"/>
    <w:basedOn w:val="DefaultParagraphFont"/>
    <w:link w:val="Footer"/>
    <w:uiPriority w:val="99"/>
    <w:rsid w:val="00D6628F"/>
  </w:style>
  <w:style w:type="character" w:styleId="PageNumber">
    <w:name w:val="page number"/>
    <w:basedOn w:val="DefaultParagraphFont"/>
    <w:uiPriority w:val="99"/>
    <w:semiHidden/>
    <w:unhideWhenUsed/>
    <w:rsid w:val="00D6628F"/>
  </w:style>
  <w:style w:type="character" w:styleId="CommentReference">
    <w:name w:val="annotation reference"/>
    <w:basedOn w:val="DefaultParagraphFont"/>
    <w:uiPriority w:val="99"/>
    <w:semiHidden/>
    <w:unhideWhenUsed/>
    <w:rsid w:val="008F2A33"/>
    <w:rPr>
      <w:sz w:val="16"/>
      <w:szCs w:val="16"/>
    </w:rPr>
  </w:style>
  <w:style w:type="paragraph" w:styleId="CommentText">
    <w:name w:val="annotation text"/>
    <w:basedOn w:val="Normal"/>
    <w:link w:val="CommentTextChar"/>
    <w:uiPriority w:val="99"/>
    <w:semiHidden/>
    <w:unhideWhenUsed/>
    <w:rsid w:val="008F2A33"/>
    <w:rPr>
      <w:sz w:val="20"/>
      <w:szCs w:val="20"/>
    </w:rPr>
  </w:style>
  <w:style w:type="character" w:customStyle="1" w:styleId="CommentTextChar">
    <w:name w:val="Comment Text Char"/>
    <w:basedOn w:val="DefaultParagraphFont"/>
    <w:link w:val="CommentText"/>
    <w:uiPriority w:val="99"/>
    <w:semiHidden/>
    <w:rsid w:val="008F2A33"/>
    <w:rPr>
      <w:sz w:val="20"/>
      <w:szCs w:val="20"/>
    </w:rPr>
  </w:style>
  <w:style w:type="paragraph" w:styleId="CommentSubject">
    <w:name w:val="annotation subject"/>
    <w:basedOn w:val="CommentText"/>
    <w:next w:val="CommentText"/>
    <w:link w:val="CommentSubjectChar"/>
    <w:uiPriority w:val="99"/>
    <w:semiHidden/>
    <w:unhideWhenUsed/>
    <w:rsid w:val="008F2A33"/>
    <w:rPr>
      <w:b/>
      <w:bCs/>
    </w:rPr>
  </w:style>
  <w:style w:type="character" w:customStyle="1" w:styleId="CommentSubjectChar">
    <w:name w:val="Comment Subject Char"/>
    <w:basedOn w:val="CommentTextChar"/>
    <w:link w:val="CommentSubject"/>
    <w:uiPriority w:val="99"/>
    <w:semiHidden/>
    <w:rsid w:val="008F2A33"/>
    <w:rPr>
      <w:b/>
      <w:bCs/>
      <w:sz w:val="20"/>
      <w:szCs w:val="20"/>
    </w:rPr>
  </w:style>
  <w:style w:type="paragraph" w:styleId="Header">
    <w:name w:val="header"/>
    <w:basedOn w:val="Normal"/>
    <w:link w:val="HeaderChar"/>
    <w:uiPriority w:val="99"/>
    <w:unhideWhenUsed/>
    <w:rsid w:val="007323C6"/>
    <w:pPr>
      <w:tabs>
        <w:tab w:val="center" w:pos="4513"/>
        <w:tab w:val="right" w:pos="9026"/>
      </w:tabs>
    </w:pPr>
  </w:style>
  <w:style w:type="character" w:customStyle="1" w:styleId="HeaderChar">
    <w:name w:val="Header Char"/>
    <w:basedOn w:val="DefaultParagraphFont"/>
    <w:link w:val="Header"/>
    <w:uiPriority w:val="99"/>
    <w:rsid w:val="007323C6"/>
  </w:style>
  <w:style w:type="paragraph" w:styleId="Revision">
    <w:name w:val="Revision"/>
    <w:hidden/>
    <w:uiPriority w:val="99"/>
    <w:semiHidden/>
    <w:rsid w:val="001D3E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A"/>
    <w:pPr>
      <w:ind w:left="720"/>
      <w:contextualSpacing/>
    </w:pPr>
  </w:style>
  <w:style w:type="table" w:styleId="TableGrid">
    <w:name w:val="Table Grid"/>
    <w:basedOn w:val="TableNormal"/>
    <w:uiPriority w:val="59"/>
    <w:rsid w:val="00F7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94E"/>
    <w:rPr>
      <w:rFonts w:ascii="Lucida Grande" w:hAnsi="Lucida Grande" w:cs="Lucida Grande"/>
      <w:sz w:val="18"/>
      <w:szCs w:val="18"/>
    </w:rPr>
  </w:style>
  <w:style w:type="paragraph" w:styleId="FootnoteText">
    <w:name w:val="footnote text"/>
    <w:basedOn w:val="Normal"/>
    <w:link w:val="FootnoteTextChar"/>
    <w:rsid w:val="00E2492E"/>
    <w:pPr>
      <w:jc w:val="both"/>
    </w:pPr>
    <w:rPr>
      <w:rFonts w:ascii="Arial" w:eastAsia="Calibri" w:hAnsi="Arial" w:cs="Times New Roman"/>
      <w:spacing w:val="3"/>
      <w:sz w:val="16"/>
      <w:szCs w:val="20"/>
    </w:rPr>
  </w:style>
  <w:style w:type="character" w:customStyle="1" w:styleId="FootnoteTextChar">
    <w:name w:val="Footnote Text Char"/>
    <w:basedOn w:val="DefaultParagraphFont"/>
    <w:link w:val="FootnoteText"/>
    <w:rsid w:val="00E2492E"/>
    <w:rPr>
      <w:rFonts w:ascii="Arial" w:eastAsia="Calibri" w:hAnsi="Arial" w:cs="Times New Roman"/>
      <w:spacing w:val="3"/>
      <w:sz w:val="16"/>
      <w:szCs w:val="20"/>
    </w:rPr>
  </w:style>
  <w:style w:type="character" w:styleId="FootnoteReference">
    <w:name w:val="footnote reference"/>
    <w:basedOn w:val="DefaultParagraphFont"/>
    <w:uiPriority w:val="99"/>
    <w:unhideWhenUsed/>
    <w:rsid w:val="004D48D8"/>
    <w:rPr>
      <w:vertAlign w:val="superscript"/>
    </w:rPr>
  </w:style>
  <w:style w:type="paragraph" w:styleId="Footer">
    <w:name w:val="footer"/>
    <w:basedOn w:val="Normal"/>
    <w:link w:val="FooterChar"/>
    <w:uiPriority w:val="99"/>
    <w:unhideWhenUsed/>
    <w:rsid w:val="00D6628F"/>
    <w:pPr>
      <w:tabs>
        <w:tab w:val="center" w:pos="4320"/>
        <w:tab w:val="right" w:pos="8640"/>
      </w:tabs>
    </w:pPr>
  </w:style>
  <w:style w:type="character" w:customStyle="1" w:styleId="FooterChar">
    <w:name w:val="Footer Char"/>
    <w:basedOn w:val="DefaultParagraphFont"/>
    <w:link w:val="Footer"/>
    <w:uiPriority w:val="99"/>
    <w:rsid w:val="00D6628F"/>
  </w:style>
  <w:style w:type="character" w:styleId="PageNumber">
    <w:name w:val="page number"/>
    <w:basedOn w:val="DefaultParagraphFont"/>
    <w:uiPriority w:val="99"/>
    <w:semiHidden/>
    <w:unhideWhenUsed/>
    <w:rsid w:val="00D6628F"/>
  </w:style>
  <w:style w:type="character" w:styleId="CommentReference">
    <w:name w:val="annotation reference"/>
    <w:basedOn w:val="DefaultParagraphFont"/>
    <w:uiPriority w:val="99"/>
    <w:semiHidden/>
    <w:unhideWhenUsed/>
    <w:rsid w:val="008F2A33"/>
    <w:rPr>
      <w:sz w:val="16"/>
      <w:szCs w:val="16"/>
    </w:rPr>
  </w:style>
  <w:style w:type="paragraph" w:styleId="CommentText">
    <w:name w:val="annotation text"/>
    <w:basedOn w:val="Normal"/>
    <w:link w:val="CommentTextChar"/>
    <w:uiPriority w:val="99"/>
    <w:semiHidden/>
    <w:unhideWhenUsed/>
    <w:rsid w:val="008F2A33"/>
    <w:rPr>
      <w:sz w:val="20"/>
      <w:szCs w:val="20"/>
    </w:rPr>
  </w:style>
  <w:style w:type="character" w:customStyle="1" w:styleId="CommentTextChar">
    <w:name w:val="Comment Text Char"/>
    <w:basedOn w:val="DefaultParagraphFont"/>
    <w:link w:val="CommentText"/>
    <w:uiPriority w:val="99"/>
    <w:semiHidden/>
    <w:rsid w:val="008F2A33"/>
    <w:rPr>
      <w:sz w:val="20"/>
      <w:szCs w:val="20"/>
    </w:rPr>
  </w:style>
  <w:style w:type="paragraph" w:styleId="CommentSubject">
    <w:name w:val="annotation subject"/>
    <w:basedOn w:val="CommentText"/>
    <w:next w:val="CommentText"/>
    <w:link w:val="CommentSubjectChar"/>
    <w:uiPriority w:val="99"/>
    <w:semiHidden/>
    <w:unhideWhenUsed/>
    <w:rsid w:val="008F2A33"/>
    <w:rPr>
      <w:b/>
      <w:bCs/>
    </w:rPr>
  </w:style>
  <w:style w:type="character" w:customStyle="1" w:styleId="CommentSubjectChar">
    <w:name w:val="Comment Subject Char"/>
    <w:basedOn w:val="CommentTextChar"/>
    <w:link w:val="CommentSubject"/>
    <w:uiPriority w:val="99"/>
    <w:semiHidden/>
    <w:rsid w:val="008F2A33"/>
    <w:rPr>
      <w:b/>
      <w:bCs/>
      <w:sz w:val="20"/>
      <w:szCs w:val="20"/>
    </w:rPr>
  </w:style>
  <w:style w:type="paragraph" w:styleId="Header">
    <w:name w:val="header"/>
    <w:basedOn w:val="Normal"/>
    <w:link w:val="HeaderChar"/>
    <w:uiPriority w:val="99"/>
    <w:unhideWhenUsed/>
    <w:rsid w:val="007323C6"/>
    <w:pPr>
      <w:tabs>
        <w:tab w:val="center" w:pos="4513"/>
        <w:tab w:val="right" w:pos="9026"/>
      </w:tabs>
    </w:pPr>
  </w:style>
  <w:style w:type="character" w:customStyle="1" w:styleId="HeaderChar">
    <w:name w:val="Header Char"/>
    <w:basedOn w:val="DefaultParagraphFont"/>
    <w:link w:val="Header"/>
    <w:uiPriority w:val="99"/>
    <w:rsid w:val="007323C6"/>
  </w:style>
  <w:style w:type="paragraph" w:styleId="Revision">
    <w:name w:val="Revision"/>
    <w:hidden/>
    <w:uiPriority w:val="99"/>
    <w:semiHidden/>
    <w:rsid w:val="001D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er" Target="footer2.xml" Id="rId12" /><Relationship Type="http://schemas.microsoft.com/office/2011/relationships/people" Target="people.xml" Id="rId17" /><Relationship Type="http://schemas.openxmlformats.org/officeDocument/2006/relationships/footnotes" Target="footnotes.xml" Id="rId7" /><Relationship Type="http://schemas.openxmlformats.org/officeDocument/2006/relationships/theme" Target="theme/theme1.xml" Id="rId16" /><Relationship Type="http://schemas.microsoft.com/office/2011/relationships/commentsExtended" Target="commentsExtended.xml" Id="rId20" /><Relationship Type="http://schemas.openxmlformats.org/officeDocument/2006/relationships/numbering" Target="numbering.xml" Id="rId2" /><Relationship Type="http://schemas.openxmlformats.org/officeDocument/2006/relationships/footer" Target="footer1.xml" Id="rId11" /><Relationship Type="http://schemas.openxmlformats.org/officeDocument/2006/relationships/webSettings" Target="webSettings.xml" Id="rId6" /><Relationship Type="http://schemas.openxmlformats.org/officeDocument/2006/relationships/fontTable" Target="fontTable.xml" Id="rId15" /><Relationship Type="http://schemas.openxmlformats.org/officeDocument/2006/relationships/settings" Target="settings.xml" Id="rId5" /><Relationship Type="http://schemas.microsoft.com/office/2016/09/relationships/commentsIds" Target="commentsIds.xml" Id="rId19" /><Relationship Type="http://schemas.openxmlformats.org/officeDocument/2006/relationships/header" Target="header2.xml" Id="rId10" /><Relationship Type="http://schemas.openxmlformats.org/officeDocument/2006/relationships/footer" Target="footer3.xml" Id="rId14"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1572</ap:Words>
  <ap:Characters>8981</ap:Characters>
  <ap:DocSecurity>0</ap:DocSecurity>
  <ap:Lines>236</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2019-01-15T07:55:00.0000000Z</lastPrinted>
  <dcterms:created xsi:type="dcterms:W3CDTF">2019-01-11T08:44:00.0000000Z</dcterms:created>
  <dcterms:modified xsi:type="dcterms:W3CDTF">2019-01-15T08:13:00.0000000Z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aam">
    <vt:lpwstr>maatmanr\Documents\Attachments\20190110 bijdrage JF voor Cie SZW Tweede Kamer 21 januari 2019 opm jm_rm\RM</vt:lpwstr>
  </property>
  <property fmtid="{D5CDD505-2E9C-101B-9397-08002B2CF9AE}" pid="3" name="ContentTypeId">
    <vt:lpwstr>0x01010034B4AE39170A1B4E8C41C141544D459E</vt:lpwstr>
  </property>
</Properties>
</file>