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pPr w:vertAnchor="page" w:horzAnchor="page" w:tblpX="1702" w:tblpY="852"/>
        <w:tblOverlap w:val="never"/>
        <w:tblW w:w="72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992"/>
        <w:gridCol w:w="2238"/>
      </w:tblGrid>
      <w:tr w:rsidRPr="00807E63" w:rsidR="00B36B00" w:rsidTr="00842BC5" w14:paraId="63E458E0" w14:textId="77777777">
        <w:trPr>
          <w:cantSplit/>
          <w:trHeight w:val="622"/>
        </w:trPr>
        <w:tc>
          <w:tcPr>
            <w:tcW w:w="4992" w:type="dxa"/>
            <w:tcMar>
              <w:bottom w:w="85" w:type="dxa"/>
            </w:tcMar>
            <w:vAlign w:val="bottom"/>
          </w:tcPr>
          <w:p w:rsidRPr="00807E63" w:rsidR="00B36B00" w:rsidP="00EB403C" w:rsidRDefault="00B36B00" w14:paraId="3F14C6DD" w14:textId="7F6F6F98">
            <w:pPr>
              <w:pStyle w:val="06GRNummer"/>
            </w:pPr>
          </w:p>
        </w:tc>
        <w:tc>
          <w:tcPr>
            <w:tcW w:w="2238" w:type="dxa"/>
            <w:vAlign w:val="bottom"/>
          </w:tcPr>
          <w:p w:rsidR="00B36B00" w:rsidP="00842BC5" w:rsidRDefault="00B36B00" w14:paraId="1B1DDE42" w14:textId="4AE44AC8">
            <w:pPr>
              <w:pStyle w:val="05Item"/>
              <w:rPr>
                <w:noProof/>
              </w:rPr>
            </w:pPr>
          </w:p>
        </w:tc>
      </w:tr>
    </w:tbl>
    <w:p w:rsidR="004A0882" w:rsidP="00B51CB9" w:rsidRDefault="0072602E" w14:paraId="4A326D7B" w14:textId="77777777">
      <w:pPr>
        <w:pStyle w:val="Kop1"/>
      </w:pPr>
      <w:proofErr w:type="spellStart"/>
      <w:r>
        <w:t>Position</w:t>
      </w:r>
      <w:proofErr w:type="spellEnd"/>
      <w:r>
        <w:t xml:space="preserve"> paper commissie Vaccinaties Gezondheidsraad</w:t>
      </w:r>
    </w:p>
    <w:p w:rsidR="0072602E" w:rsidP="004A0882" w:rsidRDefault="0072602E" w14:paraId="0B9ED4F0" w14:textId="77777777">
      <w:pPr>
        <w:pStyle w:val="01Brieftekst"/>
      </w:pPr>
    </w:p>
    <w:p w:rsidR="0072602E" w:rsidP="004A0882" w:rsidRDefault="0072602E" w14:paraId="675BB914" w14:textId="17F518D8">
      <w:pPr>
        <w:pStyle w:val="01Brieftekst"/>
      </w:pPr>
      <w:r>
        <w:t xml:space="preserve">In dit document gaat de Gezondheidsraad in op de vragen die zijn gesteld bij de </w:t>
      </w:r>
      <w:r w:rsidR="00D90651">
        <w:t>uitnodiging voor</w:t>
      </w:r>
      <w:r>
        <w:t xml:space="preserve"> het rondetafelgesprek. </w:t>
      </w:r>
      <w:r w:rsidR="000A0306">
        <w:t>De onderwerpen zijn daarbij als volgt gerangschikt</w:t>
      </w:r>
      <w:r>
        <w:t>:</w:t>
      </w:r>
    </w:p>
    <w:p w:rsidR="0072602E" w:rsidP="0072602E" w:rsidRDefault="005420DA" w14:paraId="44D80F74" w14:textId="77777777">
      <w:pPr>
        <w:pStyle w:val="02BulletN1"/>
      </w:pPr>
      <w:r>
        <w:t>D</w:t>
      </w:r>
      <w:r w:rsidR="0072602E">
        <w:t>e commissie Vaccinaties: samenstelling, werkagenda en werkwijze</w:t>
      </w:r>
    </w:p>
    <w:p w:rsidR="0072602E" w:rsidP="0072602E" w:rsidRDefault="00586465" w14:paraId="2FD5B127" w14:textId="77777777">
      <w:pPr>
        <w:pStyle w:val="02BulletN1"/>
      </w:pPr>
      <w:r>
        <w:t>Vaccinatieprogramma’s</w:t>
      </w:r>
      <w:r w:rsidR="009F5C48">
        <w:t xml:space="preserve"> in</w:t>
      </w:r>
      <w:r w:rsidR="0072602E">
        <w:t xml:space="preserve"> Nederland en het buitenland</w:t>
      </w:r>
    </w:p>
    <w:p w:rsidR="0072602E" w:rsidP="0072602E" w:rsidRDefault="009F5C48" w14:paraId="33FA011B" w14:textId="77777777">
      <w:pPr>
        <w:pStyle w:val="02BulletN1"/>
      </w:pPr>
      <w:r>
        <w:t>Wetenschappelijke vragen over</w:t>
      </w:r>
      <w:r w:rsidR="0072602E">
        <w:t xml:space="preserve"> de (on)voorspelbaarheid van epidemieën, de globalisering en de dalende vaccinatiegraad</w:t>
      </w:r>
    </w:p>
    <w:p w:rsidR="0072602E" w:rsidP="004A0882" w:rsidRDefault="0072602E" w14:paraId="19093DC8" w14:textId="77777777">
      <w:pPr>
        <w:pStyle w:val="01Brieftekst"/>
      </w:pPr>
    </w:p>
    <w:p w:rsidRPr="005420DA" w:rsidR="005420DA" w:rsidP="00B51CB9" w:rsidRDefault="005420DA" w14:paraId="1293D463" w14:textId="77777777">
      <w:pPr>
        <w:pStyle w:val="Kop2"/>
      </w:pPr>
      <w:r w:rsidRPr="005420DA">
        <w:t>De commissie Vaccinaties</w:t>
      </w:r>
    </w:p>
    <w:p w:rsidR="00BF4C6D" w:rsidP="00BF4C6D" w:rsidRDefault="00BF4C6D" w14:paraId="5FD90401" w14:textId="223301B8">
      <w:pPr>
        <w:pStyle w:val="Kop4"/>
      </w:pPr>
      <w:r>
        <w:t>Samenstelling</w:t>
      </w:r>
    </w:p>
    <w:p w:rsidR="0072602E" w:rsidP="004A0882" w:rsidRDefault="0072602E" w14:paraId="4C478C51" w14:textId="3A653CB5">
      <w:pPr>
        <w:pStyle w:val="01Brieftekst"/>
      </w:pPr>
      <w:r>
        <w:t xml:space="preserve">De commissie Vaccinaties van de Gezondheidsraad </w:t>
      </w:r>
      <w:r w:rsidRPr="0061587A" w:rsidR="0061587A">
        <w:t>is een breed samengestelde commissie</w:t>
      </w:r>
      <w:r w:rsidR="00BF4C6D">
        <w:t xml:space="preserve"> </w:t>
      </w:r>
      <w:r w:rsidR="00DA624F">
        <w:t>met 19</w:t>
      </w:r>
      <w:bookmarkStart w:name="_GoBack" w:id="0"/>
      <w:bookmarkEnd w:id="0"/>
      <w:r w:rsidR="00BE0A50">
        <w:t xml:space="preserve"> </w:t>
      </w:r>
      <w:r w:rsidR="00BF4C6D">
        <w:t>deskundigen</w:t>
      </w:r>
      <w:r w:rsidRPr="0061587A" w:rsidR="0061587A">
        <w:t xml:space="preserve">. Daarvoor is bewust gekozen, omdat deze commissie zich buigt over uiteenlopende vaccinatieonderwerpen. Per advies wordt </w:t>
      </w:r>
      <w:r w:rsidR="00397CD0">
        <w:t>aanvullende</w:t>
      </w:r>
      <w:r w:rsidRPr="0061587A" w:rsidR="0061587A">
        <w:t xml:space="preserve"> deskundigheid over de desbetreffende ziekte in huis gehaald door experts te raadplegen.</w:t>
      </w:r>
      <w:r w:rsidR="0061587A">
        <w:t xml:space="preserve"> </w:t>
      </w:r>
      <w:r w:rsidRPr="0061587A" w:rsidR="0061587A">
        <w:t xml:space="preserve">De commissie bestaat uit </w:t>
      </w:r>
      <w:r w:rsidR="00D90651">
        <w:t>l</w:t>
      </w:r>
      <w:r w:rsidRPr="0061587A" w:rsidR="0061587A">
        <w:t>eden</w:t>
      </w:r>
      <w:r w:rsidR="00D90651">
        <w:t xml:space="preserve">, </w:t>
      </w:r>
      <w:r w:rsidRPr="0061587A" w:rsidR="0061587A">
        <w:t>structureel geraadpl</w:t>
      </w:r>
      <w:r w:rsidR="003548B2">
        <w:t>eegde deskundigen en waarnemers</w:t>
      </w:r>
      <w:r w:rsidRPr="0061587A" w:rsidR="0061587A">
        <w:t xml:space="preserve">. Kandidaat-commissieleden moeten aan de hand van een belangenverklaring inzicht geven in hun mogelijke financiële belangen, persoonlijke relaties, reputatiemanagement en extern gefinancierd onderzoek. De leiding </w:t>
      </w:r>
      <w:r w:rsidR="0061587A">
        <w:t xml:space="preserve">van de Gezondheidsraad </w:t>
      </w:r>
      <w:r w:rsidRPr="0061587A" w:rsidR="0061587A">
        <w:t>beoordeelt vervolgens of deze belangen het lidmaatschap in de weg staan</w:t>
      </w:r>
      <w:r w:rsidR="000C0AD6">
        <w:t>.</w:t>
      </w:r>
    </w:p>
    <w:p w:rsidR="00BF4C6D" w:rsidP="000C0AD6" w:rsidRDefault="00BF4C6D" w14:paraId="0DCC8B39" w14:textId="77777777">
      <w:pPr>
        <w:pStyle w:val="01-Brieftekst"/>
      </w:pPr>
    </w:p>
    <w:p w:rsidR="00F87212" w:rsidP="00F87212" w:rsidRDefault="00F87212" w14:paraId="6F4C0BD3" w14:textId="1898236E">
      <w:pPr>
        <w:pStyle w:val="Kop4"/>
      </w:pPr>
      <w:r>
        <w:t>Werkagenda</w:t>
      </w:r>
    </w:p>
    <w:p w:rsidR="00AC0047" w:rsidP="000C0AD6" w:rsidRDefault="000C0AD6" w14:paraId="6FDEDBA9" w14:textId="32CBD6E8">
      <w:pPr>
        <w:pStyle w:val="01-Brieftekst"/>
      </w:pPr>
      <w:r>
        <w:t>De Gezondheidsraad werkt sinds een aantal jaar met een werkagenda, waarin staat welke vaccinatieonderwerpen wanneer in behandeling worden genomen. Op deze agenda staan zowel beoordelingen van nieuwe vaccinaties als herbeoordelingen van reeds bestaande. De agenda bestrijkt een periode van drie jaar en komt tot stand op basis van halfjaarlijks prioriteringsoverleg met</w:t>
      </w:r>
      <w:r w:rsidR="00242F0A">
        <w:t xml:space="preserve"> het RIVM</w:t>
      </w:r>
      <w:r w:rsidR="003548B2">
        <w:t xml:space="preserve"> en</w:t>
      </w:r>
      <w:r w:rsidR="00242F0A">
        <w:t xml:space="preserve"> </w:t>
      </w:r>
      <w:proofErr w:type="spellStart"/>
      <w:r>
        <w:t>ZiN</w:t>
      </w:r>
      <w:proofErr w:type="spellEnd"/>
      <w:r w:rsidR="003548B2">
        <w:t>. Indien noodzakelijk wordt de agenda ook tussentijds bijgesteld. Het m</w:t>
      </w:r>
      <w:r>
        <w:t>inisterie van VWS</w:t>
      </w:r>
      <w:r w:rsidR="003548B2">
        <w:t xml:space="preserve"> is agenda-lid van het prioriteringsoverleg. </w:t>
      </w:r>
      <w:r>
        <w:t xml:space="preserve">De </w:t>
      </w:r>
      <w:r w:rsidR="003548B2">
        <w:t>werk</w:t>
      </w:r>
      <w:r>
        <w:t xml:space="preserve">agenda zorgt ervoor dat partijen weten wanneer specifieke adviezen van </w:t>
      </w:r>
      <w:proofErr w:type="spellStart"/>
      <w:r>
        <w:t>ZiN</w:t>
      </w:r>
      <w:proofErr w:type="spellEnd"/>
      <w:r>
        <w:t xml:space="preserve"> en Gezondheidsraad verwacht kunnen worden.</w:t>
      </w:r>
    </w:p>
    <w:p w:rsidR="00F87212" w:rsidP="00AC0047" w:rsidRDefault="00F87212" w14:paraId="2FB67968" w14:textId="77777777">
      <w:pPr>
        <w:pStyle w:val="01-Brieftekst"/>
      </w:pPr>
    </w:p>
    <w:p w:rsidR="00F87212" w:rsidP="00F87212" w:rsidRDefault="00F87212" w14:paraId="05675CAE" w14:textId="56C41DB9">
      <w:pPr>
        <w:pStyle w:val="Kop4"/>
      </w:pPr>
      <w:r>
        <w:t>Werkwijze</w:t>
      </w:r>
    </w:p>
    <w:p w:rsidR="00E754F9" w:rsidP="00AC0047" w:rsidRDefault="000C0AD6" w14:paraId="539DD33C" w14:textId="40151F87">
      <w:pPr>
        <w:pStyle w:val="01-Brieftekst"/>
      </w:pPr>
      <w:r>
        <w:t xml:space="preserve">De Gezondheidsraad beoordeelt </w:t>
      </w:r>
      <w:r w:rsidR="00AC0047">
        <w:t xml:space="preserve">aan de hand van een hiertoe ontwikkeld kader </w:t>
      </w:r>
      <w:r>
        <w:t>of een vaccinatie in aanmerking komt voor opname in het Rijksvaccinatieprogramma (publiek belang), aangemerkt moet worden als essentiële zorg voor een bepaalde doelgroep (collectief belang) of gezien moet worden als indivi</w:t>
      </w:r>
      <w:r w:rsidR="00AC0047">
        <w:t>duele zorg (individueel belang)</w:t>
      </w:r>
      <w:r w:rsidRPr="00E754F9" w:rsidR="00AC0047">
        <w:t>. De commissie reflecteert regelmatig op de criteria uit het kader en de manier waarop zij deze hanteert</w:t>
      </w:r>
      <w:r w:rsidR="00AC0047">
        <w:t>.</w:t>
      </w:r>
      <w:r>
        <w:t xml:space="preserve"> </w:t>
      </w:r>
      <w:r w:rsidR="00AC0047">
        <w:t>Voorafgaand aan een specifiek adviestraject stelt h</w:t>
      </w:r>
      <w:r w:rsidRPr="00E754F9" w:rsidR="00E754F9">
        <w:t xml:space="preserve">et RIVM een rapport op met relevante </w:t>
      </w:r>
      <w:r w:rsidR="00D90651">
        <w:t>gegevens</w:t>
      </w:r>
      <w:r w:rsidRPr="00E754F9" w:rsidR="00E754F9">
        <w:t xml:space="preserve"> over de betreffende aandoening en een overzicht van de wetenschappelijke literatuur. De commissie gebruikt dit </w:t>
      </w:r>
      <w:r w:rsidR="00AC0047">
        <w:t xml:space="preserve">rapport </w:t>
      </w:r>
      <w:r w:rsidRPr="00E754F9" w:rsidR="00E754F9">
        <w:t xml:space="preserve">als startpunt en diept de belangrijke onderwerpen vervolgens nader uit. </w:t>
      </w:r>
      <w:r w:rsidR="0099178B">
        <w:t>Zij</w:t>
      </w:r>
      <w:r w:rsidR="00A93B6B">
        <w:t xml:space="preserve"> </w:t>
      </w:r>
      <w:r w:rsidRPr="00E754F9" w:rsidR="00E754F9">
        <w:t>evalueert de stand van wetenschap omtrent de ziektelast, de werkzaamheid en effectiviteit van vaccinatie, de veiligheid, de kosteneffectiviteit en de aanvaardbaarheid. Al deze factoren worden in onderlinge samenhang gewogen. Op basis hiervan formuleert de commissie haar advies</w:t>
      </w:r>
      <w:r w:rsidR="00ED206B">
        <w:t>.</w:t>
      </w:r>
      <w:r w:rsidRPr="00AC0047" w:rsidR="00AC0047">
        <w:t xml:space="preserve"> </w:t>
      </w:r>
      <w:proofErr w:type="spellStart"/>
      <w:r w:rsidR="00AC0047">
        <w:t>ZiN</w:t>
      </w:r>
      <w:proofErr w:type="spellEnd"/>
      <w:r w:rsidR="00AC0047">
        <w:t xml:space="preserve"> adviseert over </w:t>
      </w:r>
      <w:r w:rsidR="002C4D04">
        <w:t xml:space="preserve">de mogelijkheden voor eventuele </w:t>
      </w:r>
      <w:r w:rsidR="00AC0047">
        <w:t>opname van een vaccin in het verzekerde pakket van de Zorgverzekeringswet</w:t>
      </w:r>
      <w:r w:rsidR="002C4D04">
        <w:t xml:space="preserve"> voor groepen met een indicatie</w:t>
      </w:r>
      <w:r w:rsidR="00AC0047">
        <w:t xml:space="preserve">. De minister </w:t>
      </w:r>
      <w:r w:rsidR="00AC0047">
        <w:lastRenderedPageBreak/>
        <w:t xml:space="preserve">van VWS beslist vervolgens </w:t>
      </w:r>
      <w:r w:rsidR="00D90651">
        <w:t xml:space="preserve">of, en zo ja </w:t>
      </w:r>
      <w:r w:rsidR="00AC0047">
        <w:t>over de wijze waarop</w:t>
      </w:r>
      <w:r w:rsidR="00D90651">
        <w:t>,</w:t>
      </w:r>
      <w:r w:rsidR="00AC0047">
        <w:t xml:space="preserve"> een vaccinatie aangeboden en gefinancierd moet worden.</w:t>
      </w:r>
    </w:p>
    <w:p w:rsidR="00B51CB9" w:rsidP="00AC0B7A" w:rsidRDefault="00B51CB9" w14:paraId="68BD93EA" w14:textId="77777777">
      <w:pPr>
        <w:pStyle w:val="01Brieftekst"/>
      </w:pPr>
    </w:p>
    <w:p w:rsidR="00B51CB9" w:rsidP="00B51CB9" w:rsidRDefault="00B51CB9" w14:paraId="4BE06028" w14:textId="77777777">
      <w:pPr>
        <w:pStyle w:val="Kop2"/>
      </w:pPr>
      <w:r>
        <w:t xml:space="preserve">Vaccinatieprogramma’s in Nederland en </w:t>
      </w:r>
      <w:r w:rsidR="009F5C48">
        <w:t xml:space="preserve">het </w:t>
      </w:r>
      <w:r>
        <w:t>buiten</w:t>
      </w:r>
      <w:r w:rsidR="009F5C48">
        <w:t>land</w:t>
      </w:r>
    </w:p>
    <w:p w:rsidR="00DD713F" w:rsidP="00AC0B7A" w:rsidRDefault="00AC0B7A" w14:paraId="79D5CACD" w14:textId="4C54E166">
      <w:pPr>
        <w:pStyle w:val="01Brieftekst"/>
      </w:pPr>
      <w:r>
        <w:t>De vergelijking tussen vaccinatieprogramma</w:t>
      </w:r>
      <w:r w:rsidR="00D90651">
        <w:t>’</w:t>
      </w:r>
      <w:r>
        <w:t xml:space="preserve">s </w:t>
      </w:r>
      <w:r w:rsidR="00D90651">
        <w:t xml:space="preserve">in Nederland en daarbuiten </w:t>
      </w:r>
      <w:r>
        <w:t xml:space="preserve">wordt in </w:t>
      </w:r>
      <w:r w:rsidR="00DD713F">
        <w:t>dit document beperkt tot Europa</w:t>
      </w:r>
      <w:r>
        <w:t xml:space="preserve">. Een overzicht van de Europese </w:t>
      </w:r>
      <w:r w:rsidR="00DD713F">
        <w:t>vaccinatie</w:t>
      </w:r>
      <w:r>
        <w:t xml:space="preserve">programma’s is te vinden op de website van de  </w:t>
      </w:r>
      <w:r w:rsidRPr="00A93B6B">
        <w:rPr>
          <w:i/>
        </w:rPr>
        <w:t xml:space="preserve">European Centre </w:t>
      </w:r>
      <w:proofErr w:type="spellStart"/>
      <w:r w:rsidRPr="00A93B6B">
        <w:rPr>
          <w:i/>
        </w:rPr>
        <w:t>for</w:t>
      </w:r>
      <w:proofErr w:type="spellEnd"/>
      <w:r w:rsidRPr="00A93B6B">
        <w:rPr>
          <w:i/>
        </w:rPr>
        <w:t xml:space="preserve"> </w:t>
      </w:r>
      <w:proofErr w:type="spellStart"/>
      <w:r w:rsidRPr="00A93B6B">
        <w:rPr>
          <w:i/>
        </w:rPr>
        <w:t>Disease</w:t>
      </w:r>
      <w:proofErr w:type="spellEnd"/>
      <w:r w:rsidRPr="00A93B6B">
        <w:rPr>
          <w:i/>
        </w:rPr>
        <w:t xml:space="preserve"> Prevention </w:t>
      </w:r>
      <w:proofErr w:type="spellStart"/>
      <w:r w:rsidRPr="00A93B6B">
        <w:rPr>
          <w:i/>
        </w:rPr>
        <w:t>and</w:t>
      </w:r>
      <w:proofErr w:type="spellEnd"/>
      <w:r w:rsidRPr="00A93B6B">
        <w:rPr>
          <w:i/>
        </w:rPr>
        <w:t xml:space="preserve"> Control</w:t>
      </w:r>
      <w:r>
        <w:t xml:space="preserve"> (ECDC).</w:t>
      </w:r>
      <w:r w:rsidR="00186FB9">
        <w:fldChar w:fldCharType="begin"/>
      </w:r>
      <w:r w:rsidR="00A610EA">
        <w:instrText xml:space="preserve"> ADDIN EN.CITE &lt;EndNote&gt;&lt;Cite ExcludeYear="1"&gt;&lt;RecNum&gt;2210&lt;/RecNum&gt;&lt;DisplayText&gt;&lt;style face="superscript"&gt;1&lt;/style&gt;&lt;/DisplayText&gt;&lt;record&gt;&lt;rec-number&gt;2210&lt;/rec-number&gt;&lt;foreign-keys&gt;&lt;key app="EN" db-id="ffefxx29i5efdte9ewcvvevvsvxtvzaa2z2r" timestamp="1544627637"&gt;2210&lt;/key&gt;&lt;/foreign-keys&gt;&lt;ref-type name="Web Page"&gt;12&lt;/ref-type&gt;&lt;contributors&gt;&lt;/contributors&gt;&lt;titles&gt;&lt;title&gt;Vaccination scheduler&lt;/title&gt;&lt;/titles&gt;&lt;dates&gt;&lt;/dates&gt;&lt;publisher&gt;European Centre for Disease Prevention and Control &lt;/publisher&gt;&lt;urls&gt;&lt;related-urls&gt;&lt;url&gt;https://vaccine-schedule.ecdc.europa.eu/&lt;/url&gt;&lt;/related-urls&gt;&lt;/urls&gt;&lt;/record&gt;&lt;/Cite&gt;&lt;/EndNote&gt;</w:instrText>
      </w:r>
      <w:r w:rsidR="00186FB9">
        <w:fldChar w:fldCharType="separate"/>
      </w:r>
      <w:r w:rsidRPr="0018483B" w:rsidR="0018483B">
        <w:rPr>
          <w:noProof/>
          <w:vertAlign w:val="superscript"/>
        </w:rPr>
        <w:t>1</w:t>
      </w:r>
      <w:r w:rsidR="00186FB9">
        <w:fldChar w:fldCharType="end"/>
      </w:r>
      <w:r w:rsidR="00186FB9">
        <w:rPr>
          <w:color w:val="FF0000"/>
        </w:rPr>
        <w:t xml:space="preserve"> </w:t>
      </w:r>
      <w:r w:rsidR="00DB586A">
        <w:rPr>
          <w:color w:val="000000" w:themeColor="text1"/>
        </w:rPr>
        <w:t>D</w:t>
      </w:r>
      <w:r w:rsidR="00D457C2">
        <w:t>e nationale programma’s</w:t>
      </w:r>
      <w:r w:rsidR="00D457C2">
        <w:rPr>
          <w:color w:val="000000" w:themeColor="text1"/>
        </w:rPr>
        <w:t xml:space="preserve"> </w:t>
      </w:r>
      <w:r w:rsidR="00DB586A">
        <w:rPr>
          <w:color w:val="000000" w:themeColor="text1"/>
        </w:rPr>
        <w:t>komen in grote lijnen overeen</w:t>
      </w:r>
      <w:r w:rsidR="00D457C2">
        <w:rPr>
          <w:color w:val="000000" w:themeColor="text1"/>
        </w:rPr>
        <w:t>. De - relatief beperkte -</w:t>
      </w:r>
      <w:r w:rsidR="00DD713F">
        <w:t xml:space="preserve"> variatie </w:t>
      </w:r>
      <w:r w:rsidR="00220760">
        <w:t xml:space="preserve">heeft verschillende oorzaken. </w:t>
      </w:r>
      <w:r w:rsidR="00F3675B">
        <w:t>E</w:t>
      </w:r>
      <w:r w:rsidR="00220760">
        <w:t xml:space="preserve">r </w:t>
      </w:r>
      <w:r w:rsidR="00F3675B">
        <w:t xml:space="preserve">is </w:t>
      </w:r>
      <w:r w:rsidR="00220760">
        <w:t>sprake van</w:t>
      </w:r>
      <w:r w:rsidR="00975B61">
        <w:t xml:space="preserve"> </w:t>
      </w:r>
      <w:r w:rsidR="00D457C2">
        <w:t>variatie</w:t>
      </w:r>
      <w:r w:rsidR="00AC6481">
        <w:t xml:space="preserve"> in </w:t>
      </w:r>
      <w:r w:rsidR="00975B61">
        <w:t>de epidemiologische situatie</w:t>
      </w:r>
      <w:r w:rsidR="005A14A7">
        <w:t xml:space="preserve"> en </w:t>
      </w:r>
      <w:r w:rsidR="00377182">
        <w:t xml:space="preserve">er </w:t>
      </w:r>
      <w:r w:rsidR="005A14A7">
        <w:t>zijn</w:t>
      </w:r>
      <w:r w:rsidR="00220760">
        <w:t xml:space="preserve"> verschillen in de criteria die gehanteerd worden</w:t>
      </w:r>
      <w:r w:rsidR="00377182">
        <w:t xml:space="preserve"> of de wijze waarop die criteria worden gehanteerd</w:t>
      </w:r>
      <w:r w:rsidR="00220760">
        <w:t xml:space="preserve">. </w:t>
      </w:r>
      <w:r w:rsidR="00285A3D">
        <w:t>Er zijn ook</w:t>
      </w:r>
      <w:r w:rsidR="0099178B">
        <w:t xml:space="preserve"> verschillen </w:t>
      </w:r>
      <w:r w:rsidR="00D90651">
        <w:t>tussen Europese landen wat betreft</w:t>
      </w:r>
      <w:r w:rsidR="0099178B">
        <w:t xml:space="preserve"> organisatie en uitvoering </w:t>
      </w:r>
      <w:r w:rsidR="00D90651">
        <w:t>van vaccinatieprogramma’s</w:t>
      </w:r>
      <w:r w:rsidR="0099178B">
        <w:t xml:space="preserve">. Zo </w:t>
      </w:r>
      <w:r w:rsidR="00285A3D">
        <w:t xml:space="preserve">wordt in </w:t>
      </w:r>
      <w:r w:rsidR="00F3675B">
        <w:t>het buiten</w:t>
      </w:r>
      <w:r w:rsidR="00285A3D">
        <w:t>land</w:t>
      </w:r>
      <w:r w:rsidR="00F3675B">
        <w:t xml:space="preserve"> soms</w:t>
      </w:r>
      <w:r w:rsidR="003F7CD7">
        <w:t xml:space="preserve"> </w:t>
      </w:r>
      <w:r w:rsidR="00945E66">
        <w:t>een grotere rol toegekend aan de huisarts.</w:t>
      </w:r>
      <w:r w:rsidR="003548B2">
        <w:t xml:space="preserve"> De Gezondheidsraad neemt deel aan een internationaal samenwerkingsverband van organisaties die adviseren over vaccinaties, teneinde optimaal van de ontwikkelingen in het buitenland op de hoogte te blijven.</w:t>
      </w:r>
    </w:p>
    <w:p w:rsidR="00730E35" w:rsidP="00730E35" w:rsidRDefault="00730E35" w14:paraId="19D2065F" w14:textId="77777777">
      <w:pPr>
        <w:pStyle w:val="01Brieftekst"/>
      </w:pPr>
    </w:p>
    <w:p w:rsidR="00B51CB9" w:rsidP="00B51CB9" w:rsidRDefault="00B51CB9" w14:paraId="294B3392" w14:textId="2DD3C9FE">
      <w:pPr>
        <w:pStyle w:val="Kop2"/>
      </w:pPr>
      <w:r>
        <w:t>Wetenschappelijke vragen</w:t>
      </w:r>
      <w:r w:rsidR="003548B2">
        <w:t>: enkele kernpunten</w:t>
      </w:r>
    </w:p>
    <w:p w:rsidR="003548B2" w:rsidP="003548B2" w:rsidRDefault="003548B2" w14:paraId="22AD954E" w14:textId="60BF3BCE">
      <w:pPr>
        <w:pStyle w:val="Kop4"/>
      </w:pPr>
      <w:r>
        <w:t xml:space="preserve">Epidemieën en globalisering </w:t>
      </w:r>
    </w:p>
    <w:p w:rsidR="00945E66" w:rsidP="0099178B" w:rsidRDefault="00945E66" w14:paraId="16ED0208" w14:textId="1B3FEC81">
      <w:r>
        <w:t>Epidemieën kenmerken zich</w:t>
      </w:r>
      <w:r w:rsidR="00DC190E">
        <w:t xml:space="preserve"> vaak</w:t>
      </w:r>
      <w:r>
        <w:t xml:space="preserve"> juist door hun onvoorspelbaarheid. </w:t>
      </w:r>
      <w:r w:rsidR="0099178B">
        <w:t xml:space="preserve">Er is </w:t>
      </w:r>
      <w:r w:rsidR="00170E46">
        <w:t xml:space="preserve">in ons land </w:t>
      </w:r>
      <w:r w:rsidR="00D500BE">
        <w:t xml:space="preserve">bijvoorbeeld </w:t>
      </w:r>
      <w:r>
        <w:t xml:space="preserve">bijna ieder jaar een griepepidemie, maar </w:t>
      </w:r>
      <w:r w:rsidR="0099178B">
        <w:t xml:space="preserve">het </w:t>
      </w:r>
      <w:r>
        <w:t xml:space="preserve">is lastig te voorspellen welke stammen van het influenzavirus hiervoor verantwoordelijk zullen zijn. </w:t>
      </w:r>
      <w:r w:rsidR="00170E46">
        <w:t xml:space="preserve">Het aantal ziektegevallen als gevolg van </w:t>
      </w:r>
      <w:r w:rsidR="00D500BE">
        <w:t xml:space="preserve">nieuw opkomende </w:t>
      </w:r>
      <w:r>
        <w:t>micro-organismen, bijvoorbeeld West-Nilevirus</w:t>
      </w:r>
      <w:r w:rsidR="00170E46">
        <w:t xml:space="preserve">, is hier tot nu toe beperkt, maar in andere landen is dat beeld anders. </w:t>
      </w:r>
      <w:r w:rsidR="00D733E7">
        <w:t>K</w:t>
      </w:r>
      <w:r w:rsidR="00170E46">
        <w:t xml:space="preserve">limaatveranderingen en globalisering </w:t>
      </w:r>
      <w:r w:rsidR="00DC190E">
        <w:t>kunnen</w:t>
      </w:r>
      <w:r w:rsidR="00170E46">
        <w:t xml:space="preserve"> een rol</w:t>
      </w:r>
      <w:r w:rsidR="00DC190E">
        <w:t xml:space="preserve"> spelen</w:t>
      </w:r>
      <w:r w:rsidR="00170E46">
        <w:t xml:space="preserve"> bij het ontstaan en de (snelle) verspreiding van sommige epidemieën. Internationaal wordt door het eerder genoemde ECDC en de Wereldgezondheidsorganisatie getracht meer inzicht te verkrijgen in het ontstaan en tegengaan van epidemieën.</w:t>
      </w:r>
      <w:r w:rsidR="00DC190E">
        <w:t xml:space="preserve"> </w:t>
      </w:r>
      <w:r w:rsidR="00994D38">
        <w:t xml:space="preserve">In ons land </w:t>
      </w:r>
      <w:r w:rsidR="00DC190E">
        <w:t xml:space="preserve"> </w:t>
      </w:r>
      <w:r w:rsidR="00994D38">
        <w:t xml:space="preserve">ligt de signalering, bestrijding en preventie van infectieziekten bij het Centrum Infectieziektebestrijding bij </w:t>
      </w:r>
      <w:r w:rsidR="00DC190E">
        <w:t>het RIVM</w:t>
      </w:r>
      <w:r w:rsidR="00994D38">
        <w:t>.</w:t>
      </w:r>
    </w:p>
    <w:p w:rsidR="003548B2" w:rsidP="00730E35" w:rsidRDefault="003548B2" w14:paraId="071EFB82" w14:textId="77777777">
      <w:pPr>
        <w:pStyle w:val="01Brieftekst"/>
      </w:pPr>
    </w:p>
    <w:p w:rsidR="003548B2" w:rsidP="003548B2" w:rsidRDefault="003548B2" w14:paraId="5B20915E" w14:textId="34CCB0F8">
      <w:pPr>
        <w:pStyle w:val="Kop4"/>
      </w:pPr>
      <w:r>
        <w:t>Dalende vaccinatiegraad</w:t>
      </w:r>
    </w:p>
    <w:p w:rsidR="00170E46" w:rsidP="00730E35" w:rsidRDefault="00170E46" w14:paraId="1D73B3F1" w14:textId="03FEA585">
      <w:pPr>
        <w:pStyle w:val="01Brieftekst"/>
      </w:pPr>
      <w:r>
        <w:t>Op dit moment kan er niet één duidelijke oorzaak voor de dalende vaccinatiegraad worden genoemd</w:t>
      </w:r>
      <w:r w:rsidR="002D793F">
        <w:t xml:space="preserve">, zoals ook is aangegeven door de </w:t>
      </w:r>
      <w:r w:rsidRPr="002D793F" w:rsidR="002D793F">
        <w:t>Externe Adviescommissie Vaccina</w:t>
      </w:r>
      <w:r w:rsidR="00186FB9">
        <w:t>tiebereidheid</w:t>
      </w:r>
      <w:r w:rsidR="002D793F">
        <w:t>.</w:t>
      </w:r>
      <w:r w:rsidR="00186FB9">
        <w:fldChar w:fldCharType="begin"/>
      </w:r>
      <w:r w:rsidR="00A610EA">
        <w:instrText xml:space="preserve"> ADDIN EN.CITE &lt;EndNote&gt;&lt;Cite&gt;&lt;Year&gt;2018&lt;/Year&gt;&lt;RecNum&gt;2209&lt;/RecNum&gt;&lt;DisplayText&gt;&lt;style face="superscript"&gt;2&lt;/style&gt;&lt;/DisplayText&gt;&lt;record&gt;&lt;rec-number&gt;2209&lt;/rec-number&gt;&lt;foreign-keys&gt;&lt;key app="EN" db-id="ffefxx29i5efdte9ewcvvevvsvxtvzaa2z2r" timestamp="1544627488"&gt;2209&lt;/key&gt;&lt;/foreign-keys&gt;&lt;ref-type name="Report"&gt;27&lt;/ref-type&gt;&lt;contributors&gt;&lt;/contributors&gt;&lt;titles&gt;&lt;title&gt;In gesprek over vaccineren&lt;/title&gt;&lt;/titles&gt;&lt;dates&gt;&lt;year&gt;2018&lt;/year&gt;&lt;/dates&gt;&lt;publisher&gt;Externe Adviescommissie Vaccinatiebereidheid&lt;/publisher&gt;&lt;urls&gt;&lt;/urls&gt;&lt;/record&gt;&lt;/Cite&gt;&lt;/EndNote&gt;</w:instrText>
      </w:r>
      <w:r w:rsidR="00186FB9">
        <w:fldChar w:fldCharType="separate"/>
      </w:r>
      <w:r w:rsidRPr="0018483B" w:rsidR="0018483B">
        <w:rPr>
          <w:noProof/>
          <w:vertAlign w:val="superscript"/>
        </w:rPr>
        <w:t>2</w:t>
      </w:r>
      <w:r w:rsidR="00186FB9">
        <w:fldChar w:fldCharType="end"/>
      </w:r>
      <w:r w:rsidR="002D793F">
        <w:t xml:space="preserve"> </w:t>
      </w:r>
      <w:r w:rsidRPr="002D793F" w:rsidR="002D793F">
        <w:t>Uit Europees onderzoek blijkt dat mensen verschillende motieven hebbe</w:t>
      </w:r>
      <w:r w:rsidR="00D73347">
        <w:t xml:space="preserve">n </w:t>
      </w:r>
      <w:r w:rsidR="0099178B">
        <w:t>om af te zien van vaccinatie</w:t>
      </w:r>
      <w:r w:rsidR="00D73347">
        <w:t>.</w:t>
      </w:r>
      <w:r w:rsidR="00186FB9">
        <w:fldChar w:fldCharType="begin"/>
      </w:r>
      <w:r w:rsidR="0018483B">
        <w:instrText xml:space="preserve"> ADDIN EN.CITE &lt;EndNote&gt;&lt;Cite&gt;&lt;Author&gt;Karafillakis&lt;/Author&gt;&lt;Year&gt;2017&lt;/Year&gt;&lt;RecNum&gt;2208&lt;/RecNum&gt;&lt;DisplayText&gt;&lt;style face="superscript"&gt;3&lt;/style&gt;&lt;/DisplayText&gt;&lt;record&gt;&lt;rec-number&gt;2208&lt;/rec-number&gt;&lt;foreign-keys&gt;&lt;key app="EN" db-id="ffefxx29i5efdte9ewcvvevvsvxtvzaa2z2r" timestamp="1544626760"&gt;2208&lt;/key&gt;&lt;/foreign-keys&gt;&lt;ref-type name="Journal Article"&gt;17&lt;/ref-type&gt;&lt;contributors&gt;&lt;authors&gt;&lt;author&gt;Karafillakis, E.&lt;/author&gt;&lt;author&gt;Larson, H. J.&lt;/author&gt;&lt;author&gt;Advance consortium&lt;/author&gt;&lt;/authors&gt;&lt;/contributors&gt;&lt;auth-address&gt;Vaccine Confidence Project, London School of Hygiene &amp;amp; Tropical medicine, London, United Kingdom.&amp;#xD;Vaccine Confidence Project, London School of Hygiene &amp;amp; Tropical medicine, London, United Kingdom; Department of Global Health, University of Washington, Seattle, USA. Electronic address: heidi.larson@lshtm.ac.uk.&lt;/auth-address&gt;&lt;titles&gt;&lt;title&gt;The benefit of the doubt or doubts over benefits? A systematic literature review of perceived risks of vaccines in European populations&lt;/title&gt;&lt;secondary-title&gt;Vaccine&lt;/secondary-title&gt;&lt;/titles&gt;&lt;periodical&gt;&lt;full-title&gt;Vaccine&lt;/full-title&gt;&lt;/periodical&gt;&lt;pages&gt;4840-4850&lt;/pages&gt;&lt;volume&gt;35&lt;/volume&gt;&lt;number&gt;37&lt;/number&gt;&lt;edition&gt;2017/08/02&lt;/edition&gt;&lt;keywords&gt;&lt;keyword&gt;Europe&lt;/keyword&gt;&lt;keyword&gt;Humans&lt;/keyword&gt;&lt;keyword&gt;Risk Assessment/methods&lt;/keyword&gt;&lt;keyword&gt;Vaccination/*adverse effects/*statistics &amp;amp; numerical data&lt;/keyword&gt;&lt;keyword&gt;Vaccines/adverse effects/therapeutic use&lt;/keyword&gt;&lt;keyword&gt;*Confidence&lt;/keyword&gt;&lt;keyword&gt;*Hesitancy&lt;/keyword&gt;&lt;keyword&gt;*Immunisation&lt;/keyword&gt;&lt;keyword&gt;*Risk perception&lt;/keyword&gt;&lt;keyword&gt;*Risk-benefit&lt;/keyword&gt;&lt;keyword&gt;*Vaccine&lt;/keyword&gt;&lt;/keywords&gt;&lt;dates&gt;&lt;year&gt;2017&lt;/year&gt;&lt;pub-dates&gt;&lt;date&gt;Sep 5&lt;/date&gt;&lt;/pub-dates&gt;&lt;/dates&gt;&lt;isbn&gt;1873-2518 (Electronic)&amp;#xD;0264-410X (Linking)&lt;/isbn&gt;&lt;accession-num&gt;28760616&lt;/accession-num&gt;&lt;urls&gt;&lt;related-urls&gt;&lt;url&gt;https://www.ncbi.nlm.nih.gov/pubmed/28760616&lt;/url&gt;&lt;/related-urls&gt;&lt;/urls&gt;&lt;electronic-resource-num&gt;10.1016/j.vaccine.2017.07.061&lt;/electronic-resource-num&gt;&lt;/record&gt;&lt;/Cite&gt;&lt;/EndNote&gt;</w:instrText>
      </w:r>
      <w:r w:rsidR="00186FB9">
        <w:fldChar w:fldCharType="separate"/>
      </w:r>
      <w:r w:rsidRPr="0018483B" w:rsidR="0018483B">
        <w:rPr>
          <w:noProof/>
          <w:vertAlign w:val="superscript"/>
        </w:rPr>
        <w:t>3</w:t>
      </w:r>
      <w:r w:rsidR="00186FB9">
        <w:fldChar w:fldCharType="end"/>
      </w:r>
      <w:r w:rsidR="00D73347">
        <w:t xml:space="preserve"> Bovenaan staat zorg om de veiligheid van vaccins, gevolgd door de overtuiging dat het risico op de betreffende ziekte klein is of dat die ziekte niet ernstig is, en</w:t>
      </w:r>
      <w:r w:rsidRPr="002D793F" w:rsidR="002D793F">
        <w:t xml:space="preserve"> de overtuiging dat vaccins niet werken</w:t>
      </w:r>
      <w:r w:rsidR="00D73347">
        <w:t xml:space="preserve">. </w:t>
      </w:r>
    </w:p>
    <w:p w:rsidR="0072602E" w:rsidP="004A0882" w:rsidRDefault="0072602E" w14:paraId="7ACADF84" w14:textId="77777777">
      <w:pPr>
        <w:pStyle w:val="01Brieftekst"/>
      </w:pPr>
    </w:p>
    <w:p w:rsidRPr="00E5762D" w:rsidR="00186FB9" w:rsidP="00A610EA" w:rsidRDefault="0018483B" w14:paraId="53EDC948" w14:textId="7A2FB800">
      <w:pPr>
        <w:pStyle w:val="Kop3"/>
        <w:rPr>
          <w:sz w:val="20"/>
          <w:szCs w:val="20"/>
          <w:lang w:val="en-US"/>
        </w:rPr>
      </w:pPr>
      <w:proofErr w:type="spellStart"/>
      <w:r w:rsidRPr="00E5762D">
        <w:rPr>
          <w:sz w:val="20"/>
          <w:szCs w:val="20"/>
          <w:lang w:val="en-US"/>
        </w:rPr>
        <w:t>L</w:t>
      </w:r>
      <w:r w:rsidRPr="00E5762D" w:rsidR="00D90651">
        <w:rPr>
          <w:sz w:val="20"/>
          <w:szCs w:val="20"/>
          <w:lang w:val="en-US"/>
        </w:rPr>
        <w:t>iteratuur</w:t>
      </w:r>
      <w:proofErr w:type="spellEnd"/>
    </w:p>
    <w:p w:rsidRPr="00A610EA" w:rsidR="00A610EA" w:rsidP="00A610EA" w:rsidRDefault="0018483B" w14:paraId="6CBD7285" w14:textId="07C5AC22">
      <w:pPr>
        <w:pStyle w:val="EndNoteBibliography"/>
        <w:ind w:left="720" w:hanging="720"/>
      </w:pPr>
      <w:r>
        <w:fldChar w:fldCharType="begin"/>
      </w:r>
      <w:r>
        <w:instrText xml:space="preserve"> ADDIN EN.REFLIST </w:instrText>
      </w:r>
      <w:r>
        <w:fldChar w:fldCharType="separate"/>
      </w:r>
      <w:r w:rsidRPr="00A610EA" w:rsidR="00A610EA">
        <w:t>1</w:t>
      </w:r>
      <w:r w:rsidRPr="00A610EA" w:rsidR="00A610EA">
        <w:tab/>
      </w:r>
      <w:r w:rsidRPr="00A610EA" w:rsidR="00A610EA">
        <w:rPr>
          <w:i/>
        </w:rPr>
        <w:t>Vaccination scheduler</w:t>
      </w:r>
      <w:r w:rsidRPr="00A610EA" w:rsidR="00A610EA">
        <w:t xml:space="preserve">. European Centre for Disease Prevention and Control </w:t>
      </w:r>
      <w:hyperlink w:history="1" r:id="rId8">
        <w:r w:rsidRPr="00A610EA" w:rsidR="00A610EA">
          <w:rPr>
            <w:rStyle w:val="Hyperlink"/>
          </w:rPr>
          <w:t>https://vaccine-schedule.ecdc.europa.eu/</w:t>
        </w:r>
      </w:hyperlink>
      <w:r w:rsidRPr="00A610EA" w:rsidR="00A610EA">
        <w:t>.</w:t>
      </w:r>
      <w:r w:rsidR="00AD57C2">
        <w:t xml:space="preserve"> Geraadpleegd januari 2019.</w:t>
      </w:r>
    </w:p>
    <w:p w:rsidRPr="00E5762D" w:rsidR="00A610EA" w:rsidP="00A610EA" w:rsidRDefault="00A610EA" w14:paraId="21BEC13F" w14:textId="77777777">
      <w:pPr>
        <w:pStyle w:val="EndNoteBibliography"/>
        <w:ind w:left="720" w:hanging="720"/>
        <w:rPr>
          <w:lang w:val="nl-NL"/>
        </w:rPr>
      </w:pPr>
      <w:r w:rsidRPr="00E5762D">
        <w:rPr>
          <w:lang w:val="nl-NL"/>
        </w:rPr>
        <w:t>2</w:t>
      </w:r>
      <w:r w:rsidRPr="00E5762D">
        <w:rPr>
          <w:lang w:val="nl-NL"/>
        </w:rPr>
        <w:tab/>
      </w:r>
      <w:r w:rsidRPr="00E5762D">
        <w:rPr>
          <w:i/>
          <w:lang w:val="nl-NL"/>
        </w:rPr>
        <w:t>In gesprek over vaccineren</w:t>
      </w:r>
      <w:r w:rsidRPr="00E5762D">
        <w:rPr>
          <w:lang w:val="nl-NL"/>
        </w:rPr>
        <w:t xml:space="preserve">. Externe Adviescommissie Vaccinatiebereidheid, 2018.  </w:t>
      </w:r>
    </w:p>
    <w:p w:rsidRPr="00A610EA" w:rsidR="00A610EA" w:rsidP="00A610EA" w:rsidRDefault="00A610EA" w14:paraId="15FCB793" w14:textId="77777777">
      <w:pPr>
        <w:pStyle w:val="EndNoteBibliography"/>
        <w:ind w:left="720" w:hanging="720"/>
      </w:pPr>
      <w:r w:rsidRPr="00A610EA">
        <w:t>3</w:t>
      </w:r>
      <w:r w:rsidRPr="00A610EA">
        <w:tab/>
        <w:t xml:space="preserve">Karafillakis E, Larson HJ, consortium A. </w:t>
      </w:r>
      <w:r w:rsidRPr="00A610EA">
        <w:rPr>
          <w:i/>
        </w:rPr>
        <w:t>The benefit of the doubt or doubts over benefits? A systematic literature review of perceived risks of vaccines in European populations</w:t>
      </w:r>
      <w:r w:rsidRPr="00A610EA">
        <w:t>. Vaccine 2017; 35(37): 4840-50.</w:t>
      </w:r>
    </w:p>
    <w:p w:rsidRPr="004A0882" w:rsidR="0018483B" w:rsidP="00A610EA" w:rsidRDefault="0018483B" w14:paraId="751F53DF" w14:textId="00135B81">
      <w:pPr>
        <w:pStyle w:val="01Brieftekst"/>
      </w:pPr>
      <w:r>
        <w:fldChar w:fldCharType="end"/>
      </w:r>
    </w:p>
    <w:sectPr w:rsidRPr="004A0882" w:rsidR="0018483B" w:rsidSect="00CA6CF7">
      <w:headerReference w:type="even" r:id="rId9"/>
      <w:headerReference w:type="default" r:id="rId10"/>
      <w:footerReference w:type="even" r:id="rId11"/>
      <w:footerReference w:type="default" r:id="rId12"/>
      <w:headerReference w:type="first" r:id="rId13"/>
      <w:footerReference w:type="first" r:id="rId14"/>
      <w:footnotePr>
        <w:numFmt w:val="lowerLetter"/>
      </w:footnotePr>
      <w:pgSz w:w="11900" w:h="16840"/>
      <w:pgMar w:top="2835" w:right="1701" w:bottom="1701" w:left="1701" w:header="567" w:footer="567"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054407" w14:textId="77777777" w:rsidR="00F227D8" w:rsidRDefault="00F227D8" w:rsidP="00807E63">
      <w:pPr>
        <w:spacing w:line="240" w:lineRule="auto"/>
      </w:pPr>
      <w:r>
        <w:separator/>
      </w:r>
    </w:p>
  </w:endnote>
  <w:endnote w:type="continuationSeparator" w:id="0">
    <w:p w14:paraId="3B694CE1" w14:textId="77777777" w:rsidR="00F227D8" w:rsidRDefault="00F227D8" w:rsidP="00807E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FCF63" w14:textId="77777777" w:rsidR="00DA624F" w:rsidRDefault="00DA624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pPr w:vertAnchor="page" w:horzAnchor="page" w:tblpX="1702" w:tblpY="1565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38"/>
      <w:gridCol w:w="2438"/>
      <w:gridCol w:w="3629"/>
    </w:tblGrid>
    <w:tr w:rsidR="004662D1" w14:paraId="313B6435" w14:textId="77777777" w:rsidTr="00D26BBB">
      <w:trPr>
        <w:trHeight w:val="158"/>
      </w:trPr>
      <w:tc>
        <w:tcPr>
          <w:tcW w:w="2438" w:type="dxa"/>
        </w:tcPr>
        <w:p w14:paraId="0F301151" w14:textId="77777777" w:rsidR="004662D1" w:rsidRDefault="004662D1" w:rsidP="00D26BBB">
          <w:pPr>
            <w:pStyle w:val="09Contact"/>
          </w:pPr>
        </w:p>
      </w:tc>
      <w:tc>
        <w:tcPr>
          <w:tcW w:w="2438" w:type="dxa"/>
        </w:tcPr>
        <w:p w14:paraId="42150BB2" w14:textId="77777777" w:rsidR="004662D1" w:rsidRDefault="004662D1" w:rsidP="00DB2825">
          <w:pPr>
            <w:pStyle w:val="09Contact"/>
          </w:pPr>
          <w:r>
            <w:t xml:space="preserve"> </w:t>
          </w:r>
        </w:p>
        <w:p w14:paraId="3C6E7924" w14:textId="77777777" w:rsidR="004662D1" w:rsidRDefault="004662D1" w:rsidP="00D26BBB">
          <w:pPr>
            <w:pStyle w:val="09Contact"/>
          </w:pPr>
        </w:p>
      </w:tc>
      <w:tc>
        <w:tcPr>
          <w:tcW w:w="3629" w:type="dxa"/>
        </w:tcPr>
        <w:p w14:paraId="752A2CDF" w14:textId="77777777" w:rsidR="004662D1" w:rsidRDefault="004662D1" w:rsidP="00D26BBB">
          <w:pPr>
            <w:pStyle w:val="Voettekst"/>
          </w:pPr>
        </w:p>
        <w:p w14:paraId="6E085C32" w14:textId="77777777" w:rsidR="004662D1" w:rsidRDefault="004662D1" w:rsidP="00D26BBB">
          <w:pPr>
            <w:pStyle w:val="Voettekst"/>
          </w:pPr>
        </w:p>
        <w:p w14:paraId="51C5EDAA" w14:textId="30A51566" w:rsidR="004662D1" w:rsidRDefault="004662D1" w:rsidP="00D26BBB">
          <w:pPr>
            <w:pStyle w:val="Voettekst"/>
          </w:pPr>
          <w:r>
            <w:t xml:space="preserve">Pagina </w:t>
          </w:r>
          <w:r w:rsidR="00ED206B">
            <w:rPr>
              <w:noProof/>
            </w:rPr>
            <w:fldChar w:fldCharType="begin"/>
          </w:r>
          <w:r w:rsidR="00ED206B">
            <w:rPr>
              <w:noProof/>
            </w:rPr>
            <w:instrText xml:space="preserve"> PAGE  \* MERGEFORMAT </w:instrText>
          </w:r>
          <w:r w:rsidR="00ED206B">
            <w:rPr>
              <w:noProof/>
            </w:rPr>
            <w:fldChar w:fldCharType="separate"/>
          </w:r>
          <w:r w:rsidR="00DA624F">
            <w:rPr>
              <w:noProof/>
            </w:rPr>
            <w:t>2</w:t>
          </w:r>
          <w:r w:rsidR="00ED206B">
            <w:rPr>
              <w:noProof/>
            </w:rPr>
            <w:fldChar w:fldCharType="end"/>
          </w:r>
          <w:r>
            <w:t xml:space="preserve"> van </w:t>
          </w:r>
          <w:r w:rsidR="00ED206B">
            <w:rPr>
              <w:noProof/>
            </w:rPr>
            <w:fldChar w:fldCharType="begin"/>
          </w:r>
          <w:r w:rsidR="00ED206B">
            <w:rPr>
              <w:noProof/>
            </w:rPr>
            <w:instrText xml:space="preserve"> NUMPAGES  \* MERGEFORMAT </w:instrText>
          </w:r>
          <w:r w:rsidR="00ED206B">
            <w:rPr>
              <w:noProof/>
            </w:rPr>
            <w:fldChar w:fldCharType="separate"/>
          </w:r>
          <w:r w:rsidR="00DA624F">
            <w:rPr>
              <w:noProof/>
            </w:rPr>
            <w:t>2</w:t>
          </w:r>
          <w:r w:rsidR="00ED206B">
            <w:rPr>
              <w:noProof/>
            </w:rPr>
            <w:fldChar w:fldCharType="end"/>
          </w:r>
        </w:p>
      </w:tc>
    </w:tr>
  </w:tbl>
  <w:p w14:paraId="4E8009BD" w14:textId="77777777" w:rsidR="004662D1" w:rsidRDefault="004662D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pPr w:vertAnchor="page" w:horzAnchor="page" w:tblpX="1702" w:tblpY="1565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38"/>
      <w:gridCol w:w="2438"/>
      <w:gridCol w:w="3629"/>
    </w:tblGrid>
    <w:tr w:rsidR="004662D1" w14:paraId="21DE7D16" w14:textId="77777777" w:rsidTr="00BF43B5">
      <w:trPr>
        <w:trHeight w:val="158"/>
      </w:trPr>
      <w:tc>
        <w:tcPr>
          <w:tcW w:w="2438" w:type="dxa"/>
        </w:tcPr>
        <w:p w14:paraId="11609535" w14:textId="77777777" w:rsidR="004662D1" w:rsidRDefault="004662D1" w:rsidP="000948E0">
          <w:pPr>
            <w:pStyle w:val="08ContactKop"/>
          </w:pPr>
        </w:p>
      </w:tc>
      <w:tc>
        <w:tcPr>
          <w:tcW w:w="2438" w:type="dxa"/>
        </w:tcPr>
        <w:p w14:paraId="4148C1C2" w14:textId="77777777" w:rsidR="004662D1" w:rsidRDefault="004662D1" w:rsidP="000948E0">
          <w:pPr>
            <w:pStyle w:val="09Contact"/>
          </w:pPr>
        </w:p>
        <w:p w14:paraId="1F3E0F76" w14:textId="77777777" w:rsidR="004662D1" w:rsidRDefault="004662D1" w:rsidP="00D26BBB">
          <w:pPr>
            <w:pStyle w:val="09Contact"/>
          </w:pPr>
        </w:p>
      </w:tc>
      <w:tc>
        <w:tcPr>
          <w:tcW w:w="3629" w:type="dxa"/>
        </w:tcPr>
        <w:p w14:paraId="2AE3EF7F" w14:textId="77777777" w:rsidR="004662D1" w:rsidRDefault="004662D1" w:rsidP="00BF43B5">
          <w:pPr>
            <w:pStyle w:val="Voettekst"/>
          </w:pPr>
        </w:p>
        <w:p w14:paraId="05679582" w14:textId="77777777" w:rsidR="004662D1" w:rsidRDefault="004662D1" w:rsidP="00BF43B5">
          <w:pPr>
            <w:pStyle w:val="Voettekst"/>
          </w:pPr>
        </w:p>
        <w:p w14:paraId="71DF62CE" w14:textId="50664C92" w:rsidR="004662D1" w:rsidRDefault="004662D1" w:rsidP="00BF43B5">
          <w:pPr>
            <w:pStyle w:val="Voettekst"/>
          </w:pPr>
          <w:r>
            <w:t xml:space="preserve">Pagina </w:t>
          </w:r>
          <w:r w:rsidR="00ED206B">
            <w:rPr>
              <w:noProof/>
            </w:rPr>
            <w:fldChar w:fldCharType="begin"/>
          </w:r>
          <w:r w:rsidR="00ED206B">
            <w:rPr>
              <w:noProof/>
            </w:rPr>
            <w:instrText xml:space="preserve"> PAGE  \* MERGEFORMAT </w:instrText>
          </w:r>
          <w:r w:rsidR="00ED206B">
            <w:rPr>
              <w:noProof/>
            </w:rPr>
            <w:fldChar w:fldCharType="separate"/>
          </w:r>
          <w:r w:rsidR="00DA624F">
            <w:rPr>
              <w:noProof/>
            </w:rPr>
            <w:t>1</w:t>
          </w:r>
          <w:r w:rsidR="00ED206B">
            <w:rPr>
              <w:noProof/>
            </w:rPr>
            <w:fldChar w:fldCharType="end"/>
          </w:r>
          <w:r>
            <w:t xml:space="preserve"> van </w:t>
          </w:r>
          <w:r w:rsidR="00ED206B">
            <w:rPr>
              <w:noProof/>
            </w:rPr>
            <w:fldChar w:fldCharType="begin"/>
          </w:r>
          <w:r w:rsidR="00ED206B">
            <w:rPr>
              <w:noProof/>
            </w:rPr>
            <w:instrText xml:space="preserve"> NUMPAGES  \* MERGEFORMAT </w:instrText>
          </w:r>
          <w:r w:rsidR="00ED206B">
            <w:rPr>
              <w:noProof/>
            </w:rPr>
            <w:fldChar w:fldCharType="separate"/>
          </w:r>
          <w:r w:rsidR="00DA624F">
            <w:rPr>
              <w:noProof/>
            </w:rPr>
            <w:t>2</w:t>
          </w:r>
          <w:r w:rsidR="00ED206B">
            <w:rPr>
              <w:noProof/>
            </w:rPr>
            <w:fldChar w:fldCharType="end"/>
          </w:r>
        </w:p>
      </w:tc>
    </w:tr>
  </w:tbl>
  <w:p w14:paraId="6F717F65" w14:textId="77777777" w:rsidR="004662D1" w:rsidRDefault="004662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F3F384" w14:textId="77777777" w:rsidR="00F227D8" w:rsidRDefault="00F227D8" w:rsidP="00807E63">
      <w:pPr>
        <w:spacing w:line="240" w:lineRule="auto"/>
      </w:pPr>
      <w:r>
        <w:separator/>
      </w:r>
    </w:p>
  </w:footnote>
  <w:footnote w:type="continuationSeparator" w:id="0">
    <w:p w14:paraId="571BC292" w14:textId="77777777" w:rsidR="00F227D8" w:rsidRDefault="00F227D8" w:rsidP="00807E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C6C02" w14:textId="77777777" w:rsidR="00DA624F" w:rsidRDefault="00DA624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pPr w:vertAnchor="page" w:horzAnchor="page" w:tblpX="1702" w:tblpY="1248"/>
      <w:tblOverlap w:val="never"/>
      <w:tblW w:w="7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3"/>
      <w:gridCol w:w="2268"/>
    </w:tblGrid>
    <w:tr w:rsidR="004662D1" w:rsidRPr="00807E63" w14:paraId="1A5DFBB0" w14:textId="77777777" w:rsidTr="00717DAE">
      <w:trPr>
        <w:cantSplit/>
        <w:trHeight w:val="680"/>
      </w:trPr>
      <w:tc>
        <w:tcPr>
          <w:tcW w:w="5103" w:type="dxa"/>
          <w:tcMar>
            <w:bottom w:w="0" w:type="dxa"/>
          </w:tcMar>
          <w:vAlign w:val="bottom"/>
        </w:tcPr>
        <w:p w14:paraId="312158DB" w14:textId="77777777" w:rsidR="004662D1" w:rsidRPr="00807E63" w:rsidRDefault="004662D1" w:rsidP="00717DAE">
          <w:pPr>
            <w:pStyle w:val="06GRNummer"/>
          </w:pPr>
        </w:p>
      </w:tc>
      <w:tc>
        <w:tcPr>
          <w:tcW w:w="2268" w:type="dxa"/>
          <w:vAlign w:val="bottom"/>
        </w:tcPr>
        <w:p w14:paraId="675A9DA0" w14:textId="4EE94E8A" w:rsidR="004662D1" w:rsidRPr="00717DAE" w:rsidRDefault="004662D1" w:rsidP="00717DAE">
          <w:pPr>
            <w:pStyle w:val="05Item"/>
            <w:rPr>
              <w:sz w:val="42"/>
              <w:szCs w:val="42"/>
            </w:rPr>
          </w:pPr>
        </w:p>
      </w:tc>
    </w:tr>
  </w:tbl>
  <w:p w14:paraId="228D4C61" w14:textId="77777777" w:rsidR="004662D1" w:rsidRDefault="004662D1">
    <w:pPr>
      <w:pStyle w:val="Koptekst"/>
    </w:pPr>
    <w:r>
      <w:rPr>
        <w:noProof/>
        <w:lang w:eastAsia="nl-NL"/>
      </w:rPr>
      <w:drawing>
        <wp:anchor distT="0" distB="0" distL="114300" distR="114300" simplePos="0" relativeHeight="251659264" behindDoc="1" locked="0" layoutInCell="1" allowOverlap="1" wp14:anchorId="4921E411" wp14:editId="34372F73">
          <wp:simplePos x="0" y="0"/>
          <wp:positionH relativeFrom="page">
            <wp:posOffset>6009005</wp:posOffset>
          </wp:positionH>
          <wp:positionV relativeFrom="page">
            <wp:posOffset>0</wp:posOffset>
          </wp:positionV>
          <wp:extent cx="1551600" cy="1278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_Logo_Volgvel_300.png"/>
                  <pic:cNvPicPr/>
                </pic:nvPicPr>
                <pic:blipFill>
                  <a:blip r:embed="rId1">
                    <a:extLst>
                      <a:ext uri="{28A0092B-C50C-407E-A947-70E740481C1C}">
                        <a14:useLocalDpi xmlns:a14="http://schemas.microsoft.com/office/drawing/2010/main" val="0"/>
                      </a:ext>
                    </a:extLst>
                  </a:blip>
                  <a:stretch>
                    <a:fillRect/>
                  </a:stretch>
                </pic:blipFill>
                <pic:spPr>
                  <a:xfrm>
                    <a:off x="0" y="0"/>
                    <a:ext cx="1551600" cy="12780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5CBE0" w14:textId="77777777" w:rsidR="004662D1" w:rsidRDefault="004662D1">
    <w:pPr>
      <w:pStyle w:val="Koptekst"/>
    </w:pPr>
    <w:r>
      <w:rPr>
        <w:noProof/>
        <w:lang w:eastAsia="nl-NL"/>
      </w:rPr>
      <w:drawing>
        <wp:anchor distT="0" distB="0" distL="114300" distR="114300" simplePos="0" relativeHeight="251658240" behindDoc="1" locked="0" layoutInCell="1" allowOverlap="1" wp14:anchorId="44242F5C" wp14:editId="3B39BB6E">
          <wp:simplePos x="0" y="0"/>
          <wp:positionH relativeFrom="page">
            <wp:posOffset>5634990</wp:posOffset>
          </wp:positionH>
          <wp:positionV relativeFrom="page">
            <wp:posOffset>0</wp:posOffset>
          </wp:positionV>
          <wp:extent cx="1926000" cy="1602000"/>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_Logo_Kopvel_300.png"/>
                  <pic:cNvPicPr/>
                </pic:nvPicPr>
                <pic:blipFill>
                  <a:blip r:embed="rId1">
                    <a:extLst>
                      <a:ext uri="{28A0092B-C50C-407E-A947-70E740481C1C}">
                        <a14:useLocalDpi xmlns:a14="http://schemas.microsoft.com/office/drawing/2010/main" val="0"/>
                      </a:ext>
                    </a:extLst>
                  </a:blip>
                  <a:stretch>
                    <a:fillRect/>
                  </a:stretch>
                </pic:blipFill>
                <pic:spPr>
                  <a:xfrm>
                    <a:off x="0" y="0"/>
                    <a:ext cx="1926000" cy="1602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16C3"/>
    <w:multiLevelType w:val="hybridMultilevel"/>
    <w:tmpl w:val="EE062448"/>
    <w:lvl w:ilvl="0" w:tplc="25324852">
      <w:start w:val="1"/>
      <w:numFmt w:val="bullet"/>
      <w:pStyle w:val="02BulletN1"/>
      <w:lvlText w:val=""/>
      <w:lvlJc w:val="left"/>
      <w:pPr>
        <w:ind w:left="227" w:hanging="22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3F50C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9367339"/>
    <w:multiLevelType w:val="multilevel"/>
    <w:tmpl w:val="1C3EC8CE"/>
    <w:lvl w:ilvl="0">
      <w:start w:val="1"/>
      <w:numFmt w:val="decimal"/>
      <w:pStyle w:val="03Nummering"/>
      <w:lvlText w:val="%1."/>
      <w:lvlJc w:val="left"/>
      <w:pPr>
        <w:tabs>
          <w:tab w:val="num" w:pos="454"/>
        </w:tabs>
        <w:ind w:left="454" w:hanging="454"/>
      </w:pPr>
      <w:rPr>
        <w:rFonts w:hint="default"/>
      </w:rPr>
    </w:lvl>
    <w:lvl w:ilvl="1">
      <w:start w:val="1"/>
      <w:numFmt w:val="decimal"/>
      <w:pStyle w:val="04Nummering"/>
      <w:lvlText w:val="%1.%2."/>
      <w:lvlJc w:val="left"/>
      <w:pPr>
        <w:tabs>
          <w:tab w:val="num" w:pos="454"/>
        </w:tabs>
        <w:ind w:left="454" w:hanging="45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BD09D6"/>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9A1F69"/>
    <w:multiLevelType w:val="multilevel"/>
    <w:tmpl w:val="25EC44F8"/>
    <w:lvl w:ilvl="0">
      <w:start w:val="1"/>
      <w:numFmt w:val="decimal"/>
      <w:lvlText w:val="%1.1"/>
      <w:lvlJc w:val="left"/>
      <w:pPr>
        <w:ind w:left="0" w:firstLine="454"/>
      </w:pPr>
      <w:rPr>
        <w:rFonts w:hint="default"/>
        <w:sz w:val="18"/>
      </w:rPr>
    </w:lvl>
    <w:lvl w:ilvl="1">
      <w:start w:val="1"/>
      <w:numFmt w:val="decimal"/>
      <w:lvlRestart w:val="0"/>
      <w:lvlText w:val="%1.%2."/>
      <w:lvlJc w:val="left"/>
      <w:pPr>
        <w:ind w:left="-615" w:firstLine="357"/>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5" w15:restartNumberingAfterBreak="0">
    <w:nsid w:val="65485714"/>
    <w:multiLevelType w:val="multilevel"/>
    <w:tmpl w:val="2970FC2C"/>
    <w:lvl w:ilvl="0">
      <w:start w:val="1"/>
      <w:numFmt w:val="decimal"/>
      <w:lvlText w:val="1.%1."/>
      <w:lvlJc w:val="left"/>
      <w:pPr>
        <w:ind w:left="1401" w:hanging="360"/>
      </w:pPr>
      <w:rPr>
        <w:rFonts w:ascii="Arial" w:hAnsi="Arial" w:hint="default"/>
        <w:sz w:val="18"/>
      </w:rPr>
    </w:lvl>
    <w:lvl w:ilvl="1">
      <w:start w:val="1"/>
      <w:numFmt w:val="decimal"/>
      <w:lvlRestart w:val="0"/>
      <w:lvlText w:val="%1.%2."/>
      <w:lvlJc w:val="left"/>
      <w:pPr>
        <w:ind w:left="0" w:firstLine="357"/>
      </w:pPr>
      <w:rPr>
        <w:rFonts w:hint="default"/>
      </w:rPr>
    </w:lvl>
    <w:lvl w:ilvl="2">
      <w:start w:val="1"/>
      <w:numFmt w:val="lowerRoman"/>
      <w:lvlText w:val="%3."/>
      <w:lvlJc w:val="right"/>
      <w:pPr>
        <w:ind w:left="2841" w:hanging="180"/>
      </w:pPr>
      <w:rPr>
        <w:rFonts w:hint="default"/>
      </w:rPr>
    </w:lvl>
    <w:lvl w:ilvl="3">
      <w:start w:val="1"/>
      <w:numFmt w:val="decimal"/>
      <w:lvlText w:val="%4."/>
      <w:lvlJc w:val="left"/>
      <w:pPr>
        <w:ind w:left="3561" w:hanging="360"/>
      </w:pPr>
      <w:rPr>
        <w:rFonts w:hint="default"/>
      </w:rPr>
    </w:lvl>
    <w:lvl w:ilvl="4">
      <w:start w:val="1"/>
      <w:numFmt w:val="lowerLetter"/>
      <w:lvlText w:val="%5."/>
      <w:lvlJc w:val="left"/>
      <w:pPr>
        <w:ind w:left="4281" w:hanging="360"/>
      </w:pPr>
      <w:rPr>
        <w:rFonts w:hint="default"/>
      </w:rPr>
    </w:lvl>
    <w:lvl w:ilvl="5">
      <w:start w:val="1"/>
      <w:numFmt w:val="lowerRoman"/>
      <w:lvlText w:val="%6."/>
      <w:lvlJc w:val="right"/>
      <w:pPr>
        <w:ind w:left="5001" w:hanging="180"/>
      </w:pPr>
      <w:rPr>
        <w:rFonts w:hint="default"/>
      </w:rPr>
    </w:lvl>
    <w:lvl w:ilvl="6">
      <w:start w:val="1"/>
      <w:numFmt w:val="decimal"/>
      <w:lvlText w:val="%7."/>
      <w:lvlJc w:val="left"/>
      <w:pPr>
        <w:ind w:left="5721" w:hanging="360"/>
      </w:pPr>
      <w:rPr>
        <w:rFonts w:hint="default"/>
      </w:rPr>
    </w:lvl>
    <w:lvl w:ilvl="7">
      <w:start w:val="1"/>
      <w:numFmt w:val="lowerLetter"/>
      <w:lvlText w:val="%8."/>
      <w:lvlJc w:val="left"/>
      <w:pPr>
        <w:ind w:left="6441" w:hanging="360"/>
      </w:pPr>
      <w:rPr>
        <w:rFonts w:hint="default"/>
      </w:rPr>
    </w:lvl>
    <w:lvl w:ilvl="8">
      <w:start w:val="1"/>
      <w:numFmt w:val="lowerRoman"/>
      <w:lvlText w:val="%9."/>
      <w:lvlJc w:val="right"/>
      <w:pPr>
        <w:ind w:left="7161" w:hanging="180"/>
      </w:pPr>
      <w:rPr>
        <w:rFonts w:hint="default"/>
      </w:rPr>
    </w:lvl>
  </w:abstractNum>
  <w:num w:numId="1">
    <w:abstractNumId w:val="0"/>
  </w:num>
  <w:num w:numId="2">
    <w:abstractNumId w:val="2"/>
  </w:num>
  <w:num w:numId="3">
    <w:abstractNumId w:val="4"/>
  </w:num>
  <w:num w:numId="4">
    <w:abstractNumId w:val="3"/>
  </w:num>
  <w:num w:numId="5">
    <w:abstractNumId w:val="5"/>
  </w:num>
  <w:num w:numId="6">
    <w:abstractNumId w:val="4"/>
    <w:lvlOverride w:ilvl="0">
      <w:lvl w:ilvl="0">
        <w:start w:val="1"/>
        <w:numFmt w:val="decimal"/>
        <w:lvlText w:val="%1.1"/>
        <w:lvlJc w:val="left"/>
        <w:pPr>
          <w:ind w:left="0" w:firstLine="454"/>
        </w:pPr>
        <w:rPr>
          <w:rFonts w:hint="default"/>
          <w:sz w:val="18"/>
        </w:rPr>
      </w:lvl>
    </w:lvlOverride>
    <w:lvlOverride w:ilvl="1">
      <w:lvl w:ilvl="1">
        <w:start w:val="1"/>
        <w:numFmt w:val="decimal"/>
        <w:lvlRestart w:val="0"/>
        <w:lvlText w:val="%1.%2."/>
        <w:lvlJc w:val="left"/>
        <w:pPr>
          <w:ind w:left="-615" w:firstLine="357"/>
        </w:pPr>
        <w:rPr>
          <w:rFonts w:hint="default"/>
        </w:rPr>
      </w:lvl>
    </w:lvlOverride>
    <w:lvlOverride w:ilvl="2">
      <w:lvl w:ilvl="2">
        <w:start w:val="1"/>
        <w:numFmt w:val="lowerRoman"/>
        <w:lvlText w:val="%3."/>
        <w:lvlJc w:val="right"/>
        <w:pPr>
          <w:ind w:left="2226" w:hanging="180"/>
        </w:pPr>
        <w:rPr>
          <w:rFonts w:hint="default"/>
        </w:rPr>
      </w:lvl>
    </w:lvlOverride>
    <w:lvlOverride w:ilvl="3">
      <w:lvl w:ilvl="3">
        <w:start w:val="1"/>
        <w:numFmt w:val="decimal"/>
        <w:lvlText w:val="%4."/>
        <w:lvlJc w:val="left"/>
        <w:pPr>
          <w:ind w:left="2946" w:hanging="360"/>
        </w:pPr>
        <w:rPr>
          <w:rFonts w:hint="default"/>
        </w:rPr>
      </w:lvl>
    </w:lvlOverride>
    <w:lvlOverride w:ilvl="4">
      <w:lvl w:ilvl="4">
        <w:start w:val="1"/>
        <w:numFmt w:val="lowerLetter"/>
        <w:lvlText w:val="%5."/>
        <w:lvlJc w:val="left"/>
        <w:pPr>
          <w:ind w:left="3666" w:hanging="360"/>
        </w:pPr>
        <w:rPr>
          <w:rFonts w:hint="default"/>
        </w:rPr>
      </w:lvl>
    </w:lvlOverride>
    <w:lvlOverride w:ilvl="5">
      <w:lvl w:ilvl="5">
        <w:start w:val="1"/>
        <w:numFmt w:val="lowerRoman"/>
        <w:lvlText w:val="%6."/>
        <w:lvlJc w:val="right"/>
        <w:pPr>
          <w:ind w:left="4386" w:hanging="180"/>
        </w:pPr>
        <w:rPr>
          <w:rFonts w:hint="default"/>
        </w:rPr>
      </w:lvl>
    </w:lvlOverride>
    <w:lvlOverride w:ilvl="6">
      <w:lvl w:ilvl="6">
        <w:start w:val="1"/>
        <w:numFmt w:val="decimal"/>
        <w:lvlText w:val="%7."/>
        <w:lvlJc w:val="left"/>
        <w:pPr>
          <w:ind w:left="5106" w:hanging="360"/>
        </w:pPr>
        <w:rPr>
          <w:rFonts w:hint="default"/>
        </w:rPr>
      </w:lvl>
    </w:lvlOverride>
    <w:lvlOverride w:ilvl="7">
      <w:lvl w:ilvl="7">
        <w:start w:val="1"/>
        <w:numFmt w:val="lowerLetter"/>
        <w:lvlText w:val="%8."/>
        <w:lvlJc w:val="left"/>
        <w:pPr>
          <w:ind w:left="5826" w:hanging="360"/>
        </w:pPr>
        <w:rPr>
          <w:rFonts w:hint="default"/>
        </w:rPr>
      </w:lvl>
    </w:lvlOverride>
    <w:lvlOverride w:ilvl="8">
      <w:lvl w:ilvl="8">
        <w:start w:val="1"/>
        <w:numFmt w:val="lowerRoman"/>
        <w:lvlText w:val="%9."/>
        <w:lvlJc w:val="right"/>
        <w:pPr>
          <w:ind w:left="6546" w:hanging="180"/>
        </w:pPr>
        <w:rPr>
          <w:rFonts w:hint="default"/>
        </w:rPr>
      </w:lvl>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attachedTemplate r:id="rId1"/>
  <w:defaultTabStop w:val="720"/>
  <w:hyphenationZone w:val="425"/>
  <w:drawingGridHorizontalSpacing w:val="90"/>
  <w:displayHorizontalDrawingGridEvery w:val="2"/>
  <w:displayVerticalDrawingGridEvery w:val="2"/>
  <w:characterSpacingControl w:val="doNotCompress"/>
  <w:hdrShapeDefaults>
    <o:shapedefaults v:ext="edit" spidmax="12289"/>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CategoryHeadingStyles" w:val="&lt;section-heading-styles&gt;&lt;category-title alignment=&quot;1&quot;&gt;&lt;/category-title&gt;&lt;category-heading alignment=&quot;1&quot;&gt;&lt;/category-heading&gt;&lt;/section-heading-styles&gt;"/>
    <w:docVar w:name="EN.DefaultReferenceGroups" w:val="&lt;reference-groups&gt;&lt;reference-group&gt;&lt;kind&gt;1&lt;/kind&gt;&lt;heading&gt;&lt;/heading&gt;&lt;alignment&gt;0&lt;/alignment&gt;&lt;records&gt;&lt;record&gt;&lt;key app=&quot;EN&quot; db-id=&quot;ffefxx29i5efdte9ewcvvevvsvxtvzaa2z2r&quot; timestamp=&quot;1544626760&quot;&gt;2208&lt;/key&gt;&lt;/record&gt;&lt;record&gt;&lt;key app=&quot;EN&quot; db-id=&quot;ffefxx29i5efdte9ewcvvevvsvxtvzaa2z2r&quot; timestamp=&quot;1544627488&quot;&gt;2209&lt;/key&gt;&lt;/record&gt;&lt;record&gt;&lt;key app=&quot;EN&quot; db-id=&quot;ffefxx29i5efdte9ewcvvevvsvxtvzaa2z2r&quot; timestamp=&quot;1544627637&quot;&gt;2210&lt;/key&gt;&lt;/record&gt;&lt;/records&gt;&lt;/reference-group&gt;&lt;reference-group&gt;&lt;kind&gt;0&lt;/kind&gt;&lt;heading&gt;&lt;/heading&gt;&lt;alignment&gt;0&lt;/alignment&gt;&lt;records&gt;&lt;/records&gt;&lt;/reference-group&gt;&lt;/reference-groups&gt;"/>
    <w:docVar w:name="EN.Layout" w:val="&lt;ENLayout&gt;&lt;Style&gt;VancouverGR&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fefxx29i5efdte9ewcvvevvsvxtvzaa2z2r&quot;&gt;LiteratuurRVP&lt;record-ids&gt;&lt;item&gt;2208&lt;/item&gt;&lt;item&gt;2209&lt;/item&gt;&lt;item&gt;2210&lt;/item&gt;&lt;/record-ids&gt;&lt;/item&gt;&lt;/Libraries&gt;"/>
  </w:docVars>
  <w:rsids>
    <w:rsidRoot w:val="00AC5444"/>
    <w:rsid w:val="000600FF"/>
    <w:rsid w:val="00065687"/>
    <w:rsid w:val="000713B6"/>
    <w:rsid w:val="000750A8"/>
    <w:rsid w:val="00082908"/>
    <w:rsid w:val="000948E0"/>
    <w:rsid w:val="000A0306"/>
    <w:rsid w:val="000A47D6"/>
    <w:rsid w:val="000C0AD6"/>
    <w:rsid w:val="000E0EDA"/>
    <w:rsid w:val="0014714B"/>
    <w:rsid w:val="00170E46"/>
    <w:rsid w:val="0017375B"/>
    <w:rsid w:val="0018483B"/>
    <w:rsid w:val="00186FB9"/>
    <w:rsid w:val="001D3524"/>
    <w:rsid w:val="001F4BA4"/>
    <w:rsid w:val="00204ED6"/>
    <w:rsid w:val="00205C38"/>
    <w:rsid w:val="002066CE"/>
    <w:rsid w:val="002133A4"/>
    <w:rsid w:val="00220760"/>
    <w:rsid w:val="00242F0A"/>
    <w:rsid w:val="00244A77"/>
    <w:rsid w:val="00274F04"/>
    <w:rsid w:val="00285A3D"/>
    <w:rsid w:val="002B22A6"/>
    <w:rsid w:val="002C4D04"/>
    <w:rsid w:val="002D793F"/>
    <w:rsid w:val="00334219"/>
    <w:rsid w:val="0033617E"/>
    <w:rsid w:val="003548B2"/>
    <w:rsid w:val="00377182"/>
    <w:rsid w:val="00397CD0"/>
    <w:rsid w:val="003D40D4"/>
    <w:rsid w:val="003D5D36"/>
    <w:rsid w:val="003F7CD7"/>
    <w:rsid w:val="00463B61"/>
    <w:rsid w:val="00464A11"/>
    <w:rsid w:val="004662D1"/>
    <w:rsid w:val="0048367F"/>
    <w:rsid w:val="004A0882"/>
    <w:rsid w:val="004B1768"/>
    <w:rsid w:val="004B4AA6"/>
    <w:rsid w:val="004D72AD"/>
    <w:rsid w:val="00510DC2"/>
    <w:rsid w:val="005245ED"/>
    <w:rsid w:val="005420DA"/>
    <w:rsid w:val="00552617"/>
    <w:rsid w:val="005549DD"/>
    <w:rsid w:val="00566ED1"/>
    <w:rsid w:val="0057490F"/>
    <w:rsid w:val="00586465"/>
    <w:rsid w:val="005A14A7"/>
    <w:rsid w:val="005E4A18"/>
    <w:rsid w:val="005F789A"/>
    <w:rsid w:val="006007DC"/>
    <w:rsid w:val="0061587A"/>
    <w:rsid w:val="00642C4D"/>
    <w:rsid w:val="00652CD1"/>
    <w:rsid w:val="006651DC"/>
    <w:rsid w:val="00667703"/>
    <w:rsid w:val="006720A2"/>
    <w:rsid w:val="006E5F76"/>
    <w:rsid w:val="00711376"/>
    <w:rsid w:val="00717DAE"/>
    <w:rsid w:val="0072602E"/>
    <w:rsid w:val="00730E35"/>
    <w:rsid w:val="007600E0"/>
    <w:rsid w:val="00772E87"/>
    <w:rsid w:val="007851CF"/>
    <w:rsid w:val="007D72F7"/>
    <w:rsid w:val="007E24AE"/>
    <w:rsid w:val="00807E63"/>
    <w:rsid w:val="00815E26"/>
    <w:rsid w:val="008275D0"/>
    <w:rsid w:val="0082795C"/>
    <w:rsid w:val="008309EB"/>
    <w:rsid w:val="00842BC5"/>
    <w:rsid w:val="00876EE0"/>
    <w:rsid w:val="008B3CE8"/>
    <w:rsid w:val="008C456A"/>
    <w:rsid w:val="009023D7"/>
    <w:rsid w:val="00945E66"/>
    <w:rsid w:val="00975B61"/>
    <w:rsid w:val="00980365"/>
    <w:rsid w:val="0099178B"/>
    <w:rsid w:val="00992155"/>
    <w:rsid w:val="00994D38"/>
    <w:rsid w:val="0099758B"/>
    <w:rsid w:val="009C2221"/>
    <w:rsid w:val="009D54E8"/>
    <w:rsid w:val="009E2012"/>
    <w:rsid w:val="009F5C48"/>
    <w:rsid w:val="00A273C0"/>
    <w:rsid w:val="00A31ECF"/>
    <w:rsid w:val="00A474CF"/>
    <w:rsid w:val="00A610EA"/>
    <w:rsid w:val="00A93B6B"/>
    <w:rsid w:val="00AC0047"/>
    <w:rsid w:val="00AC0B7A"/>
    <w:rsid w:val="00AC5444"/>
    <w:rsid w:val="00AC6481"/>
    <w:rsid w:val="00AD57C2"/>
    <w:rsid w:val="00B06E80"/>
    <w:rsid w:val="00B36B00"/>
    <w:rsid w:val="00B43D1C"/>
    <w:rsid w:val="00B5125C"/>
    <w:rsid w:val="00B51CB9"/>
    <w:rsid w:val="00B556F0"/>
    <w:rsid w:val="00B6630B"/>
    <w:rsid w:val="00B82BA7"/>
    <w:rsid w:val="00B84D2D"/>
    <w:rsid w:val="00B94E0A"/>
    <w:rsid w:val="00BC1C67"/>
    <w:rsid w:val="00BD107B"/>
    <w:rsid w:val="00BE0839"/>
    <w:rsid w:val="00BE0A50"/>
    <w:rsid w:val="00BF43B5"/>
    <w:rsid w:val="00BF4C6D"/>
    <w:rsid w:val="00BF5430"/>
    <w:rsid w:val="00BF5D6E"/>
    <w:rsid w:val="00C30F01"/>
    <w:rsid w:val="00C33359"/>
    <w:rsid w:val="00C728AD"/>
    <w:rsid w:val="00CA6CF7"/>
    <w:rsid w:val="00CE168E"/>
    <w:rsid w:val="00D11771"/>
    <w:rsid w:val="00D26BBB"/>
    <w:rsid w:val="00D457C2"/>
    <w:rsid w:val="00D500BE"/>
    <w:rsid w:val="00D73347"/>
    <w:rsid w:val="00D733E7"/>
    <w:rsid w:val="00D84BF4"/>
    <w:rsid w:val="00D90651"/>
    <w:rsid w:val="00D9663C"/>
    <w:rsid w:val="00DA36CC"/>
    <w:rsid w:val="00DA624F"/>
    <w:rsid w:val="00DA7D77"/>
    <w:rsid w:val="00DB2825"/>
    <w:rsid w:val="00DB586A"/>
    <w:rsid w:val="00DC190E"/>
    <w:rsid w:val="00DD713F"/>
    <w:rsid w:val="00DE3388"/>
    <w:rsid w:val="00DF6698"/>
    <w:rsid w:val="00E01237"/>
    <w:rsid w:val="00E53D3F"/>
    <w:rsid w:val="00E56416"/>
    <w:rsid w:val="00E5762D"/>
    <w:rsid w:val="00E65AB7"/>
    <w:rsid w:val="00E754F9"/>
    <w:rsid w:val="00EB403C"/>
    <w:rsid w:val="00EB6310"/>
    <w:rsid w:val="00ED206B"/>
    <w:rsid w:val="00ED7A5A"/>
    <w:rsid w:val="00EF5D41"/>
    <w:rsid w:val="00F227D8"/>
    <w:rsid w:val="00F35EE0"/>
    <w:rsid w:val="00F3675B"/>
    <w:rsid w:val="00F435A4"/>
    <w:rsid w:val="00F84CAB"/>
    <w:rsid w:val="00F87212"/>
    <w:rsid w:val="00F9235F"/>
    <w:rsid w:val="00FA5651"/>
    <w:rsid w:val="00FC3773"/>
    <w:rsid w:val="00FD48AD"/>
    <w:rsid w:val="00FE23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ABA8EF"/>
  <w15:docId w15:val="{10D36AD9-8F3D-4DBF-A7F2-F90397567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023D7"/>
    <w:pPr>
      <w:spacing w:line="260" w:lineRule="atLeast"/>
    </w:pPr>
    <w:rPr>
      <w:sz w:val="20"/>
      <w:lang w:val="nl-NL"/>
    </w:rPr>
  </w:style>
  <w:style w:type="paragraph" w:styleId="Kop1">
    <w:name w:val="heading 1"/>
    <w:basedOn w:val="Standaard"/>
    <w:next w:val="Standaard"/>
    <w:link w:val="Kop1Char"/>
    <w:uiPriority w:val="9"/>
    <w:qFormat/>
    <w:rsid w:val="00B51CB9"/>
    <w:pPr>
      <w:keepNext/>
      <w:keepLines/>
      <w:spacing w:before="240"/>
      <w:outlineLvl w:val="0"/>
    </w:pPr>
    <w:rPr>
      <w:rFonts w:asciiTheme="majorHAnsi" w:eastAsiaTheme="majorEastAsia" w:hAnsiTheme="majorHAnsi" w:cstheme="majorBidi"/>
      <w:color w:val="346A9E" w:themeColor="accent1" w:themeShade="BF"/>
      <w:sz w:val="32"/>
      <w:szCs w:val="32"/>
    </w:rPr>
  </w:style>
  <w:style w:type="paragraph" w:styleId="Kop2">
    <w:name w:val="heading 2"/>
    <w:basedOn w:val="Standaard"/>
    <w:next w:val="Standaard"/>
    <w:link w:val="Kop2Char"/>
    <w:uiPriority w:val="9"/>
    <w:unhideWhenUsed/>
    <w:qFormat/>
    <w:rsid w:val="00B51CB9"/>
    <w:pPr>
      <w:keepNext/>
      <w:keepLines/>
      <w:spacing w:before="40"/>
      <w:outlineLvl w:val="1"/>
    </w:pPr>
    <w:rPr>
      <w:rFonts w:asciiTheme="majorHAnsi" w:eastAsiaTheme="majorEastAsia" w:hAnsiTheme="majorHAnsi" w:cstheme="majorBidi"/>
      <w:color w:val="346A9E" w:themeColor="accent1" w:themeShade="BF"/>
      <w:sz w:val="26"/>
      <w:szCs w:val="26"/>
    </w:rPr>
  </w:style>
  <w:style w:type="paragraph" w:styleId="Kop3">
    <w:name w:val="heading 3"/>
    <w:basedOn w:val="Standaard"/>
    <w:next w:val="Standaard"/>
    <w:link w:val="Kop3Char"/>
    <w:uiPriority w:val="9"/>
    <w:unhideWhenUsed/>
    <w:qFormat/>
    <w:rsid w:val="00A610EA"/>
    <w:pPr>
      <w:keepNext/>
      <w:keepLines/>
      <w:spacing w:before="40"/>
      <w:outlineLvl w:val="2"/>
    </w:pPr>
    <w:rPr>
      <w:rFonts w:asciiTheme="majorHAnsi" w:eastAsiaTheme="majorEastAsia" w:hAnsiTheme="majorHAnsi" w:cstheme="majorBidi"/>
      <w:color w:val="234669" w:themeColor="accent1" w:themeShade="7F"/>
      <w:sz w:val="24"/>
    </w:rPr>
  </w:style>
  <w:style w:type="paragraph" w:styleId="Kop4">
    <w:name w:val="heading 4"/>
    <w:basedOn w:val="Standaard"/>
    <w:next w:val="Standaard"/>
    <w:link w:val="Kop4Char"/>
    <w:uiPriority w:val="9"/>
    <w:unhideWhenUsed/>
    <w:qFormat/>
    <w:rsid w:val="00BF4C6D"/>
    <w:pPr>
      <w:keepNext/>
      <w:keepLines/>
      <w:spacing w:before="40"/>
      <w:outlineLvl w:val="3"/>
    </w:pPr>
    <w:rPr>
      <w:rFonts w:asciiTheme="majorHAnsi" w:eastAsiaTheme="majorEastAsia" w:hAnsiTheme="majorHAnsi" w:cstheme="majorBidi"/>
      <w:i/>
      <w:iCs/>
      <w:color w:val="346A9E"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807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807E6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07E63"/>
    <w:rPr>
      <w:sz w:val="18"/>
      <w:lang w:val="nl-NL"/>
    </w:rPr>
  </w:style>
  <w:style w:type="paragraph" w:styleId="Voettekst">
    <w:name w:val="footer"/>
    <w:basedOn w:val="Standaard"/>
    <w:link w:val="VoettekstChar"/>
    <w:uiPriority w:val="99"/>
    <w:unhideWhenUsed/>
    <w:rsid w:val="00D26BBB"/>
    <w:pPr>
      <w:tabs>
        <w:tab w:val="center" w:pos="4536"/>
        <w:tab w:val="right" w:pos="9072"/>
      </w:tabs>
      <w:spacing w:line="200" w:lineRule="exact"/>
      <w:jc w:val="right"/>
    </w:pPr>
    <w:rPr>
      <w:sz w:val="14"/>
    </w:rPr>
  </w:style>
  <w:style w:type="character" w:customStyle="1" w:styleId="VoettekstChar">
    <w:name w:val="Voettekst Char"/>
    <w:basedOn w:val="Standaardalinea-lettertype"/>
    <w:link w:val="Voettekst"/>
    <w:uiPriority w:val="99"/>
    <w:rsid w:val="00D26BBB"/>
    <w:rPr>
      <w:sz w:val="14"/>
      <w:lang w:val="nl-NL"/>
    </w:rPr>
  </w:style>
  <w:style w:type="paragraph" w:customStyle="1" w:styleId="01Brieftekst">
    <w:name w:val="01_Brieftekst"/>
    <w:basedOn w:val="Standaard"/>
    <w:link w:val="01BrieftekstChar"/>
    <w:qFormat/>
    <w:rsid w:val="004A0882"/>
    <w:pPr>
      <w:tabs>
        <w:tab w:val="left" w:pos="454"/>
        <w:tab w:val="left" w:pos="907"/>
      </w:tabs>
    </w:pPr>
  </w:style>
  <w:style w:type="paragraph" w:customStyle="1" w:styleId="02BulletN1">
    <w:name w:val="02_Bullet N1"/>
    <w:basedOn w:val="01Brieftekst"/>
    <w:qFormat/>
    <w:rsid w:val="004A0882"/>
    <w:pPr>
      <w:numPr>
        <w:numId w:val="1"/>
      </w:numPr>
      <w:tabs>
        <w:tab w:val="clear" w:pos="907"/>
      </w:tabs>
      <w:ind w:left="454" w:hanging="454"/>
    </w:pPr>
  </w:style>
  <w:style w:type="paragraph" w:customStyle="1" w:styleId="03Nummering">
    <w:name w:val="03_Nummering"/>
    <w:basedOn w:val="01Brieftekst"/>
    <w:qFormat/>
    <w:rsid w:val="004A0882"/>
    <w:pPr>
      <w:numPr>
        <w:numId w:val="2"/>
      </w:numPr>
      <w:tabs>
        <w:tab w:val="clear" w:pos="907"/>
        <w:tab w:val="left" w:pos="454"/>
      </w:tabs>
    </w:pPr>
  </w:style>
  <w:style w:type="paragraph" w:customStyle="1" w:styleId="09Contact">
    <w:name w:val="09_Contact"/>
    <w:basedOn w:val="Standaard"/>
    <w:qFormat/>
    <w:rsid w:val="00D26BBB"/>
    <w:pPr>
      <w:tabs>
        <w:tab w:val="left" w:pos="170"/>
      </w:tabs>
      <w:spacing w:line="200" w:lineRule="exact"/>
    </w:pPr>
    <w:rPr>
      <w:color w:val="548EC6" w:themeColor="accent1"/>
      <w:sz w:val="14"/>
    </w:rPr>
  </w:style>
  <w:style w:type="paragraph" w:customStyle="1" w:styleId="08ContactKop">
    <w:name w:val="08_Contact Kop"/>
    <w:basedOn w:val="09Contact"/>
    <w:next w:val="09Contact"/>
    <w:qFormat/>
    <w:rsid w:val="00D26BBB"/>
    <w:rPr>
      <w:b/>
    </w:rPr>
  </w:style>
  <w:style w:type="paragraph" w:customStyle="1" w:styleId="07Kenmerk">
    <w:name w:val="07_Kenmerk"/>
    <w:basedOn w:val="01Brieftekst"/>
    <w:qFormat/>
    <w:rsid w:val="00DB2825"/>
    <w:pPr>
      <w:spacing w:line="200" w:lineRule="exact"/>
    </w:pPr>
    <w:rPr>
      <w:sz w:val="14"/>
    </w:rPr>
  </w:style>
  <w:style w:type="paragraph" w:customStyle="1" w:styleId="05Item">
    <w:name w:val="05_Item"/>
    <w:basedOn w:val="01Brieftekst"/>
    <w:next w:val="01Brieftekst"/>
    <w:qFormat/>
    <w:rsid w:val="00CA6CF7"/>
    <w:pPr>
      <w:spacing w:line="520" w:lineRule="exact"/>
      <w:jc w:val="right"/>
    </w:pPr>
    <w:rPr>
      <w:rFonts w:asciiTheme="majorHAnsi" w:hAnsiTheme="majorHAnsi" w:cstheme="majorHAnsi"/>
      <w:b/>
      <w:color w:val="548EC6" w:themeColor="text2"/>
      <w:sz w:val="52"/>
    </w:rPr>
  </w:style>
  <w:style w:type="paragraph" w:customStyle="1" w:styleId="06GRNummer">
    <w:name w:val="06_GR_Nummer"/>
    <w:basedOn w:val="01Brieftekst"/>
    <w:next w:val="01Brieftekst"/>
    <w:qFormat/>
    <w:rsid w:val="00B5125C"/>
    <w:pPr>
      <w:spacing w:after="57" w:line="220" w:lineRule="exact"/>
    </w:pPr>
    <w:rPr>
      <w:rFonts w:asciiTheme="majorHAnsi" w:hAnsiTheme="majorHAnsi" w:cstheme="majorHAnsi"/>
      <w:b/>
      <w:color w:val="548EC6" w:themeColor="text2"/>
      <w:sz w:val="22"/>
      <w:szCs w:val="22"/>
    </w:rPr>
  </w:style>
  <w:style w:type="character" w:customStyle="1" w:styleId="zsysVeldMarkering">
    <w:name w:val="zsysVeldMarkering"/>
    <w:basedOn w:val="Standaardalinea-lettertype"/>
    <w:semiHidden/>
    <w:rsid w:val="002B22A6"/>
    <w:rPr>
      <w:bdr w:val="none" w:sz="0" w:space="0" w:color="auto"/>
      <w:shd w:val="clear" w:color="auto" w:fill="A0C4E8"/>
    </w:rPr>
  </w:style>
  <w:style w:type="paragraph" w:customStyle="1" w:styleId="04Nummering">
    <w:name w:val="04_Nummering"/>
    <w:basedOn w:val="03Nummering"/>
    <w:qFormat/>
    <w:rsid w:val="004A0882"/>
    <w:pPr>
      <w:numPr>
        <w:ilvl w:val="1"/>
      </w:numPr>
      <w:tabs>
        <w:tab w:val="left" w:pos="454"/>
      </w:tabs>
      <w:outlineLvl w:val="1"/>
    </w:pPr>
  </w:style>
  <w:style w:type="paragraph" w:styleId="Lijstalinea">
    <w:name w:val="List Paragraph"/>
    <w:basedOn w:val="Standaard"/>
    <w:uiPriority w:val="34"/>
    <w:qFormat/>
    <w:rsid w:val="00F35EE0"/>
    <w:pPr>
      <w:ind w:left="720"/>
      <w:contextualSpacing/>
    </w:pPr>
  </w:style>
  <w:style w:type="paragraph" w:customStyle="1" w:styleId="03Bulletinsp">
    <w:name w:val="03_Bulletinsp"/>
    <w:basedOn w:val="02BulletN1"/>
    <w:qFormat/>
    <w:rsid w:val="004A0882"/>
    <w:pPr>
      <w:tabs>
        <w:tab w:val="clear" w:pos="454"/>
        <w:tab w:val="left" w:pos="907"/>
      </w:tabs>
      <w:ind w:left="681" w:hanging="227"/>
    </w:pPr>
  </w:style>
  <w:style w:type="paragraph" w:styleId="Voetnoottekst">
    <w:name w:val="footnote text"/>
    <w:basedOn w:val="Standaard"/>
    <w:link w:val="VoetnoottekstChar"/>
    <w:uiPriority w:val="99"/>
    <w:semiHidden/>
    <w:unhideWhenUsed/>
    <w:rsid w:val="004662D1"/>
    <w:pPr>
      <w:spacing w:line="240" w:lineRule="auto"/>
    </w:pPr>
    <w:rPr>
      <w:szCs w:val="20"/>
    </w:rPr>
  </w:style>
  <w:style w:type="character" w:customStyle="1" w:styleId="VoetnoottekstChar">
    <w:name w:val="Voetnoottekst Char"/>
    <w:basedOn w:val="Standaardalinea-lettertype"/>
    <w:link w:val="Voetnoottekst"/>
    <w:uiPriority w:val="99"/>
    <w:semiHidden/>
    <w:rsid w:val="004662D1"/>
    <w:rPr>
      <w:sz w:val="20"/>
      <w:szCs w:val="20"/>
      <w:lang w:val="nl-NL"/>
    </w:rPr>
  </w:style>
  <w:style w:type="character" w:styleId="Voetnootmarkering">
    <w:name w:val="footnote reference"/>
    <w:basedOn w:val="Standaardalinea-lettertype"/>
    <w:uiPriority w:val="99"/>
    <w:semiHidden/>
    <w:unhideWhenUsed/>
    <w:rsid w:val="004662D1"/>
    <w:rPr>
      <w:vertAlign w:val="superscript"/>
    </w:rPr>
  </w:style>
  <w:style w:type="paragraph" w:customStyle="1" w:styleId="01-Brieftekst">
    <w:name w:val="01-Brieftekst"/>
    <w:basedOn w:val="Standaard"/>
    <w:qFormat/>
    <w:rsid w:val="000C0AD6"/>
    <w:pPr>
      <w:tabs>
        <w:tab w:val="left" w:pos="227"/>
        <w:tab w:val="left" w:pos="454"/>
      </w:tabs>
    </w:pPr>
  </w:style>
  <w:style w:type="paragraph" w:styleId="Ballontekst">
    <w:name w:val="Balloon Text"/>
    <w:basedOn w:val="Standaard"/>
    <w:link w:val="BallontekstChar"/>
    <w:uiPriority w:val="99"/>
    <w:semiHidden/>
    <w:unhideWhenUsed/>
    <w:rsid w:val="00E754F9"/>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754F9"/>
    <w:rPr>
      <w:rFonts w:ascii="Segoe UI" w:hAnsi="Segoe UI" w:cs="Segoe UI"/>
      <w:sz w:val="18"/>
      <w:szCs w:val="18"/>
      <w:lang w:val="nl-NL"/>
    </w:rPr>
  </w:style>
  <w:style w:type="paragraph" w:styleId="Titel">
    <w:name w:val="Title"/>
    <w:basedOn w:val="Standaard"/>
    <w:next w:val="Standaard"/>
    <w:link w:val="TitelChar"/>
    <w:uiPriority w:val="10"/>
    <w:qFormat/>
    <w:rsid w:val="00B51CB9"/>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1CB9"/>
    <w:rPr>
      <w:rFonts w:asciiTheme="majorHAnsi" w:eastAsiaTheme="majorEastAsia" w:hAnsiTheme="majorHAnsi" w:cstheme="majorBidi"/>
      <w:spacing w:val="-10"/>
      <w:kern w:val="28"/>
      <w:sz w:val="56"/>
      <w:szCs w:val="56"/>
      <w:lang w:val="nl-NL"/>
    </w:rPr>
  </w:style>
  <w:style w:type="character" w:customStyle="1" w:styleId="Kop1Char">
    <w:name w:val="Kop 1 Char"/>
    <w:basedOn w:val="Standaardalinea-lettertype"/>
    <w:link w:val="Kop1"/>
    <w:uiPriority w:val="9"/>
    <w:rsid w:val="00B51CB9"/>
    <w:rPr>
      <w:rFonts w:asciiTheme="majorHAnsi" w:eastAsiaTheme="majorEastAsia" w:hAnsiTheme="majorHAnsi" w:cstheme="majorBidi"/>
      <w:color w:val="346A9E" w:themeColor="accent1" w:themeShade="BF"/>
      <w:sz w:val="32"/>
      <w:szCs w:val="32"/>
      <w:lang w:val="nl-NL"/>
    </w:rPr>
  </w:style>
  <w:style w:type="character" w:customStyle="1" w:styleId="Kop2Char">
    <w:name w:val="Kop 2 Char"/>
    <w:basedOn w:val="Standaardalinea-lettertype"/>
    <w:link w:val="Kop2"/>
    <w:uiPriority w:val="9"/>
    <w:rsid w:val="00B51CB9"/>
    <w:rPr>
      <w:rFonts w:asciiTheme="majorHAnsi" w:eastAsiaTheme="majorEastAsia" w:hAnsiTheme="majorHAnsi" w:cstheme="majorBidi"/>
      <w:color w:val="346A9E" w:themeColor="accent1" w:themeShade="BF"/>
      <w:sz w:val="26"/>
      <w:szCs w:val="26"/>
      <w:lang w:val="nl-NL"/>
    </w:rPr>
  </w:style>
  <w:style w:type="paragraph" w:customStyle="1" w:styleId="EndNoteBibliographyTitle">
    <w:name w:val="EndNote Bibliography Title"/>
    <w:basedOn w:val="Standaard"/>
    <w:link w:val="EndNoteBibliographyTitleChar"/>
    <w:rsid w:val="00186FB9"/>
    <w:pPr>
      <w:jc w:val="center"/>
    </w:pPr>
    <w:rPr>
      <w:rFonts w:ascii="Arial" w:hAnsi="Arial" w:cs="Arial"/>
      <w:noProof/>
      <w:lang w:val="en-US"/>
    </w:rPr>
  </w:style>
  <w:style w:type="character" w:customStyle="1" w:styleId="01BrieftekstChar">
    <w:name w:val="01_Brieftekst Char"/>
    <w:basedOn w:val="Standaardalinea-lettertype"/>
    <w:link w:val="01Brieftekst"/>
    <w:rsid w:val="00186FB9"/>
    <w:rPr>
      <w:sz w:val="20"/>
      <w:lang w:val="nl-NL"/>
    </w:rPr>
  </w:style>
  <w:style w:type="character" w:customStyle="1" w:styleId="EndNoteBibliographyTitleChar">
    <w:name w:val="EndNote Bibliography Title Char"/>
    <w:basedOn w:val="01BrieftekstChar"/>
    <w:link w:val="EndNoteBibliographyTitle"/>
    <w:rsid w:val="00186FB9"/>
    <w:rPr>
      <w:rFonts w:ascii="Arial" w:hAnsi="Arial" w:cs="Arial"/>
      <w:noProof/>
      <w:sz w:val="20"/>
      <w:lang w:val="nl-NL"/>
    </w:rPr>
  </w:style>
  <w:style w:type="paragraph" w:customStyle="1" w:styleId="EndNoteBibliography">
    <w:name w:val="EndNote Bibliography"/>
    <w:basedOn w:val="Standaard"/>
    <w:link w:val="EndNoteBibliographyChar"/>
    <w:rsid w:val="00186FB9"/>
    <w:pPr>
      <w:spacing w:line="240" w:lineRule="atLeast"/>
    </w:pPr>
    <w:rPr>
      <w:rFonts w:ascii="Arial" w:hAnsi="Arial" w:cs="Arial"/>
      <w:noProof/>
      <w:lang w:val="en-US"/>
    </w:rPr>
  </w:style>
  <w:style w:type="character" w:customStyle="1" w:styleId="EndNoteBibliographyChar">
    <w:name w:val="EndNote Bibliography Char"/>
    <w:basedOn w:val="01BrieftekstChar"/>
    <w:link w:val="EndNoteBibliography"/>
    <w:rsid w:val="00186FB9"/>
    <w:rPr>
      <w:rFonts w:ascii="Arial" w:hAnsi="Arial" w:cs="Arial"/>
      <w:noProof/>
      <w:sz w:val="20"/>
      <w:lang w:val="nl-NL"/>
    </w:rPr>
  </w:style>
  <w:style w:type="character" w:styleId="Hyperlink">
    <w:name w:val="Hyperlink"/>
    <w:basedOn w:val="Standaardalinea-lettertype"/>
    <w:uiPriority w:val="99"/>
    <w:unhideWhenUsed/>
    <w:rsid w:val="00186FB9"/>
    <w:rPr>
      <w:color w:val="000000" w:themeColor="hyperlink"/>
      <w:u w:val="single"/>
    </w:rPr>
  </w:style>
  <w:style w:type="character" w:styleId="Verwijzingopmerking">
    <w:name w:val="annotation reference"/>
    <w:basedOn w:val="Standaardalinea-lettertype"/>
    <w:uiPriority w:val="99"/>
    <w:semiHidden/>
    <w:unhideWhenUsed/>
    <w:rsid w:val="002133A4"/>
    <w:rPr>
      <w:sz w:val="16"/>
      <w:szCs w:val="16"/>
    </w:rPr>
  </w:style>
  <w:style w:type="paragraph" w:styleId="Tekstopmerking">
    <w:name w:val="annotation text"/>
    <w:basedOn w:val="Standaard"/>
    <w:link w:val="TekstopmerkingChar"/>
    <w:uiPriority w:val="99"/>
    <w:semiHidden/>
    <w:unhideWhenUsed/>
    <w:rsid w:val="002133A4"/>
    <w:pPr>
      <w:spacing w:line="240" w:lineRule="auto"/>
    </w:pPr>
    <w:rPr>
      <w:szCs w:val="20"/>
    </w:rPr>
  </w:style>
  <w:style w:type="character" w:customStyle="1" w:styleId="TekstopmerkingChar">
    <w:name w:val="Tekst opmerking Char"/>
    <w:basedOn w:val="Standaardalinea-lettertype"/>
    <w:link w:val="Tekstopmerking"/>
    <w:uiPriority w:val="99"/>
    <w:semiHidden/>
    <w:rsid w:val="002133A4"/>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2133A4"/>
    <w:rPr>
      <w:b/>
      <w:bCs/>
    </w:rPr>
  </w:style>
  <w:style w:type="character" w:customStyle="1" w:styleId="OnderwerpvanopmerkingChar">
    <w:name w:val="Onderwerp van opmerking Char"/>
    <w:basedOn w:val="TekstopmerkingChar"/>
    <w:link w:val="Onderwerpvanopmerking"/>
    <w:uiPriority w:val="99"/>
    <w:semiHidden/>
    <w:rsid w:val="002133A4"/>
    <w:rPr>
      <w:b/>
      <w:bCs/>
      <w:sz w:val="20"/>
      <w:szCs w:val="20"/>
      <w:lang w:val="nl-NL"/>
    </w:rPr>
  </w:style>
  <w:style w:type="paragraph" w:customStyle="1" w:styleId="EndNoteCategoryHeading">
    <w:name w:val="EndNote Category Heading"/>
    <w:basedOn w:val="Standaard"/>
    <w:link w:val="EndNoteCategoryHeadingChar"/>
    <w:rsid w:val="0018483B"/>
    <w:pPr>
      <w:spacing w:before="120" w:after="120"/>
    </w:pPr>
  </w:style>
  <w:style w:type="character" w:customStyle="1" w:styleId="EndNoteCategoryHeadingChar">
    <w:name w:val="EndNote Category Heading Char"/>
    <w:basedOn w:val="01BrieftekstChar"/>
    <w:link w:val="EndNoteCategoryHeading"/>
    <w:rsid w:val="0018483B"/>
    <w:rPr>
      <w:sz w:val="20"/>
      <w:lang w:val="nl-NL"/>
    </w:rPr>
  </w:style>
  <w:style w:type="paragraph" w:customStyle="1" w:styleId="EndNoteCategoryTitle">
    <w:name w:val="EndNote Category Title"/>
    <w:basedOn w:val="Standaard"/>
    <w:link w:val="EndNoteCategoryTitleChar"/>
    <w:rsid w:val="0018483B"/>
    <w:pPr>
      <w:spacing w:before="120" w:after="120"/>
      <w:jc w:val="center"/>
    </w:pPr>
  </w:style>
  <w:style w:type="character" w:customStyle="1" w:styleId="EndNoteCategoryTitleChar">
    <w:name w:val="EndNote Category Title Char"/>
    <w:basedOn w:val="01BrieftekstChar"/>
    <w:link w:val="EndNoteCategoryTitle"/>
    <w:rsid w:val="0018483B"/>
    <w:rPr>
      <w:sz w:val="20"/>
      <w:lang w:val="nl-NL"/>
    </w:rPr>
  </w:style>
  <w:style w:type="character" w:customStyle="1" w:styleId="Kop3Char">
    <w:name w:val="Kop 3 Char"/>
    <w:basedOn w:val="Standaardalinea-lettertype"/>
    <w:link w:val="Kop3"/>
    <w:uiPriority w:val="9"/>
    <w:rsid w:val="00A610EA"/>
    <w:rPr>
      <w:rFonts w:asciiTheme="majorHAnsi" w:eastAsiaTheme="majorEastAsia" w:hAnsiTheme="majorHAnsi" w:cstheme="majorBidi"/>
      <w:color w:val="234669" w:themeColor="accent1" w:themeShade="7F"/>
      <w:lang w:val="nl-NL"/>
    </w:rPr>
  </w:style>
  <w:style w:type="character" w:customStyle="1" w:styleId="Kop4Char">
    <w:name w:val="Kop 4 Char"/>
    <w:basedOn w:val="Standaardalinea-lettertype"/>
    <w:link w:val="Kop4"/>
    <w:uiPriority w:val="9"/>
    <w:rsid w:val="00BF4C6D"/>
    <w:rPr>
      <w:rFonts w:asciiTheme="majorHAnsi" w:eastAsiaTheme="majorEastAsia" w:hAnsiTheme="majorHAnsi" w:cstheme="majorBidi"/>
      <w:i/>
      <w:iCs/>
      <w:color w:val="346A9E" w:themeColor="accent1" w:themeShade="BF"/>
      <w:sz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&#65279;<?xml version="1.0" encoding="utf-8"?><Relationships xmlns="http://schemas.openxmlformats.org/package/2006/relationships"><Relationship Type="http://schemas.openxmlformats.org/officeDocument/2006/relationships/hyperlink" Target="https://vaccine-schedule.ecdc.europa.eu/" TargetMode="Externa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O:\GR\prog\gr\sjablonen\GR_Notitie.dotx" TargetMode="External"/></Relationships>
</file>

<file path=word/theme/theme1.xml><?xml version="1.0" encoding="utf-8"?>
<a:theme xmlns:a="http://schemas.openxmlformats.org/drawingml/2006/main" name="Office Theme">
  <a:themeElements>
    <a:clrScheme name="GR_Kleuren">
      <a:dk1>
        <a:sysClr val="windowText" lastClr="000000"/>
      </a:dk1>
      <a:lt1>
        <a:sysClr val="window" lastClr="FFFFFF"/>
      </a:lt1>
      <a:dk2>
        <a:srgbClr val="548EC6"/>
      </a:dk2>
      <a:lt2>
        <a:srgbClr val="A5A5A5"/>
      </a:lt2>
      <a:accent1>
        <a:srgbClr val="548EC6"/>
      </a:accent1>
      <a:accent2>
        <a:srgbClr val="7AB800"/>
      </a:accent2>
      <a:accent3>
        <a:srgbClr val="E98300"/>
      </a:accent3>
      <a:accent4>
        <a:srgbClr val="72C7E7"/>
      </a:accent4>
      <a:accent5>
        <a:srgbClr val="FFC000"/>
      </a:accent5>
      <a:accent6>
        <a:srgbClr val="954F72"/>
      </a:accent6>
      <a:hlink>
        <a:srgbClr val="000000"/>
      </a:hlink>
      <a:folHlink>
        <a:srgbClr val="00000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1436</ap:Words>
  <ap:Characters>7903</ap:Characters>
  <ap:DocSecurity>0</ap:DocSecurity>
  <ap:Lines>65</ap:Lines>
  <ap:Paragraphs>18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9321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2018-12-13T07:45:00.0000000Z</lastPrinted>
  <dcterms:created xsi:type="dcterms:W3CDTF">2019-01-09T10:26:00.0000000Z</dcterms:created>
  <dcterms:modified xsi:type="dcterms:W3CDTF">2019-01-10T09:13:00.0000000Z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0x0101006CEBCB361803EC49A5A3A07A4CFB29A5</vt:lpwstr>
  </property>
</Properties>
</file>