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B17" w:rsidP="00E51B17" w:rsidRDefault="00E51B17" w14:paraId="761A168F" w14:textId="78F2A4A7">
      <w:pPr>
        <w:spacing w:after="0" w:line="240" w:lineRule="auto"/>
        <w:jc w:val="both"/>
      </w:pPr>
      <w:r>
        <w:t>Leiden, 7 januari 2019</w:t>
      </w:r>
    </w:p>
    <w:p w:rsidR="00E51B17" w:rsidP="00E51B17" w:rsidRDefault="00E51B17" w14:paraId="61E06795" w14:textId="77777777">
      <w:pPr>
        <w:spacing w:after="0" w:line="240" w:lineRule="auto"/>
        <w:jc w:val="both"/>
      </w:pPr>
    </w:p>
    <w:p w:rsidR="00923CF2" w:rsidP="00E51B17" w:rsidRDefault="00E51B17" w14:paraId="5AE16CE5" w14:textId="2C9FB74E">
      <w:pPr>
        <w:spacing w:after="0" w:line="240" w:lineRule="auto"/>
        <w:jc w:val="both"/>
      </w:pPr>
      <w:r>
        <w:t xml:space="preserve">Betreft: </w:t>
      </w:r>
      <w:r w:rsidR="00FA55AE">
        <w:t>Opmerkingen bij het wetsvoorstel geweldsaanwending opspo</w:t>
      </w:r>
      <w:r>
        <w:t>ringsambtenaar (Kamerstukken 34</w:t>
      </w:r>
      <w:r w:rsidR="00FA55AE">
        <w:t>641)</w:t>
      </w:r>
    </w:p>
    <w:p w:rsidR="00E51B17" w:rsidP="00E51B17" w:rsidRDefault="00E51B17" w14:paraId="41EDFBF7" w14:textId="77777777">
      <w:pPr>
        <w:spacing w:after="0" w:line="240" w:lineRule="auto"/>
        <w:jc w:val="both"/>
      </w:pPr>
    </w:p>
    <w:p w:rsidR="00E51B17" w:rsidP="00E51B17" w:rsidRDefault="00E51B17" w14:paraId="61E7FF4E" w14:textId="1C3A459B">
      <w:pPr>
        <w:spacing w:after="0" w:line="240" w:lineRule="auto"/>
        <w:jc w:val="both"/>
      </w:pPr>
      <w:r>
        <w:t>Geachte heer/mevrouw,</w:t>
      </w:r>
    </w:p>
    <w:p w:rsidR="00FA55AE" w:rsidP="00E51B17" w:rsidRDefault="00FA55AE" w14:paraId="151B74D2" w14:textId="77777777">
      <w:pPr>
        <w:spacing w:after="0" w:line="240" w:lineRule="auto"/>
        <w:jc w:val="both"/>
      </w:pPr>
    </w:p>
    <w:p w:rsidR="005E232E" w:rsidP="00E51B17" w:rsidRDefault="0060637B" w14:paraId="57286D54" w14:textId="6786DFB8">
      <w:pPr>
        <w:spacing w:after="0" w:line="240" w:lineRule="auto"/>
        <w:jc w:val="both"/>
      </w:pPr>
      <w:r>
        <w:t>Vanwege</w:t>
      </w:r>
      <w:r w:rsidR="005E232E">
        <w:t xml:space="preserve"> de beperkte ruimte die mij is geboden een standpunt in te nemen </w:t>
      </w:r>
      <w:r w:rsidR="000963EF">
        <w:t>over</w:t>
      </w:r>
      <w:r w:rsidR="005E232E">
        <w:t xml:space="preserve"> het onderhavige wetsvoors</w:t>
      </w:r>
      <w:r w:rsidR="000963EF">
        <w:t xml:space="preserve">tel, beperk ik mij </w:t>
      </w:r>
      <w:r w:rsidR="005E232E">
        <w:t xml:space="preserve">tot enkele opmerkingen bij de voorstellen waaruit het wetsvoorstel bestaat. Meer algemene opmerkingen over de grenzen van het statelijk geweldsmonopolie </w:t>
      </w:r>
      <w:r w:rsidR="000963EF">
        <w:t xml:space="preserve">zijn </w:t>
      </w:r>
      <w:r>
        <w:t>de volgende</w:t>
      </w:r>
      <w:r w:rsidR="005E232E">
        <w:t xml:space="preserve">. </w:t>
      </w:r>
      <w:r>
        <w:t>H</w:t>
      </w:r>
      <w:r w:rsidR="005E232E">
        <w:t xml:space="preserve">et </w:t>
      </w:r>
      <w:r w:rsidR="000963EF">
        <w:t>valt</w:t>
      </w:r>
      <w:r w:rsidR="005E232E">
        <w:t xml:space="preserve"> </w:t>
      </w:r>
      <w:r>
        <w:t xml:space="preserve">mij </w:t>
      </w:r>
      <w:r w:rsidR="000963EF">
        <w:t xml:space="preserve">op </w:t>
      </w:r>
      <w:r w:rsidR="005E232E">
        <w:t xml:space="preserve">dat in het wetsvoorstel </w:t>
      </w:r>
      <w:r w:rsidR="009C54B6">
        <w:t xml:space="preserve">weinig </w:t>
      </w:r>
      <w:r w:rsidR="00A65CB8">
        <w:t>duidelijkheid wordt verschaft over de omvang van het statelijk geweldsmono</w:t>
      </w:r>
      <w:r w:rsidR="009C54B6">
        <w:t xml:space="preserve">polie. Gelet op de achtergrond van het wetsvoorstel, onduidelijkheid over de grenzen van de </w:t>
      </w:r>
      <w:r w:rsidR="00A65CB8">
        <w:t xml:space="preserve">politiële </w:t>
      </w:r>
      <w:r w:rsidR="009C54B6">
        <w:t xml:space="preserve">geweldsbevoegdheid en ontevredenheid </w:t>
      </w:r>
      <w:r>
        <w:t xml:space="preserve">binnen de politie </w:t>
      </w:r>
      <w:r w:rsidR="009C54B6">
        <w:t>over de wijze waarop in rechte wordt omgegaan met door opsporingsambtenaren toegepast geweld, had een meer algemene beschouwing over het statelijk geweldsmonopolie</w:t>
      </w:r>
      <w:r w:rsidR="003E7545">
        <w:t xml:space="preserve"> en de grenzen daarvan</w:t>
      </w:r>
      <w:r w:rsidR="009C54B6">
        <w:t xml:space="preserve"> </w:t>
      </w:r>
      <w:r w:rsidR="000963EF">
        <w:t xml:space="preserve">mijns inziens </w:t>
      </w:r>
      <w:r w:rsidR="009C54B6">
        <w:t>niet misstaan.</w:t>
      </w:r>
      <w:r w:rsidR="003E7545">
        <w:t xml:space="preserve"> Op dit moment </w:t>
      </w:r>
      <w:r>
        <w:t xml:space="preserve">worden </w:t>
      </w:r>
      <w:r w:rsidR="000963EF">
        <w:t xml:space="preserve">daarover </w:t>
      </w:r>
      <w:r>
        <w:t>slechts</w:t>
      </w:r>
      <w:r w:rsidR="003E7545">
        <w:t xml:space="preserve"> enkele losse opmerkingen</w:t>
      </w:r>
      <w:r>
        <w:t xml:space="preserve"> gemaakt</w:t>
      </w:r>
      <w:r w:rsidR="003E7545">
        <w:t>.</w:t>
      </w:r>
      <w:r w:rsidR="000963EF">
        <w:t xml:space="preserve"> </w:t>
      </w:r>
      <w:r>
        <w:t>Benadrukt wordt</w:t>
      </w:r>
      <w:r w:rsidR="009C54B6">
        <w:t xml:space="preserve"> </w:t>
      </w:r>
      <w:r w:rsidR="000963EF">
        <w:t xml:space="preserve">daarbij </w:t>
      </w:r>
      <w:r>
        <w:t>de</w:t>
      </w:r>
      <w:r w:rsidR="009C54B6">
        <w:t xml:space="preserve"> ‘kwetsbare positie’ van opsporingsambtenaren (Memorie van Toelichting</w:t>
      </w:r>
      <w:r w:rsidR="003E7545">
        <w:t xml:space="preserve"> (hierna </w:t>
      </w:r>
      <w:proofErr w:type="spellStart"/>
      <w:r w:rsidR="003E7545">
        <w:t>MvT</w:t>
      </w:r>
      <w:proofErr w:type="spellEnd"/>
      <w:r w:rsidR="003E7545">
        <w:t>)</w:t>
      </w:r>
      <w:r w:rsidR="009C54B6">
        <w:t>, p. 5</w:t>
      </w:r>
      <w:r>
        <w:t>, 10</w:t>
      </w:r>
      <w:r w:rsidR="009C54B6">
        <w:t xml:space="preserve">), zonder </w:t>
      </w:r>
      <w:r w:rsidR="00010C5A">
        <w:t>dat duidelijk is hoe deze term</w:t>
      </w:r>
      <w:r w:rsidR="009C54B6">
        <w:t xml:space="preserve"> </w:t>
      </w:r>
      <w:r w:rsidR="00010C5A">
        <w:t>moet</w:t>
      </w:r>
      <w:r w:rsidR="003E7545">
        <w:t xml:space="preserve"> worden begrepen in het licht van</w:t>
      </w:r>
      <w:r w:rsidR="009C54B6">
        <w:t xml:space="preserve"> de bevoegdheid van de overheid om in een rechtsstaat </w:t>
      </w:r>
      <w:r w:rsidR="00010C5A">
        <w:t xml:space="preserve">(dodelijk) </w:t>
      </w:r>
      <w:r w:rsidR="009C54B6">
        <w:t>geweld te mogen aanwende</w:t>
      </w:r>
      <w:r w:rsidR="003E7545">
        <w:t xml:space="preserve">n. Het gebruik van </w:t>
      </w:r>
      <w:r w:rsidR="000963EF">
        <w:t xml:space="preserve">het woord </w:t>
      </w:r>
      <w:r w:rsidR="003E7545">
        <w:t>kwetsbaar</w:t>
      </w:r>
      <w:r w:rsidR="000963EF">
        <w:t xml:space="preserve"> zou </w:t>
      </w:r>
      <w:r w:rsidR="009C54B6">
        <w:t xml:space="preserve">de indruk </w:t>
      </w:r>
      <w:r w:rsidR="000963EF">
        <w:t xml:space="preserve">kunnen wekken </w:t>
      </w:r>
      <w:r w:rsidR="009C54B6">
        <w:t xml:space="preserve">dat de overheid met de rug tegen de muur staat en onvoldoende middelen in handen heeft </w:t>
      </w:r>
      <w:r w:rsidR="003E7545">
        <w:t xml:space="preserve">om </w:t>
      </w:r>
      <w:r w:rsidR="009C54B6">
        <w:t>geweld te geb</w:t>
      </w:r>
      <w:r w:rsidR="003E7545">
        <w:t xml:space="preserve">ruiken. Zonder onderbouwing daarvan </w:t>
      </w:r>
      <w:r w:rsidR="009C54B6">
        <w:t xml:space="preserve">en zonder plaatsbepaling van de geweldsbevoegdheid in een rechtsstaat, </w:t>
      </w:r>
      <w:r w:rsidR="000963EF">
        <w:t xml:space="preserve">vraag ik mij af of </w:t>
      </w:r>
      <w:r w:rsidR="009C54B6">
        <w:t>het woord kwetsb</w:t>
      </w:r>
      <w:r w:rsidR="003E7545">
        <w:t>aar</w:t>
      </w:r>
      <w:r w:rsidR="000963EF">
        <w:t xml:space="preserve"> wel zo </w:t>
      </w:r>
      <w:r w:rsidR="009C54B6">
        <w:t>gelukkig</w:t>
      </w:r>
      <w:r w:rsidR="000963EF">
        <w:t xml:space="preserve"> is</w:t>
      </w:r>
      <w:r w:rsidR="00E51B17">
        <w:t xml:space="preserve"> gekozen</w:t>
      </w:r>
      <w:r w:rsidR="009C54B6">
        <w:t>.</w:t>
      </w:r>
    </w:p>
    <w:p w:rsidR="00EF0CFF" w:rsidP="00E51B17" w:rsidRDefault="00EF0CFF" w14:paraId="3FA41458" w14:textId="77777777">
      <w:pPr>
        <w:spacing w:after="0" w:line="240" w:lineRule="auto"/>
        <w:jc w:val="both"/>
        <w:rPr>
          <w:rFonts w:cstheme="minorHAnsi"/>
        </w:rPr>
      </w:pPr>
    </w:p>
    <w:p w:rsidR="00B87AC6" w:rsidP="00E51B17" w:rsidRDefault="00236069" w14:paraId="142D467B" w14:textId="6B72DB37">
      <w:pPr>
        <w:spacing w:after="0" w:line="240" w:lineRule="auto"/>
        <w:jc w:val="both"/>
        <w:rPr>
          <w:rFonts w:cstheme="minorHAnsi"/>
        </w:rPr>
      </w:pPr>
      <w:r w:rsidRPr="008F2942">
        <w:rPr>
          <w:rFonts w:cstheme="minorHAnsi"/>
        </w:rPr>
        <w:t>Het wetsvoorstel bevat vier voorstellen:</w:t>
      </w:r>
      <w:r w:rsidR="00EF0CFF">
        <w:rPr>
          <w:rFonts w:cstheme="minorHAnsi"/>
        </w:rPr>
        <w:t xml:space="preserve"> 1)</w:t>
      </w:r>
      <w:r w:rsidRPr="008F2942">
        <w:rPr>
          <w:rFonts w:cstheme="minorHAnsi"/>
        </w:rPr>
        <w:t xml:space="preserve"> </w:t>
      </w:r>
      <w:r w:rsidRPr="008F2942" w:rsidR="00AA3217">
        <w:rPr>
          <w:rFonts w:cstheme="minorHAnsi"/>
        </w:rPr>
        <w:t xml:space="preserve">een regeling voor relatieve competentie, </w:t>
      </w:r>
      <w:r w:rsidR="00EF0CFF">
        <w:rPr>
          <w:rFonts w:cstheme="minorHAnsi"/>
        </w:rPr>
        <w:t xml:space="preserve">2) </w:t>
      </w:r>
      <w:r w:rsidRPr="008F2942" w:rsidR="00AA3217">
        <w:rPr>
          <w:rFonts w:cstheme="minorHAnsi"/>
        </w:rPr>
        <w:t xml:space="preserve">de introductie van een strafuitsluitingsgrond, </w:t>
      </w:r>
      <w:r w:rsidR="00EF0CFF">
        <w:rPr>
          <w:rFonts w:cstheme="minorHAnsi"/>
        </w:rPr>
        <w:t xml:space="preserve">3) </w:t>
      </w:r>
      <w:r w:rsidRPr="008F2942" w:rsidR="009E3D90">
        <w:rPr>
          <w:rFonts w:cstheme="minorHAnsi"/>
        </w:rPr>
        <w:t xml:space="preserve">een nieuwe strafbaarstelling en </w:t>
      </w:r>
      <w:r w:rsidR="00EF0CFF">
        <w:rPr>
          <w:rFonts w:cstheme="minorHAnsi"/>
        </w:rPr>
        <w:t xml:space="preserve">4) </w:t>
      </w:r>
      <w:r w:rsidRPr="008F2942" w:rsidR="009E3D90">
        <w:rPr>
          <w:rFonts w:cstheme="minorHAnsi"/>
        </w:rPr>
        <w:t>een nieuw type onderzoek.</w:t>
      </w:r>
      <w:r w:rsidRPr="008F2942" w:rsidR="00AE4159">
        <w:rPr>
          <w:rFonts w:cstheme="minorHAnsi"/>
        </w:rPr>
        <w:t xml:space="preserve"> </w:t>
      </w:r>
      <w:r w:rsidR="00B87AC6">
        <w:rPr>
          <w:rFonts w:cstheme="minorHAnsi"/>
        </w:rPr>
        <w:t>Bij deze voorstellen zijn in strafrechtelijke literatuur al d</w:t>
      </w:r>
      <w:r w:rsidR="000963EF">
        <w:rPr>
          <w:rFonts w:cstheme="minorHAnsi"/>
        </w:rPr>
        <w:t>e nodige opmerkingen geplaatst die het kennisnemen waard zijn. Hier</w:t>
      </w:r>
      <w:r w:rsidR="00B83750">
        <w:rPr>
          <w:rFonts w:cstheme="minorHAnsi"/>
        </w:rPr>
        <w:t xml:space="preserve"> volgen nog enkele (aanvullende) opmerkingen bij het wetsvoorstel.</w:t>
      </w:r>
    </w:p>
    <w:p w:rsidR="00B87AC6" w:rsidP="00E51B17" w:rsidRDefault="00B87AC6" w14:paraId="14435413" w14:textId="77777777">
      <w:pPr>
        <w:spacing w:after="0" w:line="240" w:lineRule="auto"/>
        <w:jc w:val="both"/>
        <w:rPr>
          <w:rFonts w:cstheme="minorHAnsi"/>
        </w:rPr>
      </w:pPr>
    </w:p>
    <w:p w:rsidR="00446D86" w:rsidP="00E51B17" w:rsidRDefault="00EF0CFF" w14:paraId="71D54A2F" w14:textId="226D6BA8">
      <w:pPr>
        <w:spacing w:after="0" w:line="240" w:lineRule="auto"/>
        <w:jc w:val="both"/>
        <w:rPr>
          <w:rFonts w:cstheme="minorHAnsi"/>
        </w:rPr>
      </w:pPr>
      <w:r>
        <w:rPr>
          <w:rFonts w:cstheme="minorHAnsi"/>
        </w:rPr>
        <w:t xml:space="preserve">1) </w:t>
      </w:r>
      <w:r w:rsidRPr="008F2942" w:rsidR="00AE4159">
        <w:rPr>
          <w:rFonts w:cstheme="minorHAnsi"/>
        </w:rPr>
        <w:t xml:space="preserve">Ten aanzien van de </w:t>
      </w:r>
      <w:r w:rsidRPr="00AF5635" w:rsidR="00AE4159">
        <w:rPr>
          <w:rFonts w:cstheme="minorHAnsi"/>
          <w:i/>
        </w:rPr>
        <w:t>relatieve competentie</w:t>
      </w:r>
      <w:r w:rsidRPr="008F2942" w:rsidR="00AE4159">
        <w:rPr>
          <w:rFonts w:cstheme="minorHAnsi"/>
        </w:rPr>
        <w:t xml:space="preserve"> </w:t>
      </w:r>
      <w:r w:rsidRPr="008F2942" w:rsidR="008A7007">
        <w:rPr>
          <w:rFonts w:cstheme="minorHAnsi"/>
        </w:rPr>
        <w:t xml:space="preserve">valt op dat </w:t>
      </w:r>
      <w:r w:rsidR="005C519E">
        <w:rPr>
          <w:rFonts w:cstheme="minorHAnsi"/>
        </w:rPr>
        <w:t>ter</w:t>
      </w:r>
      <w:r w:rsidRPr="008F2942" w:rsidR="008A7007">
        <w:rPr>
          <w:rFonts w:cstheme="minorHAnsi"/>
        </w:rPr>
        <w:t xml:space="preserve"> rechtvaardiging </w:t>
      </w:r>
      <w:r w:rsidR="005C519E">
        <w:rPr>
          <w:rFonts w:cstheme="minorHAnsi"/>
        </w:rPr>
        <w:t>worden genoemd</w:t>
      </w:r>
      <w:r w:rsidR="000963EF">
        <w:rPr>
          <w:rFonts w:cstheme="minorHAnsi"/>
        </w:rPr>
        <w:t xml:space="preserve"> dat </w:t>
      </w:r>
      <w:r w:rsidRPr="008F2942" w:rsidR="008A7007">
        <w:rPr>
          <w:rFonts w:cstheme="minorHAnsi"/>
        </w:rPr>
        <w:t xml:space="preserve">zaken </w:t>
      </w:r>
      <w:r w:rsidR="000963EF">
        <w:rPr>
          <w:rFonts w:cstheme="minorHAnsi"/>
        </w:rPr>
        <w:t xml:space="preserve">over geweld door opsporingsambtenaren </w:t>
      </w:r>
      <w:r w:rsidRPr="008F2942" w:rsidR="008A7007">
        <w:rPr>
          <w:rFonts w:cstheme="minorHAnsi"/>
        </w:rPr>
        <w:t>‘vanuit een andere invalshoek’ dienen te worden bekeken</w:t>
      </w:r>
      <w:r w:rsidRPr="008F2942" w:rsidR="00DB0320">
        <w:rPr>
          <w:rFonts w:cstheme="minorHAnsi"/>
        </w:rPr>
        <w:t>, waarbij ‘inzicht bestaat in de context waarin het geweld is gebruikt’. Ook het concentreren van de kennis ‘van de regels omtrent het gebruik van geweld en van alle omstandigheden waaronder door opsporingsambtenaren geweld moet worden ingezet’ wordt als argument voor concentratie bij de rechtbank Midden-Nederland genoemd</w:t>
      </w:r>
      <w:r w:rsidRPr="008F2942" w:rsidR="00D24F83">
        <w:rPr>
          <w:rFonts w:cstheme="minorHAnsi"/>
        </w:rPr>
        <w:t xml:space="preserve"> (Nota van Wijziging</w:t>
      </w:r>
      <w:r w:rsidR="00AF5635">
        <w:rPr>
          <w:rFonts w:cstheme="minorHAnsi"/>
        </w:rPr>
        <w:t xml:space="preserve"> (hierna: Nota)</w:t>
      </w:r>
      <w:r w:rsidRPr="008F2942" w:rsidR="00D24F83">
        <w:rPr>
          <w:rFonts w:cstheme="minorHAnsi"/>
        </w:rPr>
        <w:t>, p. 3)</w:t>
      </w:r>
      <w:r w:rsidR="00010C5A">
        <w:rPr>
          <w:rFonts w:cstheme="minorHAnsi"/>
        </w:rPr>
        <w:t>.</w:t>
      </w:r>
      <w:r w:rsidR="005C519E">
        <w:rPr>
          <w:rFonts w:cstheme="minorHAnsi"/>
        </w:rPr>
        <w:t xml:space="preserve"> Behoort het niet tot d</w:t>
      </w:r>
      <w:r w:rsidR="000963EF">
        <w:rPr>
          <w:rFonts w:cstheme="minorHAnsi"/>
        </w:rPr>
        <w:t>e kern van het rechterlijk werk dat de rechter zijn weg vindt</w:t>
      </w:r>
      <w:r w:rsidRPr="008F2942" w:rsidR="00EB63DA">
        <w:rPr>
          <w:rFonts w:cstheme="minorHAnsi"/>
        </w:rPr>
        <w:t xml:space="preserve"> in </w:t>
      </w:r>
      <w:r w:rsidR="000963EF">
        <w:rPr>
          <w:rFonts w:cstheme="minorHAnsi"/>
        </w:rPr>
        <w:t xml:space="preserve">de </w:t>
      </w:r>
      <w:r w:rsidRPr="008F2942" w:rsidR="00EB63DA">
        <w:rPr>
          <w:rFonts w:cstheme="minorHAnsi"/>
        </w:rPr>
        <w:t xml:space="preserve">regels </w:t>
      </w:r>
      <w:r w:rsidR="00B71250">
        <w:rPr>
          <w:rFonts w:cstheme="minorHAnsi"/>
        </w:rPr>
        <w:t xml:space="preserve">die op een </w:t>
      </w:r>
      <w:r w:rsidR="000963EF">
        <w:rPr>
          <w:rFonts w:cstheme="minorHAnsi"/>
        </w:rPr>
        <w:t>bepaalde casus van toepassing zijn?</w:t>
      </w:r>
      <w:r w:rsidR="00B71250">
        <w:rPr>
          <w:rFonts w:cstheme="minorHAnsi"/>
        </w:rPr>
        <w:t xml:space="preserve"> Is het niet ook </w:t>
      </w:r>
      <w:r w:rsidRPr="008F2942" w:rsidR="004E6275">
        <w:rPr>
          <w:rFonts w:cstheme="minorHAnsi"/>
        </w:rPr>
        <w:t xml:space="preserve">zijn </w:t>
      </w:r>
      <w:r w:rsidR="00B71250">
        <w:rPr>
          <w:rFonts w:cstheme="minorHAnsi"/>
        </w:rPr>
        <w:t>plicht</w:t>
      </w:r>
      <w:r w:rsidRPr="008F2942" w:rsidR="004E6275">
        <w:rPr>
          <w:rFonts w:cstheme="minorHAnsi"/>
        </w:rPr>
        <w:t xml:space="preserve"> om rekening te houden met alle specifieke omstandigheden van een zaak, ongeacht de persoon van de verdachte</w:t>
      </w:r>
      <w:r w:rsidR="000E0521">
        <w:rPr>
          <w:rFonts w:cstheme="minorHAnsi"/>
        </w:rPr>
        <w:t>?</w:t>
      </w:r>
      <w:r w:rsidRPr="008F2942" w:rsidR="004E6275">
        <w:rPr>
          <w:rFonts w:cstheme="minorHAnsi"/>
        </w:rPr>
        <w:t xml:space="preserve"> </w:t>
      </w:r>
      <w:r w:rsidR="000E0521">
        <w:rPr>
          <w:rFonts w:cstheme="minorHAnsi"/>
        </w:rPr>
        <w:t xml:space="preserve">Beide argumenten lijken concentratie bij één rechtbank </w:t>
      </w:r>
      <w:r w:rsidR="000963EF">
        <w:rPr>
          <w:rFonts w:cstheme="minorHAnsi"/>
        </w:rPr>
        <w:t xml:space="preserve">daarom </w:t>
      </w:r>
      <w:r w:rsidR="000E0521">
        <w:rPr>
          <w:rFonts w:cstheme="minorHAnsi"/>
        </w:rPr>
        <w:t xml:space="preserve">moeilijk te kunnen dragen. </w:t>
      </w:r>
      <w:r w:rsidRPr="008F2942" w:rsidR="00A83718">
        <w:rPr>
          <w:rFonts w:cstheme="minorHAnsi"/>
        </w:rPr>
        <w:t xml:space="preserve">Wat overblijft is de </w:t>
      </w:r>
      <w:r w:rsidR="00BB487F">
        <w:rPr>
          <w:rFonts w:cstheme="minorHAnsi"/>
        </w:rPr>
        <w:t>‘</w:t>
      </w:r>
      <w:r w:rsidRPr="008F2942" w:rsidR="00A83718">
        <w:rPr>
          <w:rFonts w:cstheme="minorHAnsi"/>
        </w:rPr>
        <w:t>andere invalshoek</w:t>
      </w:r>
      <w:r w:rsidR="00BB487F">
        <w:rPr>
          <w:rFonts w:cstheme="minorHAnsi"/>
        </w:rPr>
        <w:t>’</w:t>
      </w:r>
      <w:r w:rsidRPr="008F2942" w:rsidR="00A83718">
        <w:rPr>
          <w:rFonts w:cstheme="minorHAnsi"/>
        </w:rPr>
        <w:t xml:space="preserve">. Wordt </w:t>
      </w:r>
      <w:r w:rsidRPr="008F2942" w:rsidR="00CF586A">
        <w:rPr>
          <w:rFonts w:cstheme="minorHAnsi"/>
        </w:rPr>
        <w:t xml:space="preserve">hier de suggestie gewekt dat met concentratie </w:t>
      </w:r>
      <w:r w:rsidR="00BB487F">
        <w:rPr>
          <w:rFonts w:cstheme="minorHAnsi"/>
        </w:rPr>
        <w:t xml:space="preserve">hopelijk (of: naar verwachting) </w:t>
      </w:r>
      <w:r w:rsidRPr="008F2942" w:rsidR="00CF586A">
        <w:rPr>
          <w:rFonts w:cstheme="minorHAnsi"/>
        </w:rPr>
        <w:t xml:space="preserve">welwillende rechters worden gevonden die </w:t>
      </w:r>
      <w:r w:rsidRPr="008F2942" w:rsidR="006B6257">
        <w:rPr>
          <w:rFonts w:cstheme="minorHAnsi"/>
        </w:rPr>
        <w:t>de opsporingsambtenaar snel het voordeel van de twijfel</w:t>
      </w:r>
      <w:r w:rsidRPr="008F2942" w:rsidR="004663CB">
        <w:rPr>
          <w:rFonts w:cstheme="minorHAnsi"/>
        </w:rPr>
        <w:t xml:space="preserve"> </w:t>
      </w:r>
      <w:r w:rsidR="00010C5A">
        <w:rPr>
          <w:rFonts w:cstheme="minorHAnsi"/>
        </w:rPr>
        <w:t xml:space="preserve">zullen </w:t>
      </w:r>
      <w:r w:rsidRPr="008F2942" w:rsidR="006B6257">
        <w:rPr>
          <w:rFonts w:cstheme="minorHAnsi"/>
        </w:rPr>
        <w:t>geven?</w:t>
      </w:r>
      <w:r w:rsidRPr="008F2942" w:rsidR="00C652D4">
        <w:rPr>
          <w:rFonts w:cstheme="minorHAnsi"/>
        </w:rPr>
        <w:t xml:space="preserve"> </w:t>
      </w:r>
      <w:r w:rsidR="000613DF">
        <w:rPr>
          <w:rFonts w:cstheme="minorHAnsi"/>
        </w:rPr>
        <w:t>Als dat de achtergrond</w:t>
      </w:r>
      <w:r w:rsidR="00010C5A">
        <w:rPr>
          <w:rFonts w:cstheme="minorHAnsi"/>
        </w:rPr>
        <w:t xml:space="preserve"> van het aanwijzen van één rechtbank</w:t>
      </w:r>
      <w:r w:rsidR="000613DF">
        <w:rPr>
          <w:rFonts w:cstheme="minorHAnsi"/>
        </w:rPr>
        <w:t xml:space="preserve"> is, hoe valt dan vol te houden het uitgangspunt dat</w:t>
      </w:r>
      <w:r w:rsidR="00001454">
        <w:rPr>
          <w:rFonts w:cstheme="minorHAnsi"/>
        </w:rPr>
        <w:t xml:space="preserve"> het onderzoek mede tot doel heeft het vertrouwen en geloof </w:t>
      </w:r>
      <w:r w:rsidR="000963EF">
        <w:rPr>
          <w:rFonts w:cstheme="minorHAnsi"/>
        </w:rPr>
        <w:t xml:space="preserve">van de samenleving </w:t>
      </w:r>
      <w:r w:rsidR="00001454">
        <w:rPr>
          <w:rFonts w:cstheme="minorHAnsi"/>
        </w:rPr>
        <w:t xml:space="preserve">in het functioneren van de politie te </w:t>
      </w:r>
      <w:r w:rsidR="002D4E8E">
        <w:rPr>
          <w:rFonts w:cstheme="minorHAnsi"/>
        </w:rPr>
        <w:t>waarborg</w:t>
      </w:r>
      <w:r w:rsidR="00001454">
        <w:rPr>
          <w:rFonts w:cstheme="minorHAnsi"/>
        </w:rPr>
        <w:t>en</w:t>
      </w:r>
      <w:r w:rsidR="000613DF">
        <w:rPr>
          <w:rFonts w:cstheme="minorHAnsi"/>
        </w:rPr>
        <w:t xml:space="preserve"> </w:t>
      </w:r>
      <w:r w:rsidR="00EF5B17">
        <w:rPr>
          <w:rFonts w:cstheme="minorHAnsi"/>
        </w:rPr>
        <w:t>(</w:t>
      </w:r>
      <w:proofErr w:type="spellStart"/>
      <w:r w:rsidR="00001454">
        <w:rPr>
          <w:rFonts w:cstheme="minorHAnsi"/>
        </w:rPr>
        <w:t>MvT</w:t>
      </w:r>
      <w:proofErr w:type="spellEnd"/>
      <w:r w:rsidR="00001454">
        <w:rPr>
          <w:rFonts w:cstheme="minorHAnsi"/>
        </w:rPr>
        <w:t xml:space="preserve">, p. 7; </w:t>
      </w:r>
      <w:r w:rsidR="00EF5B17">
        <w:rPr>
          <w:rFonts w:cstheme="minorHAnsi"/>
        </w:rPr>
        <w:t>Nota</w:t>
      </w:r>
      <w:r w:rsidR="00D11C23">
        <w:rPr>
          <w:rFonts w:cstheme="minorHAnsi"/>
        </w:rPr>
        <w:t>, p. 13)</w:t>
      </w:r>
      <w:r w:rsidR="00001454">
        <w:rPr>
          <w:rFonts w:cstheme="minorHAnsi"/>
        </w:rPr>
        <w:t>?</w:t>
      </w:r>
      <w:r w:rsidR="002D4E8E">
        <w:rPr>
          <w:rFonts w:cstheme="minorHAnsi"/>
        </w:rPr>
        <w:t xml:space="preserve"> </w:t>
      </w:r>
    </w:p>
    <w:p w:rsidR="00446D86" w:rsidP="00E51B17" w:rsidRDefault="00446D86" w14:paraId="752C7BCD" w14:textId="3A057EC0">
      <w:pPr>
        <w:spacing w:after="0" w:line="240" w:lineRule="auto"/>
        <w:jc w:val="both"/>
        <w:rPr>
          <w:rFonts w:cstheme="minorHAnsi"/>
        </w:rPr>
      </w:pPr>
    </w:p>
    <w:p w:rsidR="009322C5" w:rsidP="00E51B17" w:rsidRDefault="00EF0CFF" w14:paraId="2284A556" w14:textId="70639BDC">
      <w:pPr>
        <w:spacing w:after="0" w:line="240" w:lineRule="auto"/>
        <w:jc w:val="both"/>
      </w:pPr>
      <w:r>
        <w:rPr>
          <w:rFonts w:cstheme="minorHAnsi"/>
        </w:rPr>
        <w:t xml:space="preserve">2) </w:t>
      </w:r>
      <w:r w:rsidRPr="008F2942" w:rsidR="000222A7">
        <w:rPr>
          <w:rFonts w:cstheme="minorHAnsi"/>
        </w:rPr>
        <w:t xml:space="preserve">Met betrekking tot </w:t>
      </w:r>
      <w:r w:rsidRPr="008F2942" w:rsidR="005266FB">
        <w:rPr>
          <w:rFonts w:cstheme="minorHAnsi"/>
        </w:rPr>
        <w:t xml:space="preserve">de </w:t>
      </w:r>
      <w:r w:rsidRPr="00AF5635" w:rsidR="005266FB">
        <w:rPr>
          <w:rFonts w:cstheme="minorHAnsi"/>
          <w:i/>
        </w:rPr>
        <w:t>nieuwe straf</w:t>
      </w:r>
      <w:r w:rsidRPr="00AF5635" w:rsidR="005368A2">
        <w:rPr>
          <w:rFonts w:cstheme="minorHAnsi"/>
          <w:i/>
        </w:rPr>
        <w:t>uitsluitingsgrond</w:t>
      </w:r>
      <w:r w:rsidRPr="008F2942" w:rsidR="005368A2">
        <w:rPr>
          <w:rFonts w:cstheme="minorHAnsi"/>
        </w:rPr>
        <w:t xml:space="preserve"> </w:t>
      </w:r>
      <w:r w:rsidRPr="008F2942" w:rsidR="000222A7">
        <w:rPr>
          <w:rFonts w:cstheme="minorHAnsi"/>
        </w:rPr>
        <w:t xml:space="preserve">(art. 42 lid 2 (nieuw) Sr) wordt in de </w:t>
      </w:r>
      <w:proofErr w:type="spellStart"/>
      <w:r w:rsidRPr="008F2942" w:rsidR="000222A7">
        <w:rPr>
          <w:rFonts w:cstheme="minorHAnsi"/>
        </w:rPr>
        <w:t>M</w:t>
      </w:r>
      <w:r w:rsidR="00151917">
        <w:rPr>
          <w:rFonts w:cstheme="minorHAnsi"/>
        </w:rPr>
        <w:t>vT</w:t>
      </w:r>
      <w:proofErr w:type="spellEnd"/>
      <w:r w:rsidRPr="008F2942" w:rsidR="000222A7">
        <w:rPr>
          <w:rFonts w:cstheme="minorHAnsi"/>
        </w:rPr>
        <w:t xml:space="preserve"> opgemerkt dat deze eigenlijk overbodig is</w:t>
      </w:r>
      <w:r w:rsidR="004C6010">
        <w:rPr>
          <w:rFonts w:cstheme="minorHAnsi"/>
        </w:rPr>
        <w:t xml:space="preserve">: </w:t>
      </w:r>
      <w:r w:rsidR="000872A0">
        <w:t xml:space="preserve">de bestaande strafuitsluitingsgronden </w:t>
      </w:r>
      <w:r w:rsidR="004C6010">
        <w:t xml:space="preserve">bieden </w:t>
      </w:r>
      <w:r w:rsidR="000872A0">
        <w:t>voldoende bescherming</w:t>
      </w:r>
      <w:r w:rsidR="00E12A78">
        <w:t xml:space="preserve"> (p. 11)</w:t>
      </w:r>
      <w:r w:rsidR="00010C5A">
        <w:t>. Vervolgens</w:t>
      </w:r>
      <w:r w:rsidR="00F746B6">
        <w:t xml:space="preserve"> </w:t>
      </w:r>
      <w:r w:rsidR="002970A4">
        <w:t>lijkt te worden betoogd</w:t>
      </w:r>
      <w:r w:rsidR="000872A0">
        <w:t xml:space="preserve"> dat de bestaande strafuitsluitingsgronden toch niet voldoen</w:t>
      </w:r>
      <w:r w:rsidR="00CD48B7">
        <w:t>, omdat geen rekening wordt gehouden met ‘de specifieke functie en bevoegdheden van de opsporingsambtenaar’ (idem)</w:t>
      </w:r>
      <w:r w:rsidR="00B05581">
        <w:t>.</w:t>
      </w:r>
      <w:r w:rsidR="00714D33">
        <w:t xml:space="preserve"> </w:t>
      </w:r>
      <w:r w:rsidR="000626EE">
        <w:t xml:space="preserve">Hoe zijn beide opvattingen met elkaar te rijmen? </w:t>
      </w:r>
      <w:r w:rsidR="008C10D7">
        <w:t>V</w:t>
      </w:r>
      <w:r w:rsidR="00997100">
        <w:t xml:space="preserve">erwarring ontstaat </w:t>
      </w:r>
      <w:r w:rsidR="008C10D7">
        <w:t xml:space="preserve">ook </w:t>
      </w:r>
      <w:r w:rsidR="00997100">
        <w:t xml:space="preserve">bij het argument </w:t>
      </w:r>
      <w:r w:rsidR="00062535">
        <w:t xml:space="preserve">dat </w:t>
      </w:r>
      <w:r w:rsidR="00997100">
        <w:t xml:space="preserve">de </w:t>
      </w:r>
      <w:r w:rsidR="00E00C28">
        <w:t xml:space="preserve">nieuwe strafuitsluitingsgrond </w:t>
      </w:r>
      <w:r w:rsidR="00062535">
        <w:t xml:space="preserve">een </w:t>
      </w:r>
      <w:r w:rsidR="00E00C28">
        <w:t xml:space="preserve">‘logisch </w:t>
      </w:r>
      <w:r w:rsidR="00E00C28">
        <w:lastRenderedPageBreak/>
        <w:t>complement’</w:t>
      </w:r>
      <w:r w:rsidR="00E12A78">
        <w:t xml:space="preserve"> (</w:t>
      </w:r>
      <w:proofErr w:type="spellStart"/>
      <w:r w:rsidR="00E12A78">
        <w:t>MvT</w:t>
      </w:r>
      <w:proofErr w:type="spellEnd"/>
      <w:r w:rsidR="00E12A78">
        <w:t xml:space="preserve">, p. </w:t>
      </w:r>
      <w:r w:rsidR="00CD48B7">
        <w:t>6, 11)</w:t>
      </w:r>
      <w:r w:rsidR="00AF5635">
        <w:t xml:space="preserve"> vormt</w:t>
      </w:r>
      <w:r w:rsidR="002A386B">
        <w:t>.</w:t>
      </w:r>
      <w:r w:rsidR="00997100">
        <w:t xml:space="preserve"> Hoe logisch is</w:t>
      </w:r>
      <w:r w:rsidR="00C6579A">
        <w:t xml:space="preserve"> de nieuwe strafuitsluitingsgrond als wordt toegegeven dat </w:t>
      </w:r>
      <w:r w:rsidR="00AF5635">
        <w:t>hij</w:t>
      </w:r>
      <w:r w:rsidR="009322C5">
        <w:t xml:space="preserve"> eigenlijk overbodig is</w:t>
      </w:r>
      <w:r w:rsidR="00C6579A">
        <w:t>?</w:t>
      </w:r>
      <w:r w:rsidR="009B12DE">
        <w:t xml:space="preserve"> </w:t>
      </w:r>
      <w:r w:rsidR="009322C5">
        <w:t xml:space="preserve">De </w:t>
      </w:r>
      <w:r w:rsidR="00504418">
        <w:t>argumentatie is op zijn minst verwarrend.</w:t>
      </w:r>
    </w:p>
    <w:p w:rsidR="00590E75" w:rsidP="00E51B17" w:rsidRDefault="00C706AC" w14:paraId="3112B99F" w14:textId="5C7B5DE0">
      <w:pPr>
        <w:spacing w:after="0" w:line="240" w:lineRule="auto"/>
        <w:jc w:val="both"/>
      </w:pPr>
      <w:r>
        <w:t>De indruk wordt gewekt dat de bestaande strafuitsluitingsgronden niet voldoen vanwege de ‘specifieke functie’ of ‘speciale positie’ (</w:t>
      </w:r>
      <w:proofErr w:type="spellStart"/>
      <w:r>
        <w:t>MvT</w:t>
      </w:r>
      <w:proofErr w:type="spellEnd"/>
      <w:r>
        <w:t xml:space="preserve">, p. 13) van opsporingsambtenaren. </w:t>
      </w:r>
      <w:r w:rsidR="004C3DA5">
        <w:t xml:space="preserve">Een en ander miskent </w:t>
      </w:r>
      <w:r w:rsidR="00AF6367">
        <w:t xml:space="preserve">dat </w:t>
      </w:r>
      <w:r w:rsidR="00E707F2">
        <w:t>bij de beoordeling van een beroep op een strafuitsluitingsgrond</w:t>
      </w:r>
      <w:r w:rsidR="00C142A8">
        <w:t xml:space="preserve"> reeds</w:t>
      </w:r>
      <w:r w:rsidR="00E707F2">
        <w:t xml:space="preserve"> </w:t>
      </w:r>
      <w:r w:rsidR="00AF6367">
        <w:t>verschillende omstandigheden</w:t>
      </w:r>
      <w:r w:rsidR="00E707F2">
        <w:t xml:space="preserve"> worden meegewogen</w:t>
      </w:r>
      <w:r w:rsidR="00F04CF1">
        <w:t xml:space="preserve">, waaronder de ‘speciale positie’ van </w:t>
      </w:r>
      <w:r w:rsidR="00AF6367">
        <w:t>de opsporingsambtenaar die in de rechtmatige uitoefening van zijn taak geweld heeft aangewend</w:t>
      </w:r>
      <w:r w:rsidR="00E707F2">
        <w:t>.</w:t>
      </w:r>
      <w:r w:rsidR="00EC7396">
        <w:t xml:space="preserve"> </w:t>
      </w:r>
      <w:r w:rsidR="00010C5A">
        <w:t xml:space="preserve">(Ook wanneer hij zijn boekje te buiten is gegaan, kan hij een beroep op een strafuitsluitingsgrond doen waarbij </w:t>
      </w:r>
      <w:r w:rsidR="000963EF">
        <w:t>(in zijn voordeel) rekening wordt</w:t>
      </w:r>
      <w:r w:rsidR="00010C5A">
        <w:t xml:space="preserve"> gehouden met die speciale positie). </w:t>
      </w:r>
      <w:r w:rsidR="004B4189">
        <w:t>Zo de minister meent dat die speciale positie nu onvoldoende</w:t>
      </w:r>
      <w:r w:rsidR="00E71C70">
        <w:t xml:space="preserve"> </w:t>
      </w:r>
      <w:r w:rsidR="004B4189">
        <w:t>word</w:t>
      </w:r>
      <w:r w:rsidR="00E71C70">
        <w:t>t</w:t>
      </w:r>
      <w:r w:rsidR="004B4189">
        <w:t xml:space="preserve"> meegewogen, mist die stelling </w:t>
      </w:r>
      <w:r w:rsidR="00AF5635">
        <w:t xml:space="preserve">m.i. </w:t>
      </w:r>
      <w:r w:rsidR="004B4189">
        <w:t xml:space="preserve">onderbouwing. </w:t>
      </w:r>
      <w:r w:rsidR="00BB276A">
        <w:t xml:space="preserve">Zo de stelling kan worden onderbouwd, dan is de </w:t>
      </w:r>
      <w:r w:rsidR="000963EF">
        <w:t xml:space="preserve">vraag of een speciale strafuitsluitingsgrond veel verschil zal maken. </w:t>
      </w:r>
      <w:r w:rsidR="00E42E9D">
        <w:t xml:space="preserve">Zal zijn handelen niet </w:t>
      </w:r>
      <w:r w:rsidR="000963EF">
        <w:t>onder het vergrootglas worden geplaatst, met als gevolg dat een beroep op de nieuwe strafuitsluitingsgrond in de praktijk weinig kan</w:t>
      </w:r>
      <w:r w:rsidR="00E42E9D">
        <w:t>s</w:t>
      </w:r>
      <w:r w:rsidR="000963EF">
        <w:t xml:space="preserve"> va</w:t>
      </w:r>
      <w:r w:rsidR="00E42E9D">
        <w:t>n slagen zal hebben?</w:t>
      </w:r>
    </w:p>
    <w:p w:rsidR="008F2942" w:rsidP="00E51B17" w:rsidRDefault="008F2942" w14:paraId="6C2195EF" w14:textId="77777777">
      <w:pPr>
        <w:spacing w:after="0" w:line="240" w:lineRule="auto"/>
        <w:jc w:val="both"/>
      </w:pPr>
    </w:p>
    <w:p w:rsidR="005A02EF" w:rsidP="00E51B17" w:rsidRDefault="00EF0CFF" w14:paraId="18B8E648" w14:textId="33A978B1">
      <w:pPr>
        <w:spacing w:after="0" w:line="240" w:lineRule="auto"/>
        <w:jc w:val="both"/>
      </w:pPr>
      <w:r>
        <w:t xml:space="preserve">3) </w:t>
      </w:r>
      <w:r w:rsidR="00233994">
        <w:t xml:space="preserve">De </w:t>
      </w:r>
      <w:r w:rsidRPr="00AF5635" w:rsidR="00233994">
        <w:rPr>
          <w:i/>
        </w:rPr>
        <w:t>nieuwe strafbaarstelling</w:t>
      </w:r>
      <w:r w:rsidR="00AF5635">
        <w:t xml:space="preserve"> </w:t>
      </w:r>
      <w:r w:rsidR="00233994">
        <w:t>roept verschillende vragen op</w:t>
      </w:r>
      <w:r w:rsidR="00B819A2">
        <w:t>.</w:t>
      </w:r>
    </w:p>
    <w:p w:rsidR="00C478C5" w:rsidP="00E51B17" w:rsidRDefault="00B819A2" w14:paraId="366A03D5" w14:textId="7BC4A9BF">
      <w:pPr>
        <w:spacing w:after="0" w:line="240" w:lineRule="auto"/>
        <w:jc w:val="both"/>
      </w:pPr>
      <w:r>
        <w:t xml:space="preserve">1. </w:t>
      </w:r>
      <w:r w:rsidR="0056135D">
        <w:t xml:space="preserve">In de </w:t>
      </w:r>
      <w:proofErr w:type="spellStart"/>
      <w:r w:rsidR="0056135D">
        <w:t>MvT</w:t>
      </w:r>
      <w:proofErr w:type="spellEnd"/>
      <w:r w:rsidR="0056135D">
        <w:t xml:space="preserve"> wordt </w:t>
      </w:r>
      <w:r w:rsidR="006823A6">
        <w:t>gesteld</w:t>
      </w:r>
      <w:r w:rsidR="0056135D">
        <w:t xml:space="preserve"> dat tussen de nieuwe strafbaarstelling en de bestaande ´geweldsdelicte</w:t>
      </w:r>
      <w:r w:rsidR="006823A6">
        <w:t>n´ (mishandeling, doodslag</w:t>
      </w:r>
      <w:r w:rsidR="0056135D">
        <w:t xml:space="preserve">) belangrijke verschillen bestaan. De </w:t>
      </w:r>
      <w:r w:rsidR="00E42E9D">
        <w:t>‘</w:t>
      </w:r>
      <w:r w:rsidR="0056135D">
        <w:t>geweldsdelicten</w:t>
      </w:r>
      <w:r w:rsidR="00E42E9D">
        <w:t>’</w:t>
      </w:r>
      <w:r w:rsidR="0056135D">
        <w:t xml:space="preserve"> verbi</w:t>
      </w:r>
      <w:r w:rsidR="00E42E9D">
        <w:t>eden het gebruik van geweld. Deze</w:t>
      </w:r>
      <w:r w:rsidR="0056135D">
        <w:t xml:space="preserve"> delicten passen minder goed bij opsporingsambtenaren omdat zij onder voorwaarden geweld mogen gebruiken (p. 14). </w:t>
      </w:r>
      <w:r w:rsidR="00DE600E">
        <w:t xml:space="preserve">De nieuwe strafbaarstelling is bedoeld </w:t>
      </w:r>
      <w:proofErr w:type="spellStart"/>
      <w:r w:rsidR="00DE600E">
        <w:t>opsporings</w:t>
      </w:r>
      <w:r w:rsidR="006823A6">
        <w:t>-</w:t>
      </w:r>
      <w:r w:rsidR="00DE600E">
        <w:t>ambtenaren</w:t>
      </w:r>
      <w:proofErr w:type="spellEnd"/>
      <w:r w:rsidR="00DE600E">
        <w:t xml:space="preserve"> </w:t>
      </w:r>
      <w:r w:rsidR="000862C4">
        <w:t xml:space="preserve">aan de regels </w:t>
      </w:r>
      <w:r w:rsidR="00E7615C">
        <w:t xml:space="preserve">voor het gebruik van geweld </w:t>
      </w:r>
      <w:r w:rsidR="000862C4">
        <w:t xml:space="preserve">te </w:t>
      </w:r>
      <w:r w:rsidR="007F6627">
        <w:t>bind</w:t>
      </w:r>
      <w:r w:rsidR="000862C4">
        <w:t xml:space="preserve">en. </w:t>
      </w:r>
      <w:r w:rsidR="00D26B5B">
        <w:t>Op zichzelf is d</w:t>
      </w:r>
      <w:r w:rsidR="006823A6">
        <w:t>ie binding</w:t>
      </w:r>
      <w:r w:rsidR="00D26B5B">
        <w:t xml:space="preserve"> positief. Maar moet dat door het strafrecht worden afgedwongen? </w:t>
      </w:r>
      <w:r w:rsidR="0098320F">
        <w:t xml:space="preserve">Ik lees in de parlementaire stukken geen duidelijke rechtvaardiging voor invoering van deze strafbaarstelling. </w:t>
      </w:r>
      <w:r w:rsidR="001D4B97">
        <w:t xml:space="preserve">De voorgestelde strafbaarstelling lezend, roept de vraag op of het verschil met de </w:t>
      </w:r>
      <w:r w:rsidR="000862C4">
        <w:t xml:space="preserve">‘geweldsdelicten’ </w:t>
      </w:r>
      <w:r w:rsidR="001D4B97">
        <w:t>wel zo groot is als wordt betoogd</w:t>
      </w:r>
      <w:r w:rsidR="000862C4">
        <w:t xml:space="preserve">. </w:t>
      </w:r>
      <w:r w:rsidR="003119F0">
        <w:t>M</w:t>
      </w:r>
      <w:r w:rsidR="00F127A8">
        <w:t xml:space="preserve">ishandeling en doodslag </w:t>
      </w:r>
      <w:r w:rsidR="003119F0">
        <w:t xml:space="preserve">beschermen </w:t>
      </w:r>
      <w:r w:rsidR="00F127A8">
        <w:t xml:space="preserve">niet zozeer tegen geweld; zij beschermen de lichamelijke integriteit en het leven. </w:t>
      </w:r>
      <w:r w:rsidR="00E42E9D">
        <w:t>Wat lezen we in art. 372 Sr? H</w:t>
      </w:r>
      <w:r w:rsidR="001E0AF5">
        <w:t xml:space="preserve">et niet naleven van de geweldsinstructie </w:t>
      </w:r>
      <w:r w:rsidR="006823A6">
        <w:t>is</w:t>
      </w:r>
      <w:r w:rsidR="00FC252B">
        <w:t xml:space="preserve"> </w:t>
      </w:r>
      <w:r w:rsidR="001E0AF5">
        <w:t xml:space="preserve">niet op zichzelf strafbaar gesteld. Strafbaar is wanneer daardoor bepaalde gevolgen </w:t>
      </w:r>
      <w:r w:rsidR="00D26B5B">
        <w:t>teweeg worden gebracht</w:t>
      </w:r>
      <w:r w:rsidR="004427FF">
        <w:t xml:space="preserve">: </w:t>
      </w:r>
      <w:r w:rsidR="00FC252B">
        <w:t xml:space="preserve">enig of zwaar </w:t>
      </w:r>
      <w:r w:rsidR="00524B3B">
        <w:t>lichamelijk letsel of</w:t>
      </w:r>
      <w:r w:rsidR="004427FF">
        <w:t xml:space="preserve"> de dood. Wat be</w:t>
      </w:r>
      <w:r w:rsidR="00FC252B">
        <w:t>oogt</w:t>
      </w:r>
      <w:r w:rsidR="004427FF">
        <w:t xml:space="preserve"> art. 372 Sr</w:t>
      </w:r>
      <w:r w:rsidR="004F4E8F">
        <w:t xml:space="preserve"> </w:t>
      </w:r>
      <w:r w:rsidR="00546298">
        <w:t xml:space="preserve">dus </w:t>
      </w:r>
      <w:r w:rsidR="00FC252B">
        <w:t>te beschermen</w:t>
      </w:r>
      <w:r w:rsidR="004427FF">
        <w:t xml:space="preserve">: niet alleen dat opsporingsambtenaren </w:t>
      </w:r>
      <w:r w:rsidR="00524B3B">
        <w:t>hun</w:t>
      </w:r>
      <w:r w:rsidR="009B7D05">
        <w:t xml:space="preserve"> geweldsinstructie</w:t>
      </w:r>
      <w:r w:rsidR="00FF6E50">
        <w:t xml:space="preserve"> naleven, maar </w:t>
      </w:r>
      <w:r w:rsidR="00257583">
        <w:t>ook</w:t>
      </w:r>
      <w:r w:rsidR="009B7D05">
        <w:t xml:space="preserve"> </w:t>
      </w:r>
      <w:r w:rsidR="00FF6E50">
        <w:t>het leven en de lichamelijke integriteit. Wat is dan het versc</w:t>
      </w:r>
      <w:r w:rsidR="00E42E9D">
        <w:t>hil met de bestaande ‘geweldsdelicten’</w:t>
      </w:r>
      <w:r w:rsidR="00FF6E50">
        <w:t>?</w:t>
      </w:r>
      <w:r w:rsidR="004F4E8F">
        <w:t xml:space="preserve"> En als dat verschil </w:t>
      </w:r>
      <w:r w:rsidR="006A38CC">
        <w:t xml:space="preserve">gelet op de rechtsbelangen </w:t>
      </w:r>
      <w:r w:rsidR="00D26B5B">
        <w:t xml:space="preserve">niet zo groot </w:t>
      </w:r>
      <w:r w:rsidR="004F4E8F">
        <w:t>is, waarom dan een nieuwe strafbaarstelling?</w:t>
      </w:r>
    </w:p>
    <w:p w:rsidR="007A76D3" w:rsidP="00E51B17" w:rsidRDefault="006823A6" w14:paraId="1E153A1E" w14:textId="6E71A526">
      <w:pPr>
        <w:spacing w:after="0" w:line="240" w:lineRule="auto"/>
        <w:jc w:val="both"/>
      </w:pPr>
      <w:r>
        <w:t>2.</w:t>
      </w:r>
      <w:r w:rsidR="001D4B97">
        <w:t xml:space="preserve"> </w:t>
      </w:r>
      <w:r w:rsidR="007A76D3">
        <w:t>Bij de voorgestelde wettekst kunnen verschillende opmerkingen worden geplaatst.</w:t>
      </w:r>
    </w:p>
    <w:p w:rsidR="007A76D3" w:rsidP="00E51B17" w:rsidRDefault="007A76D3" w14:paraId="18D99B71" w14:textId="3A3BCCFB">
      <w:pPr>
        <w:spacing w:after="0" w:line="240" w:lineRule="auto"/>
        <w:jc w:val="both"/>
      </w:pPr>
      <w:r>
        <w:t xml:space="preserve">2.1 </w:t>
      </w:r>
      <w:r w:rsidR="006823A6">
        <w:t xml:space="preserve">Bewezen moet worden dat de geweldsinstructie is geschonden. Dat vereist dat de </w:t>
      </w:r>
      <w:proofErr w:type="spellStart"/>
      <w:r w:rsidR="006823A6">
        <w:t>gewelds</w:t>
      </w:r>
      <w:r>
        <w:t>-</w:t>
      </w:r>
      <w:r w:rsidR="006823A6">
        <w:t>instructie</w:t>
      </w:r>
      <w:proofErr w:type="spellEnd"/>
      <w:r w:rsidR="006823A6">
        <w:t xml:space="preserve"> uit duidelijke regels bestaat. Zonder kennis van de</w:t>
      </w:r>
      <w:r w:rsidR="00E42E9D">
        <w:t xml:space="preserve"> inhoud van de</w:t>
      </w:r>
      <w:r w:rsidR="006823A6">
        <w:t xml:space="preserve"> </w:t>
      </w:r>
      <w:r>
        <w:t>te wijzigen</w:t>
      </w:r>
      <w:r w:rsidR="006823A6">
        <w:t xml:space="preserve"> Ambtsinstructie kan di</w:t>
      </w:r>
      <w:r w:rsidR="00E42E9D">
        <w:t>e vraag niet worden beantwoord. Die inhoud is mij onbekend.</w:t>
      </w:r>
    </w:p>
    <w:p w:rsidR="007A76D3" w:rsidP="00E51B17" w:rsidRDefault="007A76D3" w14:paraId="6E63390F" w14:textId="7EDBA90C">
      <w:pPr>
        <w:spacing w:after="0" w:line="240" w:lineRule="auto"/>
        <w:jc w:val="both"/>
      </w:pPr>
      <w:r>
        <w:t xml:space="preserve">2.2 </w:t>
      </w:r>
      <w:r w:rsidR="006823A6">
        <w:t>Het sche</w:t>
      </w:r>
      <w:r w:rsidR="00524B3B">
        <w:t xml:space="preserve">nden van de geweldsinstructie </w:t>
      </w:r>
      <w:r w:rsidR="006823A6">
        <w:t xml:space="preserve">moet aan schuld te wijten zijn. </w:t>
      </w:r>
      <w:r>
        <w:t xml:space="preserve">Normaliter bestaat schuld </w:t>
      </w:r>
      <w:r w:rsidR="00E42E9D">
        <w:t>uit wederrechtelijkheid en</w:t>
      </w:r>
      <w:r w:rsidR="006823A6">
        <w:t xml:space="preserve"> verwijtbaarheid. </w:t>
      </w:r>
      <w:r>
        <w:t>In</w:t>
      </w:r>
      <w:r w:rsidR="006823A6">
        <w:t xml:space="preserve"> </w:t>
      </w:r>
      <w:r>
        <w:t xml:space="preserve">art. 372 Sr </w:t>
      </w:r>
      <w:r w:rsidR="006823A6">
        <w:t>bestaat schuld</w:t>
      </w:r>
      <w:r w:rsidR="001476FF">
        <w:t xml:space="preserve"> vermoedelijk</w:t>
      </w:r>
      <w:r w:rsidR="006823A6">
        <w:t xml:space="preserve"> </w:t>
      </w:r>
      <w:r w:rsidR="00ED7896">
        <w:t>alleen uit verwijtbaarheid</w:t>
      </w:r>
      <w:r w:rsidR="00524B3B">
        <w:t xml:space="preserve">; </w:t>
      </w:r>
      <w:r>
        <w:t>het onderdeel</w:t>
      </w:r>
      <w:r w:rsidR="00524B3B">
        <w:t xml:space="preserve"> schending van de geweldsinstructie </w:t>
      </w:r>
      <w:r>
        <w:t xml:space="preserve">in art. 372 Sr </w:t>
      </w:r>
      <w:r w:rsidR="00524B3B">
        <w:t>vormt de wederrechtelijkheid</w:t>
      </w:r>
      <w:r w:rsidR="00ED7896">
        <w:t xml:space="preserve">. </w:t>
      </w:r>
      <w:r w:rsidR="00524B3B">
        <w:t xml:space="preserve">In de </w:t>
      </w:r>
      <w:proofErr w:type="spellStart"/>
      <w:r w:rsidR="00524B3B">
        <w:t>MvT</w:t>
      </w:r>
      <w:proofErr w:type="spellEnd"/>
      <w:r w:rsidR="00524B3B">
        <w:t xml:space="preserve"> wordt schuld correct omschreven als ‘min of meer grove of aanmerkelijke onvoorzichtigheid’ (p. 16). </w:t>
      </w:r>
      <w:r w:rsidR="00C74056">
        <w:t>Het schenden van de geweldsinstructie moet dus aan grove schuld te wijten zijn. Merk op dat elke schending</w:t>
      </w:r>
      <w:r>
        <w:t>, hoe minimaal ook,</w:t>
      </w:r>
      <w:r w:rsidR="00C74056">
        <w:t xml:space="preserve"> die aan schuld te wijten is valt onder de </w:t>
      </w:r>
      <w:r>
        <w:t xml:space="preserve">voorgestelde </w:t>
      </w:r>
      <w:r w:rsidR="00C74056">
        <w:t>delictsomschrijving. Dat betekent dat beperking van het bereik van de strafbaar</w:t>
      </w:r>
      <w:r>
        <w:t>stelling voornamelijk gelegen zal zijn</w:t>
      </w:r>
      <w:r w:rsidR="00C74056">
        <w:t xml:space="preserve"> in de uitleg van het bestanddeel schuld. Daar ligt </w:t>
      </w:r>
      <w:r>
        <w:t>echter de</w:t>
      </w:r>
      <w:r w:rsidR="00C74056">
        <w:t xml:space="preserve"> moeilijkheid. </w:t>
      </w:r>
      <w:r w:rsidR="00ED7896">
        <w:t xml:space="preserve">Gelet op het feit dat van een opsporingsambtenaar wordt verwacht dat hij zich aan de regels houdt, </w:t>
      </w:r>
      <w:r w:rsidR="00C74056">
        <w:t xml:space="preserve">zijn ‘speciale positie’ brengt dat met zich mee, </w:t>
      </w:r>
      <w:r w:rsidR="00ED7896">
        <w:t xml:space="preserve">zal het schenden van de geweldsinstructie hem snel verweten </w:t>
      </w:r>
      <w:r>
        <w:t xml:space="preserve">kunnen </w:t>
      </w:r>
      <w:r w:rsidR="00ED7896">
        <w:t xml:space="preserve">worden. Van hem wordt </w:t>
      </w:r>
      <w:r w:rsidR="00C74056">
        <w:t xml:space="preserve">in de regel </w:t>
      </w:r>
      <w:r w:rsidR="00ED7896">
        <w:t>verwacht dat hij ‘anders kon handelen’. Slechts in uitzonderlijke omstandigheden zal dat anders zijn. Wat zijn die uitzonderlijke omstandigheden? Gebrekkige training, organ</w:t>
      </w:r>
      <w:r w:rsidR="00E42E9D">
        <w:t>isatie of leiding? Ik denk het niet.</w:t>
      </w:r>
      <w:r w:rsidR="00ED7896">
        <w:t xml:space="preserve"> </w:t>
      </w:r>
      <w:r w:rsidR="00C74056">
        <w:t xml:space="preserve">Vergissing in de toepasselijke regels? Dat </w:t>
      </w:r>
      <w:r w:rsidR="00E42E9D">
        <w:t xml:space="preserve">wordt niet snel </w:t>
      </w:r>
      <w:r w:rsidR="00C74056">
        <w:t xml:space="preserve">aangenomen; de opsporingsambtenaar moet de regels kennen. Vergissing ten aanzien van de feiten? </w:t>
      </w:r>
      <w:r w:rsidR="00E42E9D">
        <w:t>D</w:t>
      </w:r>
      <w:r w:rsidR="00C74056">
        <w:t xml:space="preserve">aar ziet de </w:t>
      </w:r>
      <w:r>
        <w:t xml:space="preserve">voorgestelde </w:t>
      </w:r>
      <w:r w:rsidR="00C74056">
        <w:t>wettekst niet op waardoor de vraag is of een opsporingsambtenaar daarop met succes een beroep kan doen</w:t>
      </w:r>
      <w:r>
        <w:t xml:space="preserve">. </w:t>
      </w:r>
      <w:r w:rsidR="00DB7F07">
        <w:t>Niet ondenkbaar is</w:t>
      </w:r>
      <w:r>
        <w:t xml:space="preserve"> </w:t>
      </w:r>
      <w:r w:rsidR="001476FF">
        <w:t>dat</w:t>
      </w:r>
      <w:r w:rsidR="00ED7896">
        <w:t xml:space="preserve"> schuld</w:t>
      </w:r>
      <w:r w:rsidR="00E42E9D">
        <w:t xml:space="preserve"> in art. 372 Sr</w:t>
      </w:r>
      <w:r w:rsidR="00ED7896">
        <w:t xml:space="preserve"> </w:t>
      </w:r>
      <w:r w:rsidR="00DB7F07">
        <w:t xml:space="preserve">gemakkelijk </w:t>
      </w:r>
      <w:r w:rsidR="00ED7896">
        <w:t>bewezen</w:t>
      </w:r>
      <w:r w:rsidR="001476FF">
        <w:t xml:space="preserve"> zal</w:t>
      </w:r>
      <w:r w:rsidR="00ED7896">
        <w:t xml:space="preserve"> k</w:t>
      </w:r>
      <w:r w:rsidR="00E42E9D">
        <w:t>unnen worden.</w:t>
      </w:r>
      <w:r w:rsidR="001476FF">
        <w:t xml:space="preserve"> </w:t>
      </w:r>
    </w:p>
    <w:p w:rsidR="007A76D3" w:rsidP="00E51B17" w:rsidRDefault="007A76D3" w14:paraId="42EBD148" w14:textId="2E86D47B">
      <w:pPr>
        <w:spacing w:after="0" w:line="240" w:lineRule="auto"/>
        <w:jc w:val="both"/>
      </w:pPr>
      <w:r>
        <w:lastRenderedPageBreak/>
        <w:t xml:space="preserve">2.3 </w:t>
      </w:r>
      <w:r w:rsidR="001476FF">
        <w:t xml:space="preserve">Strafbaarheid treedt pas in wanneer ten gevolge van het door schuld schenden van de geweldsinstructie letsel of de dood is ingetreden. Er moet een causaal verband zijn tussen het niet-naleven van de geweldsinstructie en het </w:t>
      </w:r>
      <w:r w:rsidR="00DB7F07">
        <w:t xml:space="preserve">ingetreden </w:t>
      </w:r>
      <w:r w:rsidR="001476FF">
        <w:t>gevolg. Hoe stellen we dat vast? Vergt dat geen uitgebreid onderzoek naar het geweld? Dat is volgens het wetsvoorstel niet de bedoeling, maar hoe stellen we anders het causaal verband vast?</w:t>
      </w:r>
      <w:r w:rsidR="00F10D8E">
        <w:t xml:space="preserve"> </w:t>
      </w:r>
      <w:r w:rsidR="00DB7F07">
        <w:t>De toelichting vind ik op dit punt onduidelijk.</w:t>
      </w:r>
    </w:p>
    <w:p w:rsidR="001D4B97" w:rsidP="00E51B17" w:rsidRDefault="00F10D8E" w14:paraId="7265E86C" w14:textId="70FE9CD8">
      <w:pPr>
        <w:spacing w:after="0" w:line="240" w:lineRule="auto"/>
        <w:jc w:val="both"/>
      </w:pPr>
      <w:r>
        <w:t xml:space="preserve">Kortom, de voorgestelde strafbaarstelling leidt tot veel onduidelijkheid. Is </w:t>
      </w:r>
      <w:r w:rsidR="001476FF">
        <w:t xml:space="preserve">de opsporingsambtenaar </w:t>
      </w:r>
      <w:r>
        <w:t xml:space="preserve">dan beter af dan nu? In de </w:t>
      </w:r>
      <w:proofErr w:type="spellStart"/>
      <w:r>
        <w:t>MvT</w:t>
      </w:r>
      <w:proofErr w:type="spellEnd"/>
      <w:r>
        <w:t xml:space="preserve"> wordt dat ontkend (p. 18), maar dat lijkt mij lang niet zeker.</w:t>
      </w:r>
      <w:r w:rsidR="00E42E9D">
        <w:t xml:space="preserve"> Als de minister voor uitbreiding van strafrechtelijke aansprakelijkheid is, hij wil via het strafrecht afdwingen dat opsporingsambtenaren de regels naleven, dan verdient dat een zelfstandige rechtvaardiging. Als gezegd heb ik die rechtvaardiging niet in de toelichting bij het wetsvoorstel gevonden.</w:t>
      </w:r>
    </w:p>
    <w:p w:rsidR="00384482" w:rsidP="00E51B17" w:rsidRDefault="001D4B97" w14:paraId="34D5E2D2" w14:textId="098D626E">
      <w:pPr>
        <w:spacing w:after="0" w:line="240" w:lineRule="auto"/>
        <w:jc w:val="both"/>
      </w:pPr>
      <w:r>
        <w:t>3</w:t>
      </w:r>
      <w:r w:rsidR="00EF0CFF">
        <w:t>.</w:t>
      </w:r>
      <w:r>
        <w:t xml:space="preserve"> </w:t>
      </w:r>
      <w:r w:rsidR="00EF0CFF">
        <w:t xml:space="preserve">Wat zijn de consequenties van een eventuele veroordeling? </w:t>
      </w:r>
      <w:r w:rsidR="00A01582">
        <w:t xml:space="preserve">Een </w:t>
      </w:r>
      <w:r w:rsidR="00F66AE9">
        <w:t xml:space="preserve">strafrechtelijke </w:t>
      </w:r>
      <w:r w:rsidR="00A01582">
        <w:t xml:space="preserve">veroordeling kan ambtenarenrechtelijke consequenties hebben en </w:t>
      </w:r>
      <w:r w:rsidR="00CB6B58">
        <w:t xml:space="preserve">leidt minder makkelijk tot het (opnieuw) verkrijgen van een Verklaring Omtrent het Gedrag. Opvallend is dat in de </w:t>
      </w:r>
      <w:proofErr w:type="spellStart"/>
      <w:r w:rsidR="00CB6B58">
        <w:t>MvT</w:t>
      </w:r>
      <w:proofErr w:type="spellEnd"/>
      <w:r w:rsidR="00FC467F">
        <w:t xml:space="preserve"> hierover </w:t>
      </w:r>
      <w:r w:rsidR="00D40D3B">
        <w:t>niets wordt opgemerkt</w:t>
      </w:r>
      <w:r w:rsidR="00F43A0B">
        <w:t xml:space="preserve">. De Kamer roert het punt ook niet aan. </w:t>
      </w:r>
      <w:r w:rsidR="009C79B2">
        <w:t>Waarom niet?</w:t>
      </w:r>
    </w:p>
    <w:p w:rsidR="00500955" w:rsidP="00E51B17" w:rsidRDefault="00500955" w14:paraId="637CBF85" w14:textId="6FAFC38D">
      <w:pPr>
        <w:spacing w:after="0" w:line="240" w:lineRule="auto"/>
        <w:jc w:val="both"/>
      </w:pPr>
    </w:p>
    <w:p w:rsidR="003E541B" w:rsidP="00E51B17" w:rsidRDefault="00EF0CFF" w14:paraId="3B5118AE" w14:textId="627B7B17">
      <w:pPr>
        <w:spacing w:after="0" w:line="240" w:lineRule="auto"/>
        <w:jc w:val="both"/>
      </w:pPr>
      <w:r>
        <w:t xml:space="preserve">4) </w:t>
      </w:r>
      <w:r w:rsidR="005A02EF">
        <w:t xml:space="preserve">Tot slot nog enkele </w:t>
      </w:r>
      <w:r w:rsidR="00C03415">
        <w:t>vragen en opmerkingen</w:t>
      </w:r>
      <w:r w:rsidR="006823A6">
        <w:t xml:space="preserve"> bij het voorgestelde</w:t>
      </w:r>
      <w:r w:rsidR="005A02EF">
        <w:t xml:space="preserve"> ‘feitenonderzoek’.</w:t>
      </w:r>
      <w:r w:rsidR="001D4B97">
        <w:t xml:space="preserve"> </w:t>
      </w:r>
    </w:p>
    <w:p w:rsidR="00F10D8E" w:rsidP="00E51B17" w:rsidRDefault="00F10D8E" w14:paraId="77049818" w14:textId="186B74C8">
      <w:pPr>
        <w:spacing w:after="0" w:line="240" w:lineRule="auto"/>
        <w:jc w:val="both"/>
      </w:pPr>
      <w:r>
        <w:t xml:space="preserve">4.1 De rechten van de verdachte komen toe aan de opsporingsambtenaar (nieuw art. </w:t>
      </w:r>
      <w:r w:rsidR="00DB7F07">
        <w:t xml:space="preserve">27 lid 3 Sv). </w:t>
      </w:r>
      <w:r w:rsidR="00E42E9D">
        <w:t xml:space="preserve">Hij is </w:t>
      </w:r>
      <w:r>
        <w:t>geen v</w:t>
      </w:r>
      <w:r w:rsidR="00E42E9D">
        <w:t>erdachte, maar feitelijk komt daa</w:t>
      </w:r>
      <w:r>
        <w:t xml:space="preserve">r wel op neer. Waarom dan niet gewoon het beestje bij de naam noemen? Mij bekruipt het gevoel dat de opsporingsambtenaar geen verdachte wil worden genoemd, omdat een verdachte ‘het gedaan heeft’. Dat is niet zo, er is slechts een </w:t>
      </w:r>
      <w:r w:rsidR="00F11109">
        <w:t xml:space="preserve">individualiseerbaar, objectiveerbaar en concretiseerbaar (oftewel: </w:t>
      </w:r>
      <w:r>
        <w:t>redelijk</w:t>
      </w:r>
      <w:r w:rsidR="00F11109">
        <w:t>)</w:t>
      </w:r>
      <w:r>
        <w:t xml:space="preserve"> vermoeden</w:t>
      </w:r>
      <w:r w:rsidR="00F11109">
        <w:t xml:space="preserve"> (art. 27 lid 1 Sv)</w:t>
      </w:r>
      <w:r>
        <w:t>. Dat is meer dan een subtiel verschil, hetgeen de politie als geen ander zou moeten weten.</w:t>
      </w:r>
    </w:p>
    <w:p w:rsidR="00294EED" w:rsidP="00E51B17" w:rsidRDefault="00E42E9D" w14:paraId="37C8B939" w14:textId="7173528D">
      <w:pPr>
        <w:spacing w:after="0" w:line="240" w:lineRule="auto"/>
        <w:jc w:val="both"/>
      </w:pPr>
      <w:r>
        <w:t>4.2 Strafrechtelijk onderzoek</w:t>
      </w:r>
      <w:r w:rsidR="00F11109">
        <w:t xml:space="preserve"> is feitenonderzoek, </w:t>
      </w:r>
      <w:r>
        <w:t xml:space="preserve">zodat </w:t>
      </w:r>
      <w:r w:rsidR="00F11109">
        <w:t>de naam</w:t>
      </w:r>
      <w:r w:rsidR="007B6DD8">
        <w:t xml:space="preserve"> </w:t>
      </w:r>
      <w:r w:rsidR="00DB7F07">
        <w:t xml:space="preserve">feitenonderzoek </w:t>
      </w:r>
      <w:r w:rsidR="007B6DD8">
        <w:t xml:space="preserve">(art. 511a lid 1 Sv) </w:t>
      </w:r>
      <w:r>
        <w:t xml:space="preserve"> </w:t>
      </w:r>
      <w:r w:rsidR="00294EED">
        <w:t xml:space="preserve"> </w:t>
      </w:r>
      <w:r w:rsidR="00F11109">
        <w:t xml:space="preserve">ongelukkig </w:t>
      </w:r>
      <w:r>
        <w:t xml:space="preserve">is </w:t>
      </w:r>
      <w:r w:rsidR="00F11109">
        <w:t xml:space="preserve">gekozen. </w:t>
      </w:r>
      <w:r w:rsidR="007B6DD8">
        <w:t>Het voorgestelde feitenonderzoek zou</w:t>
      </w:r>
      <w:r w:rsidR="00294EED">
        <w:t xml:space="preserve"> geen strafrechtelijk </w:t>
      </w:r>
      <w:r w:rsidR="00F11109">
        <w:t>onderzoek zijn</w:t>
      </w:r>
      <w:r w:rsidR="00294EED">
        <w:t xml:space="preserve"> (</w:t>
      </w:r>
      <w:proofErr w:type="spellStart"/>
      <w:r w:rsidR="00294EED">
        <w:t>MvT</w:t>
      </w:r>
      <w:proofErr w:type="spellEnd"/>
      <w:r w:rsidR="00294EED">
        <w:t>, p. 10)</w:t>
      </w:r>
      <w:r w:rsidR="00F11109">
        <w:t xml:space="preserve">, maar </w:t>
      </w:r>
      <w:r>
        <w:t xml:space="preserve">het voorgestelde </w:t>
      </w:r>
      <w:r w:rsidR="00F11109">
        <w:t>art. 511ab lid 1 Sv bepaalt dat de officier van justitie op basis van het feitenonderzoek beslist welke vervolgbeslissing wordt</w:t>
      </w:r>
      <w:r>
        <w:t xml:space="preserve"> genomen. Daarmee lijkt het</w:t>
      </w:r>
      <w:r w:rsidR="00F11109">
        <w:t xml:space="preserve"> sterk op opsporing in de zin van art. 132a Sv. </w:t>
      </w:r>
      <w:r w:rsidR="00294EED">
        <w:t xml:space="preserve">Opsporing is wel strafrechtelijk onderzoek. Het verschil met opsporing is dat het feitenonderzoek gericht is op de beoordeling of het geweld is gebruikt in overeenstemming met de geweldsinstructie. Het komt mij voor dat het onderzoek dus (mede) is gericht op de </w:t>
      </w:r>
      <w:r w:rsidR="00DB7F07">
        <w:t>vraag</w:t>
      </w:r>
      <w:r w:rsidR="00294EED">
        <w:t xml:space="preserve"> of </w:t>
      </w:r>
      <w:r w:rsidR="00DB7F07">
        <w:t xml:space="preserve">het nieuwe </w:t>
      </w:r>
      <w:r w:rsidR="00294EED">
        <w:t xml:space="preserve">art. 372 Sr is overtreden. Dat vormt een extra reden te denken dat we hier toch met strafrechtelijk onderzoek te maken hebben. Tegelijkertijd: als het geen strafrechtelijk onderzoek is, waarom wordt het feitenonderzoek dan geregeld in het Wetboek van Strafvordering en niet </w:t>
      </w:r>
      <w:r w:rsidR="00DB7F07">
        <w:t xml:space="preserve">in een andere wet, </w:t>
      </w:r>
      <w:r w:rsidR="00294EED">
        <w:t>bijvoorbeeld de Politiewet?</w:t>
      </w:r>
    </w:p>
    <w:p w:rsidR="00F11109" w:rsidP="00E51B17" w:rsidRDefault="00F11109" w14:paraId="24A3B895" w14:textId="16E74926">
      <w:pPr>
        <w:spacing w:after="0" w:line="240" w:lineRule="auto"/>
        <w:jc w:val="both"/>
      </w:pPr>
      <w:r>
        <w:t xml:space="preserve">4.3 </w:t>
      </w:r>
      <w:r w:rsidR="000865C5">
        <w:t>Ten aanzien van de inhoud van het feitenonderzoek valt op dat tamelijk indringende bevoegdheden kunnen worden gebruikt. Zijn alle bevoegdheden wel nodig?</w:t>
      </w:r>
      <w:r w:rsidR="00C82976">
        <w:t xml:space="preserve"> En wat is de grondslag voor het gebruik van die bevoegdheden? Zou de enkele omstandigheid dat geweld is gebruik</w:t>
      </w:r>
      <w:r w:rsidR="0060637B">
        <w:t>t (zie art. 511a lid 1 Sv)</w:t>
      </w:r>
      <w:r w:rsidR="00C82976">
        <w:t xml:space="preserve"> voldoende mogen zijn voor het doorzoeken van een woning (art. 97 Sv)?</w:t>
      </w:r>
      <w:r w:rsidR="000865C5">
        <w:t xml:space="preserve"> </w:t>
      </w:r>
      <w:r w:rsidR="00E51B17">
        <w:t xml:space="preserve">Onduidelijkheid creëren lid 1 en 2 van art. 511a (in combinatie met art. 511ab lid 3, onder a) Sv waaruit kan worden afgeleid dat </w:t>
      </w:r>
      <w:r w:rsidR="000865C5">
        <w:t>het feitenonderzoek naa</w:t>
      </w:r>
      <w:r w:rsidR="00E61563">
        <w:t xml:space="preserve">r alle geweld kan plaatsvinden, ook geweld tegen goederen en geweld tegen personen dat geen letsel </w:t>
      </w:r>
      <w:r w:rsidR="00C82976">
        <w:t xml:space="preserve">of de dood </w:t>
      </w:r>
      <w:r w:rsidR="00E61563">
        <w:t>tot gevolg heeft gehad</w:t>
      </w:r>
      <w:r w:rsidR="00C82976">
        <w:t>. Klopt dat</w:t>
      </w:r>
      <w:r w:rsidR="006A37EF">
        <w:t>?</w:t>
      </w:r>
      <w:r w:rsidR="00E61563">
        <w:t xml:space="preserve"> </w:t>
      </w:r>
      <w:r w:rsidR="006A37EF">
        <w:t xml:space="preserve">In dat geval heeft het feitenonderzoek een ruimer bereik dan de huidige Aanwijzing handelwijze geweldsaanwending (politie)ambtenaar. Is dat de bedoeling? </w:t>
      </w:r>
      <w:r w:rsidR="00C82976">
        <w:t xml:space="preserve">Betekent dit dat al het onderzoek naar geweld voortaan </w:t>
      </w:r>
      <w:r w:rsidR="00E51B17">
        <w:t xml:space="preserve">altijd </w:t>
      </w:r>
      <w:r w:rsidR="0060637B">
        <w:t xml:space="preserve">een feitenonderzoek betreft? Zo nee, wanneer dan niet? En op grond waarvan? </w:t>
      </w:r>
      <w:r w:rsidR="00E51B17">
        <w:t xml:space="preserve">Onduidelijk is ook welke bevoegdheden wel mogen worden gebruikt wanneer het niet gaat om geweld met lichamelijk letsel of de dood ten gevolge. De wet bepaalt alleen welke bevoegdheden niet mogen worden gebruikt. </w:t>
      </w:r>
      <w:r w:rsidR="009658D4">
        <w:t>On</w:t>
      </w:r>
      <w:r w:rsidR="00E51B17">
        <w:t>helder</w:t>
      </w:r>
      <w:r w:rsidR="009658D4">
        <w:t xml:space="preserve"> is ook wie het feitenonderzoek </w:t>
      </w:r>
      <w:r w:rsidR="00E51B17">
        <w:t xml:space="preserve">daadwerkelijk </w:t>
      </w:r>
      <w:r w:rsidR="009658D4">
        <w:t xml:space="preserve">uitvoert. </w:t>
      </w:r>
      <w:r w:rsidR="00C82976">
        <w:t>In het geval het</w:t>
      </w:r>
      <w:r w:rsidR="009658D4">
        <w:t xml:space="preserve"> geweld lichamelijk letsel of de dood ten gevolge heeft, zal dat de rijksrecherche zijn (</w:t>
      </w:r>
      <w:proofErr w:type="spellStart"/>
      <w:r w:rsidR="009658D4">
        <w:t>MvT</w:t>
      </w:r>
      <w:proofErr w:type="spellEnd"/>
      <w:r w:rsidR="009658D4">
        <w:t>, p. 23). Wie zijn dat ten aanzien van andere gevallen van geweld? Het voorstel verbiedt niet dat dat</w:t>
      </w:r>
      <w:r w:rsidR="0060637B">
        <w:t xml:space="preserve"> de</w:t>
      </w:r>
      <w:r w:rsidR="009658D4">
        <w:t xml:space="preserve"> </w:t>
      </w:r>
      <w:r w:rsidR="0060637B">
        <w:t>naas</w:t>
      </w:r>
      <w:r w:rsidR="009658D4">
        <w:t xml:space="preserve">te collega’s zijn van de ambtenaar ten aanzien van wie het feitenonderzoek wordt verricht. Dat </w:t>
      </w:r>
      <w:r w:rsidR="00C03415">
        <w:t>zal neem ik aan</w:t>
      </w:r>
      <w:r w:rsidR="00C82976">
        <w:t xml:space="preserve"> </w:t>
      </w:r>
      <w:r w:rsidR="009658D4">
        <w:t xml:space="preserve">niet de bedoeling zijn. Het ligt voor de hand dat nadere regels worden geformuleerd wie het feitenonderzoek verricht (vgl. art. 511a lid 4 Sv); hierover wordt in de </w:t>
      </w:r>
      <w:r w:rsidR="009658D4">
        <w:lastRenderedPageBreak/>
        <w:t xml:space="preserve">parlementaire stukken als ik het goed zie </w:t>
      </w:r>
      <w:r w:rsidR="0060637B">
        <w:t xml:space="preserve">echter </w:t>
      </w:r>
      <w:r w:rsidR="009658D4">
        <w:t>niets opgemerkt.</w:t>
      </w:r>
      <w:r w:rsidR="00E51B17">
        <w:t xml:space="preserve"> Zou de Kamer geen kennis moeten kunnen nemen van de nadere regels?</w:t>
      </w:r>
    </w:p>
    <w:p w:rsidR="00F10D8E" w:rsidP="00E51B17" w:rsidRDefault="00F10D8E" w14:paraId="6210654D" w14:textId="77777777">
      <w:pPr>
        <w:spacing w:after="0" w:line="240" w:lineRule="auto"/>
        <w:jc w:val="both"/>
      </w:pPr>
    </w:p>
    <w:p w:rsidR="00E51B17" w:rsidP="00E51B17" w:rsidRDefault="00E51B17" w14:paraId="0D2A7815" w14:textId="53E9A3D6">
      <w:pPr>
        <w:spacing w:after="0" w:line="240" w:lineRule="auto"/>
        <w:jc w:val="both"/>
      </w:pPr>
      <w:r>
        <w:t>Ik ben gaarne bereid</w:t>
      </w:r>
      <w:r w:rsidR="003E5BB4">
        <w:t xml:space="preserve"> over deze en andere vragen </w:t>
      </w:r>
      <w:r w:rsidR="00C850C5">
        <w:t>betreffende</w:t>
      </w:r>
      <w:bookmarkStart w:name="_GoBack" w:id="0"/>
      <w:bookmarkEnd w:id="0"/>
      <w:r>
        <w:t xml:space="preserve"> het wetsvoorstel met u van gedachte</w:t>
      </w:r>
      <w:r w:rsidR="003E5BB4">
        <w:t>n</w:t>
      </w:r>
      <w:r>
        <w:t xml:space="preserve"> te wisselen.</w:t>
      </w:r>
    </w:p>
    <w:p w:rsidR="00E51B17" w:rsidP="00E51B17" w:rsidRDefault="00E51B17" w14:paraId="314D706E" w14:textId="77777777">
      <w:pPr>
        <w:spacing w:after="0" w:line="240" w:lineRule="auto"/>
        <w:jc w:val="both"/>
      </w:pPr>
    </w:p>
    <w:p w:rsidR="00C6579A" w:rsidP="00E51B17" w:rsidRDefault="00E51B17" w14:paraId="456E7BBC" w14:textId="132E468A">
      <w:pPr>
        <w:spacing w:after="0" w:line="240" w:lineRule="auto"/>
        <w:jc w:val="both"/>
      </w:pPr>
      <w:r>
        <w:t>Met vriendelijke groet,</w:t>
      </w:r>
    </w:p>
    <w:p w:rsidR="00E51B17" w:rsidP="00E51B17" w:rsidRDefault="00E51B17" w14:paraId="0FA39F98" w14:textId="77777777">
      <w:pPr>
        <w:spacing w:after="0" w:line="240" w:lineRule="auto"/>
        <w:jc w:val="both"/>
      </w:pPr>
    </w:p>
    <w:p w:rsidR="00E51B17" w:rsidP="00E51B17" w:rsidRDefault="00E51B17" w14:paraId="7154D813" w14:textId="5EF236BA">
      <w:pPr>
        <w:spacing w:after="0" w:line="240" w:lineRule="auto"/>
        <w:jc w:val="both"/>
      </w:pPr>
      <w:r>
        <w:t>Jeroen ten Voorde</w:t>
      </w:r>
    </w:p>
    <w:sectPr w:rsidR="00E51B1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3DD"/>
    <w:multiLevelType w:val="hybridMultilevel"/>
    <w:tmpl w:val="AE2C74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321357B"/>
    <w:multiLevelType w:val="hybridMultilevel"/>
    <w:tmpl w:val="F5267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80676A7"/>
    <w:multiLevelType w:val="hybridMultilevel"/>
    <w:tmpl w:val="25D024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FE565C3"/>
    <w:multiLevelType w:val="hybridMultilevel"/>
    <w:tmpl w:val="A8CAE52A"/>
    <w:lvl w:ilvl="0" w:tplc="C00E7F96">
      <w:start w:val="1"/>
      <w:numFmt w:val="lowerRoman"/>
      <w:lvlText w:val="%1."/>
      <w:lvlJc w:val="left"/>
      <w:pPr>
        <w:ind w:left="1440" w:hanging="720"/>
      </w:pPr>
      <w:rPr>
        <w:rFonts w:hint="default"/>
      </w:rPr>
    </w:lvl>
    <w:lvl w:ilvl="1" w:tplc="0413001B">
      <w:start w:val="1"/>
      <w:numFmt w:val="lowerRoman"/>
      <w:lvlText w:val="%2."/>
      <w:lvlJc w:val="righ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785D48D1"/>
    <w:multiLevelType w:val="hybridMultilevel"/>
    <w:tmpl w:val="A3C2E1F4"/>
    <w:lvl w:ilvl="0" w:tplc="0413000F">
      <w:start w:val="1"/>
      <w:numFmt w:val="decimal"/>
      <w:lvlText w:val="%1."/>
      <w:lvlJc w:val="left"/>
      <w:pPr>
        <w:ind w:left="720" w:hanging="36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AE"/>
    <w:rsid w:val="00000B30"/>
    <w:rsid w:val="00001454"/>
    <w:rsid w:val="00010C5A"/>
    <w:rsid w:val="000222A7"/>
    <w:rsid w:val="000233CC"/>
    <w:rsid w:val="00032589"/>
    <w:rsid w:val="000613DF"/>
    <w:rsid w:val="00062535"/>
    <w:rsid w:val="000626EE"/>
    <w:rsid w:val="000632CC"/>
    <w:rsid w:val="00064C91"/>
    <w:rsid w:val="00070AD7"/>
    <w:rsid w:val="000721E2"/>
    <w:rsid w:val="000862C4"/>
    <w:rsid w:val="000865C5"/>
    <w:rsid w:val="000872A0"/>
    <w:rsid w:val="000963EF"/>
    <w:rsid w:val="000A373C"/>
    <w:rsid w:val="000B362F"/>
    <w:rsid w:val="000B46F1"/>
    <w:rsid w:val="000B5A06"/>
    <w:rsid w:val="000C2B6F"/>
    <w:rsid w:val="000E0521"/>
    <w:rsid w:val="000F5A0C"/>
    <w:rsid w:val="000F7541"/>
    <w:rsid w:val="0010222F"/>
    <w:rsid w:val="00114F23"/>
    <w:rsid w:val="001177A3"/>
    <w:rsid w:val="0012536F"/>
    <w:rsid w:val="00131BD3"/>
    <w:rsid w:val="001476FF"/>
    <w:rsid w:val="00151917"/>
    <w:rsid w:val="001529D6"/>
    <w:rsid w:val="00164336"/>
    <w:rsid w:val="001706D9"/>
    <w:rsid w:val="00180AD3"/>
    <w:rsid w:val="0018527F"/>
    <w:rsid w:val="00185AA3"/>
    <w:rsid w:val="00190374"/>
    <w:rsid w:val="001A1C43"/>
    <w:rsid w:val="001C3504"/>
    <w:rsid w:val="001D050E"/>
    <w:rsid w:val="001D1365"/>
    <w:rsid w:val="001D4B97"/>
    <w:rsid w:val="001D54F4"/>
    <w:rsid w:val="001D7927"/>
    <w:rsid w:val="001E0AF5"/>
    <w:rsid w:val="001E474E"/>
    <w:rsid w:val="001F1128"/>
    <w:rsid w:val="0020387A"/>
    <w:rsid w:val="002123CE"/>
    <w:rsid w:val="0021247A"/>
    <w:rsid w:val="00233994"/>
    <w:rsid w:val="00236069"/>
    <w:rsid w:val="00241406"/>
    <w:rsid w:val="00245022"/>
    <w:rsid w:val="00245B96"/>
    <w:rsid w:val="002467B3"/>
    <w:rsid w:val="00251BDA"/>
    <w:rsid w:val="002521D8"/>
    <w:rsid w:val="002541B6"/>
    <w:rsid w:val="00257583"/>
    <w:rsid w:val="00261467"/>
    <w:rsid w:val="00261777"/>
    <w:rsid w:val="0026345D"/>
    <w:rsid w:val="002861B7"/>
    <w:rsid w:val="00286A3C"/>
    <w:rsid w:val="00291014"/>
    <w:rsid w:val="00294EED"/>
    <w:rsid w:val="002970A4"/>
    <w:rsid w:val="00297D95"/>
    <w:rsid w:val="002A30F2"/>
    <w:rsid w:val="002A349D"/>
    <w:rsid w:val="002A386B"/>
    <w:rsid w:val="002A4CE4"/>
    <w:rsid w:val="002B4EAF"/>
    <w:rsid w:val="002D0F2F"/>
    <w:rsid w:val="002D4E8E"/>
    <w:rsid w:val="002F22C2"/>
    <w:rsid w:val="00301D1F"/>
    <w:rsid w:val="00305231"/>
    <w:rsid w:val="003119F0"/>
    <w:rsid w:val="00313F01"/>
    <w:rsid w:val="0031641F"/>
    <w:rsid w:val="00325507"/>
    <w:rsid w:val="00332570"/>
    <w:rsid w:val="00335DDE"/>
    <w:rsid w:val="00350456"/>
    <w:rsid w:val="00366EF8"/>
    <w:rsid w:val="00371919"/>
    <w:rsid w:val="00384482"/>
    <w:rsid w:val="00384EDF"/>
    <w:rsid w:val="00391B16"/>
    <w:rsid w:val="003C6913"/>
    <w:rsid w:val="003E541B"/>
    <w:rsid w:val="003E5BB4"/>
    <w:rsid w:val="003E7545"/>
    <w:rsid w:val="003F06F0"/>
    <w:rsid w:val="00411E34"/>
    <w:rsid w:val="00414007"/>
    <w:rsid w:val="004234EF"/>
    <w:rsid w:val="0043003D"/>
    <w:rsid w:val="00430B24"/>
    <w:rsid w:val="00440E55"/>
    <w:rsid w:val="00441F53"/>
    <w:rsid w:val="004427FF"/>
    <w:rsid w:val="0044335C"/>
    <w:rsid w:val="00446D86"/>
    <w:rsid w:val="004663CB"/>
    <w:rsid w:val="0047707B"/>
    <w:rsid w:val="0048126C"/>
    <w:rsid w:val="00484195"/>
    <w:rsid w:val="004873EE"/>
    <w:rsid w:val="004915AE"/>
    <w:rsid w:val="004919F5"/>
    <w:rsid w:val="00494AC9"/>
    <w:rsid w:val="004B4189"/>
    <w:rsid w:val="004B41C6"/>
    <w:rsid w:val="004B448A"/>
    <w:rsid w:val="004B5FF2"/>
    <w:rsid w:val="004B6721"/>
    <w:rsid w:val="004B70AA"/>
    <w:rsid w:val="004C3DA5"/>
    <w:rsid w:val="004C5E68"/>
    <w:rsid w:val="004C6010"/>
    <w:rsid w:val="004D1EC0"/>
    <w:rsid w:val="004D2769"/>
    <w:rsid w:val="004D6802"/>
    <w:rsid w:val="004E2DBD"/>
    <w:rsid w:val="004E6275"/>
    <w:rsid w:val="004F4E8F"/>
    <w:rsid w:val="00500955"/>
    <w:rsid w:val="0050158F"/>
    <w:rsid w:val="00504418"/>
    <w:rsid w:val="00524B3B"/>
    <w:rsid w:val="005266FB"/>
    <w:rsid w:val="00531F9F"/>
    <w:rsid w:val="005368A2"/>
    <w:rsid w:val="00546298"/>
    <w:rsid w:val="00546F5C"/>
    <w:rsid w:val="005505C7"/>
    <w:rsid w:val="0056135D"/>
    <w:rsid w:val="00562007"/>
    <w:rsid w:val="00574D83"/>
    <w:rsid w:val="00576E62"/>
    <w:rsid w:val="00582A18"/>
    <w:rsid w:val="00584DBE"/>
    <w:rsid w:val="00590E75"/>
    <w:rsid w:val="00592BBC"/>
    <w:rsid w:val="005A02EF"/>
    <w:rsid w:val="005A5E58"/>
    <w:rsid w:val="005C0277"/>
    <w:rsid w:val="005C1772"/>
    <w:rsid w:val="005C3ABD"/>
    <w:rsid w:val="005C519E"/>
    <w:rsid w:val="005C6B76"/>
    <w:rsid w:val="005E232E"/>
    <w:rsid w:val="005E3283"/>
    <w:rsid w:val="005E3E6F"/>
    <w:rsid w:val="005E436C"/>
    <w:rsid w:val="005F1326"/>
    <w:rsid w:val="005F33C7"/>
    <w:rsid w:val="00605695"/>
    <w:rsid w:val="0060637B"/>
    <w:rsid w:val="00611D01"/>
    <w:rsid w:val="006301AB"/>
    <w:rsid w:val="006350B4"/>
    <w:rsid w:val="0064297D"/>
    <w:rsid w:val="00644914"/>
    <w:rsid w:val="0064503B"/>
    <w:rsid w:val="00645C85"/>
    <w:rsid w:val="0064631E"/>
    <w:rsid w:val="006511C5"/>
    <w:rsid w:val="006547D4"/>
    <w:rsid w:val="00665DA3"/>
    <w:rsid w:val="006823A6"/>
    <w:rsid w:val="00692110"/>
    <w:rsid w:val="00694B50"/>
    <w:rsid w:val="006A02D5"/>
    <w:rsid w:val="006A37EF"/>
    <w:rsid w:val="006A38CC"/>
    <w:rsid w:val="006B1F76"/>
    <w:rsid w:val="006B6257"/>
    <w:rsid w:val="006B7456"/>
    <w:rsid w:val="006C10F7"/>
    <w:rsid w:val="006E3C7A"/>
    <w:rsid w:val="006F2291"/>
    <w:rsid w:val="006F5C8B"/>
    <w:rsid w:val="007034AE"/>
    <w:rsid w:val="00706E5E"/>
    <w:rsid w:val="00714B11"/>
    <w:rsid w:val="00714D33"/>
    <w:rsid w:val="00714DD7"/>
    <w:rsid w:val="00716B42"/>
    <w:rsid w:val="00721A78"/>
    <w:rsid w:val="0072203A"/>
    <w:rsid w:val="00725506"/>
    <w:rsid w:val="00732C30"/>
    <w:rsid w:val="007363F6"/>
    <w:rsid w:val="007411CA"/>
    <w:rsid w:val="00741B97"/>
    <w:rsid w:val="00746E8E"/>
    <w:rsid w:val="007501D3"/>
    <w:rsid w:val="00755EA3"/>
    <w:rsid w:val="00772A71"/>
    <w:rsid w:val="00772D84"/>
    <w:rsid w:val="00776431"/>
    <w:rsid w:val="007770D0"/>
    <w:rsid w:val="007827B4"/>
    <w:rsid w:val="00787EDF"/>
    <w:rsid w:val="007934A5"/>
    <w:rsid w:val="007A76D3"/>
    <w:rsid w:val="007B6116"/>
    <w:rsid w:val="007B6DD8"/>
    <w:rsid w:val="007C34E2"/>
    <w:rsid w:val="007F6627"/>
    <w:rsid w:val="007F7F46"/>
    <w:rsid w:val="00802F1C"/>
    <w:rsid w:val="008064B0"/>
    <w:rsid w:val="00812132"/>
    <w:rsid w:val="0082287D"/>
    <w:rsid w:val="00824C51"/>
    <w:rsid w:val="008266DC"/>
    <w:rsid w:val="00836E0A"/>
    <w:rsid w:val="0084137D"/>
    <w:rsid w:val="00842FFF"/>
    <w:rsid w:val="00861318"/>
    <w:rsid w:val="00864E9A"/>
    <w:rsid w:val="00866957"/>
    <w:rsid w:val="00875957"/>
    <w:rsid w:val="00880A09"/>
    <w:rsid w:val="00890F16"/>
    <w:rsid w:val="008A55F4"/>
    <w:rsid w:val="008A7007"/>
    <w:rsid w:val="008B3E2F"/>
    <w:rsid w:val="008B7ABC"/>
    <w:rsid w:val="008C10D7"/>
    <w:rsid w:val="008C349A"/>
    <w:rsid w:val="008C43DA"/>
    <w:rsid w:val="008D298E"/>
    <w:rsid w:val="008D5E0E"/>
    <w:rsid w:val="008E11D4"/>
    <w:rsid w:val="008F2942"/>
    <w:rsid w:val="008F3AFD"/>
    <w:rsid w:val="00911691"/>
    <w:rsid w:val="0091440E"/>
    <w:rsid w:val="0092077C"/>
    <w:rsid w:val="00923CF2"/>
    <w:rsid w:val="009322C5"/>
    <w:rsid w:val="0093322F"/>
    <w:rsid w:val="0094001C"/>
    <w:rsid w:val="0094048F"/>
    <w:rsid w:val="00952009"/>
    <w:rsid w:val="009558B1"/>
    <w:rsid w:val="00956777"/>
    <w:rsid w:val="00962A56"/>
    <w:rsid w:val="009658D4"/>
    <w:rsid w:val="00982AC3"/>
    <w:rsid w:val="0098320F"/>
    <w:rsid w:val="00997100"/>
    <w:rsid w:val="009A2290"/>
    <w:rsid w:val="009A5BA5"/>
    <w:rsid w:val="009B12DE"/>
    <w:rsid w:val="009B7D05"/>
    <w:rsid w:val="009C0FD6"/>
    <w:rsid w:val="009C2C7A"/>
    <w:rsid w:val="009C54B6"/>
    <w:rsid w:val="009C582C"/>
    <w:rsid w:val="009C79B2"/>
    <w:rsid w:val="009D5327"/>
    <w:rsid w:val="009D67F6"/>
    <w:rsid w:val="009E1433"/>
    <w:rsid w:val="009E3D90"/>
    <w:rsid w:val="009F0D6F"/>
    <w:rsid w:val="009F239D"/>
    <w:rsid w:val="009F2E31"/>
    <w:rsid w:val="00A01582"/>
    <w:rsid w:val="00A03A39"/>
    <w:rsid w:val="00A10055"/>
    <w:rsid w:val="00A13CA5"/>
    <w:rsid w:val="00A1644C"/>
    <w:rsid w:val="00A25C75"/>
    <w:rsid w:val="00A36033"/>
    <w:rsid w:val="00A42FFB"/>
    <w:rsid w:val="00A43202"/>
    <w:rsid w:val="00A44E10"/>
    <w:rsid w:val="00A4777C"/>
    <w:rsid w:val="00A51654"/>
    <w:rsid w:val="00A52044"/>
    <w:rsid w:val="00A549CF"/>
    <w:rsid w:val="00A611BD"/>
    <w:rsid w:val="00A65CB8"/>
    <w:rsid w:val="00A81FF6"/>
    <w:rsid w:val="00A83718"/>
    <w:rsid w:val="00A91502"/>
    <w:rsid w:val="00AA12AA"/>
    <w:rsid w:val="00AA1A57"/>
    <w:rsid w:val="00AA3217"/>
    <w:rsid w:val="00AC432A"/>
    <w:rsid w:val="00AC4CCF"/>
    <w:rsid w:val="00AC7CA4"/>
    <w:rsid w:val="00AC7D96"/>
    <w:rsid w:val="00AE052C"/>
    <w:rsid w:val="00AE4159"/>
    <w:rsid w:val="00AF5635"/>
    <w:rsid w:val="00AF6367"/>
    <w:rsid w:val="00B022B7"/>
    <w:rsid w:val="00B029DC"/>
    <w:rsid w:val="00B05581"/>
    <w:rsid w:val="00B17EBC"/>
    <w:rsid w:val="00B2001B"/>
    <w:rsid w:val="00B23BF4"/>
    <w:rsid w:val="00B34886"/>
    <w:rsid w:val="00B41FB2"/>
    <w:rsid w:val="00B5113E"/>
    <w:rsid w:val="00B702DA"/>
    <w:rsid w:val="00B71250"/>
    <w:rsid w:val="00B771B1"/>
    <w:rsid w:val="00B819A2"/>
    <w:rsid w:val="00B83750"/>
    <w:rsid w:val="00B853D3"/>
    <w:rsid w:val="00B87AC6"/>
    <w:rsid w:val="00B91012"/>
    <w:rsid w:val="00BA45D8"/>
    <w:rsid w:val="00BA4FC1"/>
    <w:rsid w:val="00BB1156"/>
    <w:rsid w:val="00BB276A"/>
    <w:rsid w:val="00BB487F"/>
    <w:rsid w:val="00BB4BDC"/>
    <w:rsid w:val="00BB5BF8"/>
    <w:rsid w:val="00BC0C4D"/>
    <w:rsid w:val="00BE01D1"/>
    <w:rsid w:val="00BE6389"/>
    <w:rsid w:val="00BF3772"/>
    <w:rsid w:val="00BF48CB"/>
    <w:rsid w:val="00BF672E"/>
    <w:rsid w:val="00C03415"/>
    <w:rsid w:val="00C132A0"/>
    <w:rsid w:val="00C142A8"/>
    <w:rsid w:val="00C36F7B"/>
    <w:rsid w:val="00C43895"/>
    <w:rsid w:val="00C478C5"/>
    <w:rsid w:val="00C57FB0"/>
    <w:rsid w:val="00C61712"/>
    <w:rsid w:val="00C632E8"/>
    <w:rsid w:val="00C6457F"/>
    <w:rsid w:val="00C652D4"/>
    <w:rsid w:val="00C6579A"/>
    <w:rsid w:val="00C706AC"/>
    <w:rsid w:val="00C73DC3"/>
    <w:rsid w:val="00C74056"/>
    <w:rsid w:val="00C8115E"/>
    <w:rsid w:val="00C81F30"/>
    <w:rsid w:val="00C82976"/>
    <w:rsid w:val="00C84177"/>
    <w:rsid w:val="00C850C5"/>
    <w:rsid w:val="00C92FE1"/>
    <w:rsid w:val="00C93DF6"/>
    <w:rsid w:val="00C945A0"/>
    <w:rsid w:val="00CB2C65"/>
    <w:rsid w:val="00CB4EF5"/>
    <w:rsid w:val="00CB6B58"/>
    <w:rsid w:val="00CD48B7"/>
    <w:rsid w:val="00CE4FD3"/>
    <w:rsid w:val="00CE61CD"/>
    <w:rsid w:val="00CE70D8"/>
    <w:rsid w:val="00CF14B9"/>
    <w:rsid w:val="00CF586A"/>
    <w:rsid w:val="00D02BBF"/>
    <w:rsid w:val="00D048CF"/>
    <w:rsid w:val="00D07B4B"/>
    <w:rsid w:val="00D11C23"/>
    <w:rsid w:val="00D12B84"/>
    <w:rsid w:val="00D16667"/>
    <w:rsid w:val="00D24F83"/>
    <w:rsid w:val="00D26B5B"/>
    <w:rsid w:val="00D40D3B"/>
    <w:rsid w:val="00D42D65"/>
    <w:rsid w:val="00D47643"/>
    <w:rsid w:val="00D56434"/>
    <w:rsid w:val="00D6399A"/>
    <w:rsid w:val="00D70D9C"/>
    <w:rsid w:val="00D77457"/>
    <w:rsid w:val="00D85664"/>
    <w:rsid w:val="00D96E82"/>
    <w:rsid w:val="00DA029A"/>
    <w:rsid w:val="00DB0320"/>
    <w:rsid w:val="00DB7F07"/>
    <w:rsid w:val="00DC1A72"/>
    <w:rsid w:val="00DD1BDC"/>
    <w:rsid w:val="00DD486B"/>
    <w:rsid w:val="00DD5931"/>
    <w:rsid w:val="00DE489C"/>
    <w:rsid w:val="00DE600E"/>
    <w:rsid w:val="00DE7B59"/>
    <w:rsid w:val="00DF55CE"/>
    <w:rsid w:val="00E0043F"/>
    <w:rsid w:val="00E00C28"/>
    <w:rsid w:val="00E122E3"/>
    <w:rsid w:val="00E12A78"/>
    <w:rsid w:val="00E1569B"/>
    <w:rsid w:val="00E17611"/>
    <w:rsid w:val="00E27A54"/>
    <w:rsid w:val="00E27C39"/>
    <w:rsid w:val="00E3346E"/>
    <w:rsid w:val="00E33C12"/>
    <w:rsid w:val="00E33E92"/>
    <w:rsid w:val="00E34B08"/>
    <w:rsid w:val="00E370D6"/>
    <w:rsid w:val="00E42E9D"/>
    <w:rsid w:val="00E50662"/>
    <w:rsid w:val="00E51B17"/>
    <w:rsid w:val="00E57265"/>
    <w:rsid w:val="00E61563"/>
    <w:rsid w:val="00E61958"/>
    <w:rsid w:val="00E62523"/>
    <w:rsid w:val="00E632F5"/>
    <w:rsid w:val="00E707F2"/>
    <w:rsid w:val="00E70C52"/>
    <w:rsid w:val="00E71C70"/>
    <w:rsid w:val="00E7615C"/>
    <w:rsid w:val="00E83D62"/>
    <w:rsid w:val="00E94C74"/>
    <w:rsid w:val="00EA080B"/>
    <w:rsid w:val="00EA1AFD"/>
    <w:rsid w:val="00EA3F8A"/>
    <w:rsid w:val="00EA421D"/>
    <w:rsid w:val="00EB2075"/>
    <w:rsid w:val="00EB63DA"/>
    <w:rsid w:val="00EC2B97"/>
    <w:rsid w:val="00EC583B"/>
    <w:rsid w:val="00EC7396"/>
    <w:rsid w:val="00ED54B7"/>
    <w:rsid w:val="00ED6FC4"/>
    <w:rsid w:val="00ED7896"/>
    <w:rsid w:val="00EF0CFF"/>
    <w:rsid w:val="00EF2F01"/>
    <w:rsid w:val="00EF42CE"/>
    <w:rsid w:val="00EF5B17"/>
    <w:rsid w:val="00EF5D6C"/>
    <w:rsid w:val="00F04CF1"/>
    <w:rsid w:val="00F10D8E"/>
    <w:rsid w:val="00F11109"/>
    <w:rsid w:val="00F127A8"/>
    <w:rsid w:val="00F22AEB"/>
    <w:rsid w:val="00F35F3D"/>
    <w:rsid w:val="00F43A0B"/>
    <w:rsid w:val="00F500B7"/>
    <w:rsid w:val="00F51DF3"/>
    <w:rsid w:val="00F57FAD"/>
    <w:rsid w:val="00F668ED"/>
    <w:rsid w:val="00F66AE9"/>
    <w:rsid w:val="00F746B6"/>
    <w:rsid w:val="00F93575"/>
    <w:rsid w:val="00F935A5"/>
    <w:rsid w:val="00FA09A4"/>
    <w:rsid w:val="00FA29C3"/>
    <w:rsid w:val="00FA55AE"/>
    <w:rsid w:val="00FA5DBE"/>
    <w:rsid w:val="00FB727A"/>
    <w:rsid w:val="00FC1825"/>
    <w:rsid w:val="00FC252B"/>
    <w:rsid w:val="00FC3752"/>
    <w:rsid w:val="00FC3F20"/>
    <w:rsid w:val="00FC467F"/>
    <w:rsid w:val="00FC67B9"/>
    <w:rsid w:val="00FD5F49"/>
    <w:rsid w:val="00FF6E5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2117</ap:Words>
  <ap:Characters>11648</ap:Characters>
  <ap:DocSecurity>0</ap:DocSecurity>
  <ap:Lines>97</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2019-01-07T19:26:00.0000000Z</dcterms:created>
  <dcterms:modified xsi:type="dcterms:W3CDTF">2019-01-07T19:28:00.0000000Z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0x010100A759327F0A8B5543B327C509085E9F15</vt:lpwstr>
  </property>
</Properties>
</file>