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E01BD">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W04.18.0160/I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12 september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97CE4" w:rsidRDefault="007436FF">
              <w:r>
                <w:t>Bij Kabinetsmissive van 27 juni 2018, no.2018001136, heeft Uwe Majesteit, op voordracht van de Minister van Binnenlandse Zaken en Koninkrijksrelaties, bij de Afdeling advisering van de Raad van State ter overweging aanhangig gemaakt het voorstel van wet houdende regels met betrekking tot de openbare registers voor registergoederen en de kadasters op Bonaire, Sint Eustatius en Saba (Kadasterwet BES),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597CE4" w:rsidRDefault="007436FF">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W04.18.0160</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A03E06" w:rsidP="00D969CB" w:rsidRDefault="007436FF">
              <w:pPr>
                <w:numPr>
                  <w:ilvl w:val="0"/>
                  <w:numId w:val="1"/>
                </w:numPr>
              </w:pPr>
              <w:r>
                <w:t>In artikel 2, eerste lid, de term “privéschip” vermijden. Deze term komt niet voor in Europees-Nederlandse en BES-wetten en is synoniem met het wel gebruikelijke begrip “pleziervaartuig” (aanwijzing 3.7, eerste lid, van de Aanwijzingen voor de regelgeving).</w:t>
              </w:r>
            </w:p>
            <w:p w:rsidR="00D01F1E" w:rsidP="00D969CB" w:rsidRDefault="007436FF">
              <w:pPr>
                <w:numPr>
                  <w:ilvl w:val="0"/>
                  <w:numId w:val="1"/>
                </w:numPr>
              </w:pPr>
              <w:r>
                <w:t>Artikel 60 overbrengen naar hoofdstuk 11 (Overgangsbepalingen) van de wet, nu het – blijkens de toelichting op het artikel – bedoeld is voor de periode waarin de Kadasters op het gewenste niveau worden gebracht. Voorts artikel 68 overbrengen naar dat hoofdstuk, nu dat artikel overgangsrecht bevat.</w:t>
              </w:r>
            </w:p>
            <w:p w:rsidR="00E70C71" w:rsidP="00186103" w:rsidRDefault="007436FF">
              <w:pPr>
                <w:numPr>
                  <w:ilvl w:val="0"/>
                  <w:numId w:val="1"/>
                </w:numPr>
              </w:pPr>
              <w:r>
                <w:t xml:space="preserve">In de toelichting, wat betreft Sint Eustatius, voor de wisseling van bestuurscollege (kort) verwijzen naar de </w:t>
              </w:r>
              <w:r w:rsidRPr="00186103">
                <w:t>Tijdelijke wet taakverwaarlozing Sint Eustatius</w:t>
              </w:r>
              <w:r>
                <w:t>.</w:t>
              </w:r>
            </w:p>
          </w:sdtContent>
        </w:sdt>
        <w:p w:rsidR="00C50D4F" w:rsidP="00FA6C0B" w:rsidRDefault="009E01BD">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7436FF" w:rsidP="005B3E03">
      <w:r>
        <w:separator/>
      </w:r>
    </w:p>
    <w:p w:rsidR="002D0ACF" w:rsidRDefault="009E01BD"/>
  </w:endnote>
  <w:endnote w:type="continuationSeparator" w:id="0">
    <w:p w:rsidR="00847094" w:rsidRDefault="007436FF" w:rsidP="005B3E03">
      <w:r>
        <w:continuationSeparator/>
      </w:r>
    </w:p>
    <w:p w:rsidR="002D0ACF" w:rsidRDefault="009E0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9E01BD">
    <w:pPr>
      <w:pStyle w:val="Voettekst"/>
    </w:pPr>
    <w:r>
      <w:rPr>
        <w:noProof/>
      </w:rPr>
      <w:pict>
        <v:shapetype id="_x0000_t202" coordsize="21600,21600" o:spt="202" path="m,l,21600r21600,l21600,xe">
          <v:stroke joinstyle="miter"/>
          <v:path gradientshapeok="t" o:connecttype="rect"/>
        </v:shapetype>
        <v:shape id="Text Box 5" o:spid="_x0000_s2457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7436FF" w:rsidP="005B3E03">
      <w:r>
        <w:separator/>
      </w:r>
    </w:p>
    <w:p w:rsidR="002D0ACF" w:rsidRDefault="009E01BD"/>
  </w:footnote>
  <w:footnote w:type="continuationSeparator" w:id="0">
    <w:p w:rsidR="00847094" w:rsidRDefault="007436FF" w:rsidP="005B3E03">
      <w:r>
        <w:continuationSeparator/>
      </w:r>
    </w:p>
    <w:p w:rsidR="002D0ACF" w:rsidRDefault="009E0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436F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436FF">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E01B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2"/>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97CE4"/>
    <w:rsid w:val="005E41CC"/>
    <w:rsid w:val="00636D17"/>
    <w:rsid w:val="00665D05"/>
    <w:rsid w:val="007009C5"/>
    <w:rsid w:val="00743072"/>
    <w:rsid w:val="007436FF"/>
    <w:rsid w:val="00796479"/>
    <w:rsid w:val="007F3348"/>
    <w:rsid w:val="00800953"/>
    <w:rsid w:val="00836210"/>
    <w:rsid w:val="008855B1"/>
    <w:rsid w:val="00892C13"/>
    <w:rsid w:val="00977969"/>
    <w:rsid w:val="009E01BD"/>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5:docId w15:val="{879A5EE0-0FBC-4320-8FB9-EBFDB262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17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286</ap:Words>
  <ap:Characters>1576</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2018-09-12T07:26:00.0000000Z</lastPrinted>
  <dcterms:created xsi:type="dcterms:W3CDTF">2018-09-13T10:57:00.0000000Z</dcterms:created>
  <dcterms:modified xsi:type="dcterms:W3CDTF">2018-09-13T10:57:00.0000000Z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0x010100FDA290C83C848348841604B84F2AB719</vt:lpwstr>
  </property>
</Properties>
</file>