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glossary/fontTable.xml" ContentType="application/vnd.openxmlformats-officedocument.wordprocessingml.fontTable+xml"/>
  <Override PartName="/word/fontTable.xml" ContentType="application/vnd.openxmlformats-officedocument.wordprocessingml.fontTable+xml"/>
  <Override PartName="/word/stylesWithEffects.xml" ContentType="application/vnd.ms-word.stylesWithEffects+xml"/>
  <Override PartName="/word/glossary/styles.xml" ContentType="application/vnd.openxmlformats-officedocument.wordprocessingml.styles+xml"/>
  <Override PartName="/word/glossary/stylesWithEffects.xml" ContentType="application/vnd.ms-word.stylesWithEffects+xml"/>
  <Override PartName="/word/styles.xml" ContentType="application/vnd.openxmlformats-officedocument.wordprocessingml.styles+xml"/>
  <Override PartName="/word/glossary/webSettings.xml" ContentType="application/vnd.openxmlformats-officedocument.wordprocessingml.webSettings+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2381D1D4" wp14:anchorId="4416387C">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3D14B024" wp14:anchorId="465B714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W04.17.0019/I/K</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23 augustus 2017</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DE3EF6" w:rsidRDefault="00F86568">
              <w:r>
                <w:t>Bij Kabinetsmissive van 6 februari 2017, no.2017000194, heeft Uwe Majesteit, op voordracht van de Minister van Binnenlandse Zaken en Koninkrijksrelaties, bij de Afdeling advisering van de Raad van State van het Koninkrijk ter overweging aanhangig gemaakt h</w:t>
              </w:r>
              <w:r>
                <w:t>et voorstel van rijkswet houdende voorzieningen voor de behandeling van geschillen tussen het Koninkrijk en de landen (Rijkswet Koninkrijksgeschillen), met memorie van toelichting.</w:t>
              </w:r>
            </w:p>
          </w:sdtContent>
        </w:sdt>
        <w:p w:rsidR="0071031E" w:rsidRDefault="0071031E"/>
        <w:sdt>
          <w:sdtPr>
            <w:alias w:val="VrijeTekst1"/>
            <w:tag w:val="VrijeTekst1"/>
            <w:id w:val="-1861418069"/>
            <w:lock w:val="sdtLocked"/>
          </w:sdtPr>
          <w:sdtEndPr/>
          <w:sdtContent>
            <w:sdt>
              <w:sdtPr>
                <w:alias w:val="VrijeTekst1"/>
                <w:tag w:val="VrijeTekst1"/>
                <w:id w:val="38870678"/>
              </w:sdtPr>
              <w:sdtEndPr/>
              <w:sdtContent>
                <w:p w:rsidR="002542B9" w:rsidP="002542B9" w:rsidRDefault="00F86568">
                  <w:r>
                    <w:t>Het voorstel strekt tot het invoeren van een regeling voor de behandelin</w:t>
                  </w:r>
                  <w:r>
                    <w:t xml:space="preserve">g van geschillen tussen de landen en het Koninkrijk. Hiermee wordt invulling gegeven aan artikel 12a van het Statuut. </w:t>
                  </w:r>
                </w:p>
                <w:p w:rsidR="002542B9" w:rsidP="002542B9" w:rsidRDefault="00F86568"/>
                <w:p w:rsidR="002542B9" w:rsidP="002542B9" w:rsidRDefault="00F86568">
                  <w:r w:rsidRPr="00C0645A">
                    <w:t>De Afdeling advisering van de Raad van State van het Koninkrijk adviseert de wetgevingsprocedure voort te zetten, maar acht op onderdele</w:t>
                  </w:r>
                  <w:r w:rsidRPr="00C0645A">
                    <w:t>n een dragende motivering of aanpassing van het voorstel aangewezen.</w:t>
                  </w:r>
                  <w:r>
                    <w:t xml:space="preserve"> De Afdeling wijst op de noodzaak om de voorgestelde regeling te evalueren. Daarnaast vraagt de Afdeling aandacht voor </w:t>
                  </w:r>
                  <w:r>
                    <w:t xml:space="preserve">het gewicht en </w:t>
                  </w:r>
                  <w:r>
                    <w:t>de mate van bindendheid van het oordeel en voor de rei</w:t>
                  </w:r>
                  <w:r>
                    <w:t>kwijdte van de geschillenregeling.</w:t>
                  </w:r>
                </w:p>
                <w:p w:rsidR="002542B9" w:rsidP="002542B9" w:rsidRDefault="00F86568"/>
                <w:p w:rsidR="002542B9" w:rsidP="002542B9" w:rsidRDefault="00F86568">
                  <w:pPr>
                    <w:rPr>
                      <w:u w:val="single"/>
                    </w:rPr>
                  </w:pPr>
                  <w:r>
                    <w:t>1.</w:t>
                  </w:r>
                  <w:r>
                    <w:tab/>
                  </w:r>
                  <w:r>
                    <w:rPr>
                      <w:u w:val="single"/>
                    </w:rPr>
                    <w:t>Inleiding</w:t>
                  </w:r>
                </w:p>
                <w:p w:rsidR="002542B9" w:rsidP="002542B9" w:rsidRDefault="00F86568"/>
                <w:p w:rsidR="002542B9" w:rsidP="002542B9" w:rsidRDefault="00F86568">
                  <w:r>
                    <w:t>Het Statuut voor het Koninkrijk der Nederlanden is in 2010 gewijzigd in verband met de herstructurering van het Koninkrijk. Daarbij is onder meer een nieuw artikel 12a in het Statuut opgenomen dat luidt: “B</w:t>
                  </w:r>
                  <w:r>
                    <w:t xml:space="preserve">ij rijkswet worden voorzieningen getroffen voor de behandeling van bij rijkswet aangewezen geschillen tussen het Koninkrijk en de landen.” Volgens de toelichting bij artikel 12a van het Statuut kan aan een dergelijke regeling behoefte bestaan omdat tussen </w:t>
                  </w:r>
                  <w:r>
                    <w:t>het Koninkrijk en een of meer landen geschillen kunnen ontstaan door verschillen van inzicht of belangenconflicten en een oplossing met de bestaande middelen soms niet eenvoudig te bereiken is. Een effectieve behartiging van gemeenschappelijke aangelegenhe</w:t>
                  </w:r>
                  <w:r>
                    <w:t>den wordt dan bevorderd door dergelijke geschillen niet te lang te laten voortduren. Door de intensivering van de samenwerking en de toename van het aantal landen in het Koninkrijk neemt daarnaast de kans op geschillen tussen de landen toe, terwijl er tege</w:t>
                  </w:r>
                  <w:r>
                    <w:t>lijkertijd een groter belang is bij een goede en effectieve samenwerking, aldus de toelichting.</w:t>
                  </w:r>
                  <w:r>
                    <w:rPr>
                      <w:rStyle w:val="Voetnootmarkering"/>
                    </w:rPr>
                    <w:footnoteReference w:id="1"/>
                  </w:r>
                  <w:r>
                    <w:t xml:space="preserve"> </w:t>
                  </w:r>
                </w:p>
                <w:p w:rsidR="002542B9" w:rsidP="002542B9" w:rsidRDefault="00F86568"/>
                <w:p w:rsidR="002542B9" w:rsidP="002542B9" w:rsidRDefault="00F86568">
                  <w:r>
                    <w:t>In het oorspronkelijke voorstel tot wijziging van het Statuut zoals dat door de regering was ingediend, was alleen sprake van een bevoegdheid om een geschill</w:t>
                  </w:r>
                  <w:r>
                    <w:t>enregeling tot stand te brengen. Door amendering is deze bevoegdheid veranderd in een verplichting.</w:t>
                  </w:r>
                  <w:r>
                    <w:rPr>
                      <w:rStyle w:val="Voetnootmarkering"/>
                    </w:rPr>
                    <w:footnoteReference w:id="2"/>
                  </w:r>
                  <w:r>
                    <w:t xml:space="preserve"> De indieners van het amendement meenden dat de geschillenregeling een adequate voorziening zou moeten bieden voor de onafhankelijke beslechting van geschil</w:t>
                  </w:r>
                  <w:r>
                    <w:t>len over de juridische interpretatie van de door de landen gezamenlijk overeengekomen Statutaire bepalingen.</w:t>
                  </w:r>
                </w:p>
                <w:p w:rsidR="002542B9" w:rsidP="002542B9" w:rsidRDefault="00F86568"/>
                <w:p w:rsidR="002542B9" w:rsidP="002542B9" w:rsidRDefault="00F86568">
                  <w:r>
                    <w:t>Het voorliggende voorstel is bedoeld om invulling te geven aan artikel 12a Statuut. Het regelt een procedure voor het geval tijdens het voortgezet</w:t>
                  </w:r>
                  <w:r>
                    <w:t xml:space="preserve"> overleg in de </w:t>
                  </w:r>
                  <w:r>
                    <w:lastRenderedPageBreak/>
                    <w:t xml:space="preserve">Rijksministerraad (RMR) een Gevolmachtigde Minister ernstige bezwaren aanvoert tegen een voorgenomen voorziening. Deze procedure houdt in dat via de Minister van Binnenlandse Zaken en Koninkrijksrelaties een oordeel (advies) van de Raad van </w:t>
                  </w:r>
                  <w:r>
                    <w:t>State van het Koninkrijk</w:t>
                  </w:r>
                  <w:r>
                    <w:t xml:space="preserve"> (hierna: de Raad)</w:t>
                  </w:r>
                  <w:r>
                    <w:t xml:space="preserve"> over het geschil gevraagd moet worden, welk oordeel niet bindend is maar waar</w:t>
                  </w:r>
                  <w:r>
                    <w:t>mee</w:t>
                  </w:r>
                  <w:r>
                    <w:t xml:space="preserve"> de RMR, zo bepaalt het voorstel, rekening dient te houden.</w:t>
                  </w:r>
                  <w:r>
                    <w:rPr>
                      <w:rStyle w:val="Voetnootmarkering"/>
                    </w:rPr>
                    <w:footnoteReference w:id="3"/>
                  </w:r>
                  <w:r>
                    <w:t xml:space="preserve"> Alleen indien de voorzitter van de RMR besluit dat een zwaarwegend belan</w:t>
                  </w:r>
                  <w:r>
                    <w:t>g van het Koninkrijk onverwijlde besluitvorming vergt</w:t>
                  </w:r>
                  <w:r>
                    <w:t>,</w:t>
                  </w:r>
                  <w:r>
                    <w:t xml:space="preserve"> hoeft het oordeel van de Raad niet gevraagd te worden.</w:t>
                  </w:r>
                  <w:r>
                    <w:rPr>
                      <w:rStyle w:val="Voetnootmarkering"/>
                    </w:rPr>
                    <w:footnoteReference w:id="4"/>
                  </w:r>
                </w:p>
                <w:p w:rsidR="002542B9" w:rsidP="002542B9" w:rsidRDefault="00F86568"/>
                <w:p w:rsidR="002542B9" w:rsidP="002542B9" w:rsidRDefault="00F86568">
                  <w:pPr>
                    <w:rPr>
                      <w:u w:val="single"/>
                    </w:rPr>
                  </w:pPr>
                  <w:r>
                    <w:t>2.</w:t>
                  </w:r>
                  <w:r>
                    <w:tab/>
                  </w:r>
                  <w:r>
                    <w:rPr>
                      <w:u w:val="single"/>
                    </w:rPr>
                    <w:t xml:space="preserve">Opzet van de regeling </w:t>
                  </w:r>
                </w:p>
                <w:p w:rsidR="002542B9" w:rsidP="002542B9" w:rsidRDefault="00F86568">
                  <w:pPr>
                    <w:rPr>
                      <w:u w:val="single"/>
                    </w:rPr>
                  </w:pPr>
                </w:p>
                <w:p w:rsidR="002542B9" w:rsidP="002542B9" w:rsidRDefault="00F86568">
                  <w:r>
                    <w:t>Zoals uit de toelichting blijkt kent het voorstel een lange voorgeschiedenis, met name doordat tussen de landen wezen</w:t>
                  </w:r>
                  <w:r>
                    <w:t>lijk verschil van mening bestond over de precieze invulling van de geschillenregeling. In 2015 is daarom door de Minister van Binnenlandse Zaken en Koninkrijksrelaties een voorstel gedaan voor een tijdelijke regeling.</w:t>
                  </w:r>
                  <w:r>
                    <w:rPr>
                      <w:rStyle w:val="Voetnootmarkering"/>
                    </w:rPr>
                    <w:footnoteReference w:id="5"/>
                  </w:r>
                  <w:r>
                    <w:t xml:space="preserve"> Dit voorstel heeft zijn uitwerking ge</w:t>
                  </w:r>
                  <w:r>
                    <w:t>vonden in de voorliggende ontwerp-rijkswet. Duidelijk is dat de andere landen de voorkeur hadden (en hebben) voor geschilbeslechting in de vorm van een bindende uitspraak door de Hoge Raad, een in te stellen onafhankelijk Gemeenschappelijk Hof voor Geschil</w:t>
                  </w:r>
                  <w:r>
                    <w:t>lenbeslechting of een Hoog College van Staat, over de rechtmatigheid van een op Koninkrijksniveau genomen besluit.</w:t>
                  </w:r>
                  <w:r>
                    <w:rPr>
                      <w:rStyle w:val="Voetnootmarkering"/>
                    </w:rPr>
                    <w:footnoteReference w:id="6"/>
                  </w:r>
                  <w:r>
                    <w:t xml:space="preserve"> </w:t>
                  </w:r>
                </w:p>
                <w:p w:rsidR="002542B9" w:rsidP="002542B9" w:rsidRDefault="00F86568"/>
                <w:p w:rsidR="002542B9" w:rsidP="002542B9" w:rsidRDefault="00F86568">
                  <w:r>
                    <w:t xml:space="preserve">De Afdeling </w:t>
                  </w:r>
                  <w:r>
                    <w:t xml:space="preserve">onderschrijft </w:t>
                  </w:r>
                  <w:r>
                    <w:t xml:space="preserve">het gemeenschappelijke streven van de Koninkrijksregering en de landen om op korte termijn te komen tot een </w:t>
                  </w:r>
                  <w:r>
                    <w:t>geschillenregeling. Zij heeft sinds 2010 meermaals gewezen op de urgentie van een spoedig tot stand komen van een regeling om geschillen voor te kunnen leggen aan een onafhankelijke instantie.</w:t>
                  </w:r>
                  <w:r>
                    <w:rPr>
                      <w:rStyle w:val="Voetnootmarkering"/>
                    </w:rPr>
                    <w:footnoteReference w:id="7"/>
                  </w:r>
                  <w:r>
                    <w:t xml:space="preserve"> </w:t>
                  </w:r>
                </w:p>
                <w:p w:rsidR="002542B9" w:rsidP="002542B9" w:rsidRDefault="00F86568"/>
                <w:p w:rsidR="002542B9" w:rsidP="002542B9" w:rsidRDefault="00F86568">
                  <w:r>
                    <w:t xml:space="preserve">De Afdeling wijst er evenwel op dat het voor het slagen van </w:t>
                  </w:r>
                  <w:r>
                    <w:t xml:space="preserve">een geschillenregeling van belang is dat de betrokken partijen zoveel mogelijk overeenstemming bereiken over de invulling van die regeling. Indien dat niet het geval is bestaat het risico dat voor de partijen die zich niet in de regeling kunnen vinden het </w:t>
                  </w:r>
                  <w:r>
                    <w:t>oordeel van de geschillenbeslechtende instantie te weinig draagvlak en gezag zal hebben. Nu blijkt dat de andere landen zich niet in alle aspecten van de voorgestelde uitwerking van artikel 12a Statuut kunnen herkennen, zou in ieder geval in de toekomst ru</w:t>
                  </w:r>
                  <w:r>
                    <w:t>imte moeten zijn voor evaluatie en voor overleg op grond van deze evaluatie om te bezien of en zo ja welke aanpassingen nodig zijn. De Afdeling acht het in dit licht wenselijk dat de voorgestelde regeling over een aantal jar</w:t>
                  </w:r>
                  <w:r>
                    <w:t>en</w:t>
                  </w:r>
                  <w:r>
                    <w:t xml:space="preserve"> geëvalueerd wordt om te bezie</w:t>
                  </w:r>
                  <w:r>
                    <w:t xml:space="preserve">n of deze een positief effect heeft gehad op de wijze waarop binnen het Koninkrijk geschillen </w:t>
                  </w:r>
                  <w:r>
                    <w:lastRenderedPageBreak/>
                    <w:t>tussen het Koninkrijk en een of meer van de landen beslecht worden, en of de geschillenprocedure mogelijk aangepast dient te worden. Daartoe zou de rijkswet een e</w:t>
                  </w:r>
                  <w:r>
                    <w:t xml:space="preserve">valuatiebepaling dienen te bevatten. </w:t>
                  </w:r>
                </w:p>
                <w:p w:rsidR="002542B9" w:rsidP="002542B9" w:rsidRDefault="00F86568"/>
                <w:p w:rsidRPr="00622263" w:rsidR="002542B9" w:rsidP="002542B9" w:rsidRDefault="00F86568">
                  <w:r>
                    <w:t xml:space="preserve">De Afdeling adviseert in de toelichting op de bovenstaande in te gaan en een evaluatiebepaling aan het voorstel toe te voegen. </w:t>
                  </w:r>
                </w:p>
                <w:p w:rsidRPr="004070FB" w:rsidR="002542B9" w:rsidP="002542B9" w:rsidRDefault="00F86568"/>
                <w:p w:rsidRPr="006919A8" w:rsidR="002542B9" w:rsidP="002542B9" w:rsidRDefault="00F86568">
                  <w:pPr>
                    <w:rPr>
                      <w:u w:val="single"/>
                    </w:rPr>
                  </w:pPr>
                  <w:r>
                    <w:t>3.</w:t>
                  </w:r>
                  <w:r>
                    <w:tab/>
                  </w:r>
                  <w:r>
                    <w:rPr>
                      <w:u w:val="single"/>
                    </w:rPr>
                    <w:t>De aard en inhoud van de geschillenbehandeling</w:t>
                  </w:r>
                </w:p>
                <w:p w:rsidR="002542B9" w:rsidP="002542B9" w:rsidRDefault="00F86568"/>
                <w:p w:rsidRPr="00813BA2" w:rsidR="002542B9" w:rsidP="002542B9" w:rsidRDefault="00F86568">
                  <w:pPr>
                    <w:rPr>
                      <w:i/>
                    </w:rPr>
                  </w:pPr>
                  <w:r>
                    <w:rPr>
                      <w:i/>
                    </w:rPr>
                    <w:t xml:space="preserve">a. </w:t>
                  </w:r>
                  <w:r>
                    <w:rPr>
                      <w:i/>
                    </w:rPr>
                    <w:tab/>
                    <w:t>Inleiding</w:t>
                  </w:r>
                </w:p>
                <w:p w:rsidR="002542B9" w:rsidP="002542B9" w:rsidRDefault="00F86568">
                  <w:r>
                    <w:t>De Afdeling heeft er in</w:t>
                  </w:r>
                  <w:r>
                    <w:t xml:space="preserve"> het verleden op gewezen dat aan de eisen van onafhankelijke geschilbeslechting het beste kan worden voldaan als de procedure eindigt in een bindende beslissing, als deze beslissing wordt genomen door een instantie die voldoet aan eisen van onafhankelijkhe</w:t>
                  </w:r>
                  <w:r>
                    <w:t>id, en als de procedureregels de onafhankelijkheid en onpartijdigheid van die instantie voldoende waarborgen.</w:t>
                  </w:r>
                  <w:r>
                    <w:rPr>
                      <w:rStyle w:val="Voetnootmarkering"/>
                    </w:rPr>
                    <w:footnoteReference w:id="8"/>
                  </w:r>
                  <w:r>
                    <w:t xml:space="preserve"> De regering heeft in het verleden, in lijn hiermee, de intentie uitgesproken tot het instellen van een onafhankelijke instantie die juridische ge</w:t>
                  </w:r>
                  <w:r>
                    <w:t>schillen over de interpretatie van het Statuut zou kunnen beslechten.</w:t>
                  </w:r>
                  <w:r>
                    <w:rPr>
                      <w:rStyle w:val="Voetnootmarkering"/>
                    </w:rPr>
                    <w:footnoteReference w:id="9"/>
                  </w:r>
                  <w:r>
                    <w:t xml:space="preserve"> Deze terminologie keerde terug in de toelichting bij het amendement Wever/Thijsen waarbij artikel 12a van het Statuut zijn definitieve – imperatieve – tekst kreeg.</w:t>
                  </w:r>
                  <w:r>
                    <w:rPr>
                      <w:rStyle w:val="Voetnootmarkering"/>
                    </w:rPr>
                    <w:footnoteReference w:id="10"/>
                  </w:r>
                  <w:r>
                    <w:t xml:space="preserve"> </w:t>
                  </w:r>
                </w:p>
                <w:p w:rsidR="002542B9" w:rsidP="002542B9" w:rsidRDefault="00F86568"/>
                <w:p w:rsidR="002542B9" w:rsidP="002542B9" w:rsidRDefault="00F86568">
                  <w:r>
                    <w:t>De voorgestelde re</w:t>
                  </w:r>
                  <w:r>
                    <w:t>geling houdt in dat de RMR, nadat de Raad een oordeel heeft gegeven over het geschil, beslist over het geschil. Bij deze beslissing wordt blijkens artikel 11 ‘rekening gehouden’ met het oordeel van de Raad en eventuele ontwikkelingen die zich na het vastst</w:t>
                  </w:r>
                  <w:r>
                    <w:t>ellen van het oordeel hebben voorgedaan. De toelichting geeft in dit verband aan tot welke aspecten van de beoordeling van het geschil een juridische toets zich zou moeten uitstrekken.</w:t>
                  </w:r>
                  <w:r>
                    <w:rPr>
                      <w:rStyle w:val="Voetnootmarkering"/>
                    </w:rPr>
                    <w:footnoteReference w:id="11"/>
                  </w:r>
                  <w:r>
                    <w:t xml:space="preserve"> </w:t>
                  </w:r>
                </w:p>
                <w:p w:rsidR="002542B9" w:rsidP="002542B9" w:rsidRDefault="00F86568"/>
                <w:p w:rsidRPr="00813BA2" w:rsidR="002542B9" w:rsidP="002542B9" w:rsidRDefault="00F86568">
                  <w:pPr>
                    <w:rPr>
                      <w:i/>
                    </w:rPr>
                  </w:pPr>
                  <w:r>
                    <w:t>b.</w:t>
                  </w:r>
                  <w:r>
                    <w:tab/>
                  </w:r>
                  <w:r>
                    <w:rPr>
                      <w:i/>
                    </w:rPr>
                    <w:t>Keuze voor een brede regeling</w:t>
                  </w:r>
                </w:p>
                <w:p w:rsidR="002542B9" w:rsidP="002542B9" w:rsidRDefault="00F86568">
                  <w:r w:rsidRPr="00A56359">
                    <w:t xml:space="preserve">Het voorstel </w:t>
                  </w:r>
                  <w:r>
                    <w:t>moet gezien worden teg</w:t>
                  </w:r>
                  <w:r>
                    <w:t>en de achtergrond van het feit dat de daarin voorgestelde regeling betrekking heeft op geschillen voordat de Rijksministerraad beslist en daarbij</w:t>
                  </w:r>
                  <w:r w:rsidRPr="00A56359">
                    <w:t xml:space="preserve"> niet </w:t>
                  </w:r>
                  <w:r>
                    <w:t>ziet</w:t>
                  </w:r>
                  <w:r w:rsidRPr="00A56359">
                    <w:t xml:space="preserve"> op </w:t>
                  </w:r>
                  <w:r>
                    <w:t xml:space="preserve">enkel </w:t>
                  </w:r>
                  <w:r w:rsidRPr="00A56359">
                    <w:t xml:space="preserve">juridische geschillen, maar </w:t>
                  </w:r>
                  <w:r>
                    <w:t xml:space="preserve">betrekking kan hebben </w:t>
                  </w:r>
                  <w:r w:rsidRPr="00A56359">
                    <w:t>op geschillen van bestuurlijke en politie</w:t>
                  </w:r>
                  <w:r w:rsidRPr="00A56359">
                    <w:t>ke aard</w:t>
                  </w:r>
                  <w:r>
                    <w:t xml:space="preserve"> die in het kader van de besluitvorming ontstaan.</w:t>
                  </w:r>
                  <w:r w:rsidRPr="003F6400">
                    <w:rPr>
                      <w:rStyle w:val="Voetnootmarkering"/>
                    </w:rPr>
                    <w:footnoteReference w:id="12"/>
                  </w:r>
                  <w:r>
                    <w:t xml:space="preserve"> Bij de totstandkoming van artikel 12a Statuut leek het oogmerk te zijn om de geschillenregeling te beperken tot enkel juridische geschillen. Dit werd benadrukt door de Arubaanse A.V.P.-fractie en ov</w:t>
                  </w:r>
                  <w:r>
                    <w:t>ergenomen door de regering.</w:t>
                  </w:r>
                  <w:r>
                    <w:rPr>
                      <w:rStyle w:val="Voetnootmarkering"/>
                    </w:rPr>
                    <w:footnoteReference w:id="13"/>
                  </w:r>
                  <w:r>
                    <w:t xml:space="preserve"> Deze benadering veronderstelt echter dat het altijd mogelijk zou zijn om in de praktijk een scherp onderscheid te maken tussen juridische en politiek-bestuurlijke aspecten van een geschil als bedoeld in artikel 12a Statuut. Dit</w:t>
                  </w:r>
                  <w:r>
                    <w:t xml:space="preserve"> is echter lang niet altijd het geval. Zoals ook blijkt uit de geschillen die de afgelopen jaren tussen het Koninkrijk en de landen gerezen zijn, is dit onderscheid veelal </w:t>
                  </w:r>
                  <w:r>
                    <w:t>moeilijk te maken</w:t>
                  </w:r>
                  <w:r>
                    <w:t>. Dat is met name het geval bij de beantwoording van de vraag of in</w:t>
                  </w:r>
                  <w:r>
                    <w:t xml:space="preserve">grijpen door de Koninkrijksregering op </w:t>
                  </w:r>
                  <w:r>
                    <w:lastRenderedPageBreak/>
                    <w:t>grond van artikel 43, tweede lid, jo. 51 Statuut noodzakelijk is. Wat in de gegeven situatie noodzakelijk en proportioneel is, zal nauw samenhangen met en niet los kunnen worden gezien van een politiek-bestuurlijke we</w:t>
                  </w:r>
                  <w:r>
                    <w:t>ging van de omstandigheden in het concrete geval. Van een zuiver juridisch geschil zal in die constellatie zelden of nooit sprake zijn.</w:t>
                  </w:r>
                </w:p>
                <w:p w:rsidR="002542B9" w:rsidP="002542B9" w:rsidRDefault="00F86568"/>
                <w:p w:rsidR="002542B9" w:rsidP="002542B9" w:rsidRDefault="00F86568">
                  <w:r>
                    <w:t xml:space="preserve">Nu </w:t>
                  </w:r>
                  <w:r>
                    <w:t>gekozen wordt voor een brede regeling waarin met name ook geschillen met een gemengd (juridisch en politiek-bestuurl</w:t>
                  </w:r>
                  <w:r>
                    <w:t>ijk) karakter kunnen worden voorgelegd op een moment dat daarover nog een beslissing moet worden genomen, ligt bindende geschilbeslechting door een rechterlijk college niet in de rede; het gaat om geschillen die gelet op hun aard primair behoren tot het po</w:t>
                  </w:r>
                  <w:r>
                    <w:t>litiek-bestuurlijke domein.</w:t>
                  </w:r>
                  <w:r w:rsidRPr="003F6400">
                    <w:rPr>
                      <w:rStyle w:val="Voetnootmarkering"/>
                    </w:rPr>
                    <w:footnoteReference w:id="14"/>
                  </w:r>
                  <w:r>
                    <w:t xml:space="preserve"> Rechterlijke toetsing van die geschillen verhoud</w:t>
                  </w:r>
                  <w:r>
                    <w:t>t</w:t>
                  </w:r>
                  <w:r>
                    <w:t xml:space="preserve"> zich minder goed </w:t>
                  </w:r>
                  <w:r>
                    <w:t>tot</w:t>
                  </w:r>
                  <w:r>
                    <w:t xml:space="preserve"> de positie van de rechter in het staatsbestel. Zou men in het kader van artikel 12a Statuut de rechter willen aanwijzen als </w:t>
                  </w:r>
                  <w:proofErr w:type="spellStart"/>
                  <w:r>
                    <w:t>geschillenbeslechter</w:t>
                  </w:r>
                  <w:proofErr w:type="spellEnd"/>
                  <w:r>
                    <w:t xml:space="preserve"> dan zou daa</w:t>
                  </w:r>
                  <w:r>
                    <w:t xml:space="preserve">rom de regeling – teneinde te voorkomen dat de rechter in politiek vaarwater terecht komt – zich noodzakelijkerwijs moeten beperken tot slechts een </w:t>
                  </w:r>
                  <w:r>
                    <w:t xml:space="preserve">klein </w:t>
                  </w:r>
                  <w:r>
                    <w:t>deel van de daadwerkelijk gerezen geschillen. In dat geval zou sprake zijn van een minder effectieve g</w:t>
                  </w:r>
                  <w:r>
                    <w:t xml:space="preserve">eschilbeslechting dan met het voorliggend voorstel kan worden bereikt. </w:t>
                  </w:r>
                </w:p>
                <w:p w:rsidR="002542B9" w:rsidP="002542B9" w:rsidRDefault="00F86568"/>
                <w:p w:rsidR="002542B9" w:rsidP="002542B9" w:rsidRDefault="00F86568">
                  <w:r>
                    <w:t xml:space="preserve">De Afdeling adviseert de toelichting op dit punt aan te vullen. </w:t>
                  </w:r>
                </w:p>
                <w:p w:rsidR="002542B9" w:rsidP="002542B9" w:rsidRDefault="00F86568"/>
                <w:p w:rsidR="002542B9" w:rsidP="00FB28CB" w:rsidRDefault="00F86568">
                  <w:pPr>
                    <w:keepNext/>
                  </w:pPr>
                  <w:r>
                    <w:t>c.</w:t>
                  </w:r>
                  <w:r>
                    <w:tab/>
                  </w:r>
                  <w:r>
                    <w:rPr>
                      <w:i/>
                    </w:rPr>
                    <w:t>Gewicht van het oordeel</w:t>
                  </w:r>
                </w:p>
                <w:p w:rsidR="002542B9" w:rsidP="002542B9" w:rsidRDefault="00F86568">
                  <w:r>
                    <w:t>Een belangrijk voordeel van het voorliggend voorstel is derhalve de brede reikwijdte ervan; ook geschillen met een gemengd karakter kunnen worden voorgelegd. Daarmee is de effectiviteit van de regeling nog niet gewaarborgd. Van een effectieve geschillenreg</w:t>
                  </w:r>
                  <w:r>
                    <w:t xml:space="preserve">eling die bij alle partijen op voldoende draagvlak kan rekenen, is alleen sprake indien het geschil behandeld wordt volgens een in de wet geregelde procedure door een onafhankelijke instantie waarvan het oordeel zwaar weegt. </w:t>
                  </w:r>
                </w:p>
                <w:p w:rsidR="002542B9" w:rsidP="002542B9" w:rsidRDefault="00F86568"/>
                <w:p w:rsidR="002542B9" w:rsidP="00A9622B" w:rsidRDefault="00F86568">
                  <w:r>
                    <w:t xml:space="preserve">Gezien het bovenstaande acht </w:t>
                  </w:r>
                  <w:r>
                    <w:t>de Afdeling het wetsvoorstel ontoereikend. In het voorgestelde artikel 11 wordt bepaald dat de Rijksministerraad beslist over het geschil en daarbij ‘rekening houdt met het oordeel van de Raad van State van het Koninkrijk’. Mede gelet op het feit dat de Ko</w:t>
                  </w:r>
                  <w:r>
                    <w:t>ninkrijksregering partij is bij het geschil, is een dergelijke maatstaf te zwak: zij drukt slechts uit dat de RMR dit oordeel heeft mee te wegen, maar geeft geen indicatie hoe die weging verricht moet worden. In de toelichting wordt slechts vermeld dat afw</w:t>
                  </w:r>
                  <w:r>
                    <w:t>ijking van het oordeel gemotiveerd dient te worden.</w:t>
                  </w:r>
                  <w:r>
                    <w:rPr>
                      <w:rStyle w:val="Voetnootmarkering"/>
                    </w:rPr>
                    <w:footnoteReference w:id="15"/>
                  </w:r>
                  <w:r>
                    <w:t xml:space="preserve"> Nog daargelaten dat deze verplichting niet in de wettekst tot uitdrukking komt, blijkt hieruit niet welk gewicht aan het oordeel van de Raad toekomt. Tegen deze achtergrond is de Afdeling van oordeel dat</w:t>
                  </w:r>
                  <w:r>
                    <w:t xml:space="preserve"> in het wetsvoorstel tot uitdrukking zou moeten komen dat de Rijksministerraad alleen afwijkt van het oordeel van de Raad indien zeer zwaarwegende gronden daartoe aanleiding geven.</w:t>
                  </w:r>
                  <w:r>
                    <w:rPr>
                      <w:rStyle w:val="Voetnootmarkering"/>
                    </w:rPr>
                    <w:footnoteReference w:id="16"/>
                  </w:r>
                </w:p>
                <w:p w:rsidR="002542B9" w:rsidP="002542B9" w:rsidRDefault="00F86568"/>
                <w:p w:rsidR="002542B9" w:rsidP="002542B9" w:rsidRDefault="00F86568">
                  <w:r>
                    <w:t>De Afdeling adviseert het voorstel in deze zin aan te passen.</w:t>
                  </w:r>
                </w:p>
                <w:p w:rsidR="002542B9" w:rsidP="002542B9" w:rsidRDefault="00F86568"/>
                <w:p w:rsidR="002542B9" w:rsidP="002542B9" w:rsidRDefault="00F86568">
                  <w:pPr>
                    <w:rPr>
                      <w:i/>
                    </w:rPr>
                  </w:pPr>
                  <w:r>
                    <w:rPr>
                      <w:i/>
                    </w:rPr>
                    <w:t xml:space="preserve">d. </w:t>
                  </w:r>
                  <w:r>
                    <w:rPr>
                      <w:i/>
                    </w:rPr>
                    <w:tab/>
                    <w:t>Beoord</w:t>
                  </w:r>
                  <w:r>
                    <w:rPr>
                      <w:i/>
                    </w:rPr>
                    <w:t>eling van rechtsvragen</w:t>
                  </w:r>
                </w:p>
                <w:p w:rsidR="002542B9" w:rsidP="002542B9" w:rsidRDefault="00F86568">
                  <w:r>
                    <w:t xml:space="preserve">Het bovenstaande onder c heeft betrekking op het gewicht dat dient toe te komen aan het oordeel van de Raad in algemene zin. Aan dat oordeel zal echter meer in het </w:t>
                  </w:r>
                  <w:r>
                    <w:lastRenderedPageBreak/>
                    <w:t>bijzonder belang moeten worden gehecht in geschillen waarin (ook) rec</w:t>
                  </w:r>
                  <w:r>
                    <w:t xml:space="preserve">htsvragen aan de orde zijn. Afhankelijk van de aard van de rechtsvraag zal sprake zijn van een zekere </w:t>
                  </w:r>
                  <w:proofErr w:type="spellStart"/>
                  <w:r>
                    <w:t>be</w:t>
                  </w:r>
                  <w:r>
                    <w:t>oordeling</w:t>
                  </w:r>
                  <w:r>
                    <w:t>vrijheid</w:t>
                  </w:r>
                  <w:proofErr w:type="spellEnd"/>
                  <w:r>
                    <w:t xml:space="preserve"> van de betrokken bestuursorganen </w:t>
                  </w:r>
                  <w:r>
                    <w:t xml:space="preserve">met betrekking tot de wijze waarop de </w:t>
                  </w:r>
                  <w:r>
                    <w:t xml:space="preserve">geldende regels </w:t>
                  </w:r>
                  <w:r>
                    <w:t>wordt toegepast</w:t>
                  </w:r>
                  <w:r>
                    <w:t>. In die constellatie kan een ge</w:t>
                  </w:r>
                  <w:r>
                    <w:t>schillenregeling alleen effectief zijn als de geschilleninstantie en de betrokken bestuursorganen elkaars positie respecteren. Enerzijds dient de onafhankelijke instantie die het geschil behandelt rekening te houden met de bestuurlijke beoordelingsvrijheid</w:t>
                  </w:r>
                  <w:r>
                    <w:t xml:space="preserve"> bij de toepassing van bepaalde regels (met inbegrip van het Statuut). Anderzijds ligt het in de rede dat indien de geschilleninstantie met inachtneming van deze beoordelingsvrijheid een rechtsoordeel uitspreekt, het bevoegde orgaan dit oordeel altijd volg</w:t>
                  </w:r>
                  <w:r>
                    <w:t>t.</w:t>
                  </w:r>
                  <w:r>
                    <w:rPr>
                      <w:rStyle w:val="Voetnootmarkering"/>
                    </w:rPr>
                    <w:footnoteReference w:id="17"/>
                  </w:r>
                  <w:r>
                    <w:t xml:space="preserve"> </w:t>
                  </w:r>
                </w:p>
                <w:p w:rsidRPr="00CD5575" w:rsidR="002542B9" w:rsidP="002542B9" w:rsidRDefault="00F86568"/>
                <w:p w:rsidR="002542B9" w:rsidP="002542B9" w:rsidRDefault="00F86568">
                  <w:r>
                    <w:t xml:space="preserve">Gelet op het bovenstaande rijst de vraag in hoeverre voor een rechtsoordeel dat de Raad in een geschil uitspreekt, een aanvullende regeling moet gelden. </w:t>
                  </w:r>
                  <w:r w:rsidRPr="003F6400">
                    <w:t xml:space="preserve">De Afdeling wijst </w:t>
                  </w:r>
                  <w:r>
                    <w:t xml:space="preserve">in dat verband op </w:t>
                  </w:r>
                  <w:r w:rsidRPr="00A56359">
                    <w:t xml:space="preserve">de </w:t>
                  </w:r>
                  <w:r>
                    <w:t xml:space="preserve">geschillenregeling in de </w:t>
                  </w:r>
                  <w:r w:rsidRPr="00A56359">
                    <w:t>Rijkswet financieel toezicht Cura</w:t>
                  </w:r>
                  <w:r w:rsidRPr="00A56359">
                    <w:t>çao en Sint Maarten (</w:t>
                  </w:r>
                  <w:proofErr w:type="spellStart"/>
                  <w:r w:rsidRPr="00A56359">
                    <w:t>Rft</w:t>
                  </w:r>
                  <w:proofErr w:type="spellEnd"/>
                  <w:r w:rsidRPr="00A56359">
                    <w:t xml:space="preserve">). </w:t>
                  </w:r>
                  <w:r>
                    <w:t>In die wet is geregeld dat de Koninkrijksregering niet afwijkt van het oordeel van de Raad, voor zover dat oordeel</w:t>
                  </w:r>
                  <w:r w:rsidRPr="00A56359">
                    <w:t xml:space="preserve"> uitsluitend is gebaseerd op rechtmatigheidsgronden.</w:t>
                  </w:r>
                  <w:r w:rsidRPr="003F6400">
                    <w:rPr>
                      <w:rStyle w:val="Voetnootmarkering"/>
                    </w:rPr>
                    <w:footnoteReference w:id="18"/>
                  </w:r>
                  <w:r w:rsidRPr="003F6400">
                    <w:t xml:space="preserve"> </w:t>
                  </w:r>
                  <w:r>
                    <w:t>Met deze regeling is destijds beoogd, zo blijkt uit de toelic</w:t>
                  </w:r>
                  <w:r>
                    <w:t xml:space="preserve">hting, te voorkomen dat de Koninkrijksregering, die tevens partij is in het geschil, </w:t>
                  </w:r>
                  <w:r w:rsidRPr="00A56359">
                    <w:t xml:space="preserve">een haar onwelgevallig advies </w:t>
                  </w:r>
                  <w:r>
                    <w:t xml:space="preserve">te gemakkelijk </w:t>
                  </w:r>
                  <w:r w:rsidRPr="00A56359">
                    <w:t>naast zich neer zou</w:t>
                  </w:r>
                  <w:r>
                    <w:t xml:space="preserve"> k</w:t>
                  </w:r>
                  <w:r w:rsidRPr="00A56359">
                    <w:t>unnen leggen</w:t>
                  </w:r>
                  <w:r>
                    <w:t>.</w:t>
                  </w:r>
                  <w:r w:rsidRPr="003F6400">
                    <w:rPr>
                      <w:rStyle w:val="Voetnootmarkering"/>
                    </w:rPr>
                    <w:footnoteReference w:id="19"/>
                  </w:r>
                  <w:r>
                    <w:t xml:space="preserve"> Uit de toelichting blijkt niet waarom in het voorliggende voorstel niet een vergelijkbare </w:t>
                  </w:r>
                  <w:r>
                    <w:t xml:space="preserve">bepaling is opgenomen en – voor zover de Koninkrijksregering van oordeel zou zijn dat daarvoor geen aanleiding bestaat – in hoeverre de geschillen die vallen onder de </w:t>
                  </w:r>
                  <w:proofErr w:type="spellStart"/>
                  <w:r>
                    <w:t>Rft</w:t>
                  </w:r>
                  <w:proofErr w:type="spellEnd"/>
                  <w:r>
                    <w:t xml:space="preserve"> in relevante mate verschillen van de geschillen die door het voorliggende wetsvoorste</w:t>
                  </w:r>
                  <w:r>
                    <w:t xml:space="preserve">l worden bestreken. </w:t>
                  </w:r>
                </w:p>
                <w:p w:rsidR="002542B9" w:rsidP="002542B9" w:rsidRDefault="00F86568"/>
                <w:p w:rsidR="002542B9" w:rsidP="002542B9" w:rsidRDefault="00F86568">
                  <w:r>
                    <w:t xml:space="preserve">De Afdeling adviseert in de toelichting op het bovenstaande in te gaan en zo nodig het voorstel aan te passen. </w:t>
                  </w:r>
                </w:p>
                <w:p w:rsidR="002542B9" w:rsidP="002542B9" w:rsidRDefault="00F86568"/>
                <w:p w:rsidR="002542B9" w:rsidP="002542B9" w:rsidRDefault="00F86568">
                  <w:pPr>
                    <w:rPr>
                      <w:u w:val="single"/>
                    </w:rPr>
                  </w:pPr>
                  <w:r>
                    <w:t>4.</w:t>
                  </w:r>
                  <w:r>
                    <w:tab/>
                  </w:r>
                  <w:r>
                    <w:rPr>
                      <w:u w:val="single"/>
                    </w:rPr>
                    <w:t>Wijze van geschillenbehandeling</w:t>
                  </w:r>
                </w:p>
                <w:p w:rsidRPr="006919A8" w:rsidR="002542B9" w:rsidP="002542B9" w:rsidRDefault="00F86568">
                  <w:pPr>
                    <w:rPr>
                      <w:u w:val="single"/>
                    </w:rPr>
                  </w:pPr>
                </w:p>
                <w:p w:rsidR="002542B9" w:rsidP="002542B9" w:rsidRDefault="00F86568">
                  <w:r>
                    <w:t>De reikwijdte van de geschillenregeling is zeer ruim. Het kan feitelijk gaan om vrijw</w:t>
                  </w:r>
                  <w:r>
                    <w:t>el elke voorgenomen voorziening van de RMR waarover voortgezet overleg is gevoerd en desondanks bezwaren zijn blijven bestaan. Zoals de toelichting opmerkt</w:t>
                  </w:r>
                  <w:r>
                    <w:t>,</w:t>
                  </w:r>
                  <w:r>
                    <w:t xml:space="preserve"> komt bijna ieder geschil voor behandeling in aanmerking, van de inzet van het Koninkrijk in buitenl</w:t>
                  </w:r>
                  <w:r>
                    <w:t>andse onderhandelingen, het weigeren van instemming met een buitenlandse geldlening tot de vraag of het Koninkrijk bevoegd is om in te grijpen in één van de landen op grond van artikel 43 juncto artikel 51 Statuut.</w:t>
                  </w:r>
                  <w:r>
                    <w:rPr>
                      <w:rStyle w:val="Voetnootmarkering"/>
                    </w:rPr>
                    <w:footnoteReference w:id="20"/>
                  </w:r>
                  <w:r>
                    <w:t xml:space="preserve"> </w:t>
                  </w:r>
                </w:p>
                <w:p w:rsidR="002542B9" w:rsidP="002542B9" w:rsidRDefault="00F86568">
                  <w:r>
                    <w:t>Gelet op deze ruime reikwijdte biedt he</w:t>
                  </w:r>
                  <w:r>
                    <w:t>t voorstel veel ruimte aan de Raad om te bepalen welke toetsingsmaatstaven gehanteerd moeten worden bij de beoordeling van het geschil en welke aspecten bij die beoordeling een rol mogen spelen. Het voorstel stelt hierover in artikel 6 uitsluitend dat de R</w:t>
                  </w:r>
                  <w:r>
                    <w:t xml:space="preserve">aad bij de beoordeling de bezwaren van het betrokken land betrekt en de belangen van het Koninkrijk en daarnaast alle feiten en rechtsgronden die hij van belang acht. </w:t>
                  </w:r>
                </w:p>
                <w:p w:rsidR="002542B9" w:rsidP="002542B9" w:rsidRDefault="00F86568"/>
                <w:p w:rsidR="002542B9" w:rsidP="002542B9" w:rsidRDefault="00F86568">
                  <w:r>
                    <w:lastRenderedPageBreak/>
                    <w:t>De Afdeling wijst erop dat dit artikel voor meerder</w:t>
                  </w:r>
                  <w:r>
                    <w:t>lei</w:t>
                  </w:r>
                  <w:r>
                    <w:t xml:space="preserve"> uitleg vatbaar is. Enerzijds kan</w:t>
                  </w:r>
                  <w:r>
                    <w:t xml:space="preserve"> het worden gelezen als een beperking van de belangen die de Raad mag betrekken bij de beoordeling van het geschil. Zo rijst de vraag of, gelet op de formulering van dit artikel, de Raad ook de belangen van eventuele derden, zoals één van de andere landen,</w:t>
                  </w:r>
                  <w:r>
                    <w:t xml:space="preserve"> kan betrekken. Daarvoor kan reden zijn omdat een geschil tussen het Koninkrijk en een van de landen, ook met het oog op de mogelijkheid van precedentwerking, rechtstreeks van invloed kan zijn op de positie en de belangen van een of meer andere landen. And</w:t>
                  </w:r>
                  <w:r>
                    <w:t xml:space="preserve">erzijds kan het artikel zo worden uitgelegd dat de Raad </w:t>
                  </w:r>
                  <w:r>
                    <w:t xml:space="preserve">niet alleen </w:t>
                  </w:r>
                  <w:r>
                    <w:t xml:space="preserve">alle aspecten die hij van belang acht, in de beoordeling mag betrekken </w:t>
                  </w:r>
                  <w:r>
                    <w:t xml:space="preserve">maar ook </w:t>
                  </w:r>
                  <w:r>
                    <w:t>zelf per geschil de toe te passen maatstaven mag identificeren. Omtrent de toe te passen maatstaven geeft ar</w:t>
                  </w:r>
                  <w:r>
                    <w:t xml:space="preserve">tikel 6 immers, anders dan het kopje van het artikel (‘Beoordelingscriteria’) wellicht doet vermoeden, geen inhoudelijke richtsnoeren.  </w:t>
                  </w:r>
                </w:p>
                <w:p w:rsidR="002542B9" w:rsidP="002542B9" w:rsidRDefault="00F86568"/>
                <w:p w:rsidR="002542B9" w:rsidP="002542B9" w:rsidRDefault="00F86568">
                  <w:r>
                    <w:t xml:space="preserve">Uit het artikel, noch uit de toelichting blijkt voldoende op welke wijze artikel 6 geïnterpreteerd zou moeten worden. </w:t>
                  </w:r>
                  <w:r>
                    <w:t>Voorkomen moet worden dat het voorstel lijkt te suggereren dat er concrete wettelijke maatstaven bestaan, terwijl het feitelijk aan de Raad wordt overgelaten om deze te formuleren. Tevens moet de ruimte die de Raad heeft voor beoordeling van het geschil do</w:t>
                  </w:r>
                  <w:r>
                    <w:t>or het voorstel niet onnodig worden beperkt. Mede gelet op de voorgeschiedenis van de totstandkoming van de geschillenregeling (zie punt 2) alsook recente ervaringen</w:t>
                  </w:r>
                  <w:r>
                    <w:rPr>
                      <w:rStyle w:val="Voetnootmarkering"/>
                    </w:rPr>
                    <w:footnoteReference w:id="21"/>
                  </w:r>
                  <w:r>
                    <w:t xml:space="preserve"> is het van belang dat het voorstel voldoende ruimte biedt om het geschil te behandelen op</w:t>
                  </w:r>
                  <w:r>
                    <w:t xml:space="preserve"> een wijze die recht doet aan de bijzondere omstandigheden van het concrete geval. </w:t>
                  </w:r>
                </w:p>
                <w:p w:rsidR="002542B9" w:rsidP="002542B9" w:rsidRDefault="00F86568"/>
                <w:p w:rsidR="002542B9" w:rsidP="002542B9" w:rsidRDefault="00F86568">
                  <w:r>
                    <w:t>De Afdeling adviseert in de toelichting op het bovenstaande in te gaan en zo nodig artikel 6 te verduidelijken dan wel te schrappen.</w:t>
                  </w:r>
                </w:p>
                <w:p w:rsidR="002542B9" w:rsidP="002542B9" w:rsidRDefault="00F86568"/>
                <w:p w:rsidR="002542B9" w:rsidP="002542B9" w:rsidRDefault="00F86568">
                  <w:pPr>
                    <w:rPr>
                      <w:u w:val="single"/>
                    </w:rPr>
                  </w:pPr>
                  <w:r w:rsidRPr="001247E9">
                    <w:t>5.</w:t>
                  </w:r>
                  <w:r w:rsidRPr="001247E9">
                    <w:tab/>
                  </w:r>
                  <w:r w:rsidRPr="00813BA2">
                    <w:rPr>
                      <w:u w:val="single"/>
                    </w:rPr>
                    <w:t>Aanwijzingen aan de Gouverneur</w:t>
                  </w:r>
                </w:p>
                <w:p w:rsidRPr="00813BA2" w:rsidR="002542B9" w:rsidP="002542B9" w:rsidRDefault="00F86568">
                  <w:pPr>
                    <w:rPr>
                      <w:u w:val="single"/>
                    </w:rPr>
                  </w:pPr>
                </w:p>
                <w:p w:rsidR="002542B9" w:rsidP="002542B9" w:rsidRDefault="00F86568">
                  <w:r>
                    <w:t>De</w:t>
                  </w:r>
                  <w:r>
                    <w:t xml:space="preserve"> voorgestelde geschillenregeling ziet uitsluitend op de behandeling van geschillen tussen het Koninkrijk en een of meer van de landen, niet op die tussen landen onderling</w:t>
                  </w:r>
                  <w:r>
                    <w:t xml:space="preserve"> (daarop heeft artikel 38a van het Statuut betrekking)</w:t>
                  </w:r>
                  <w:r>
                    <w:t xml:space="preserve">. Naast deze beperking kent het </w:t>
                  </w:r>
                  <w:r>
                    <w:t>voorstel nog drie andere categorieën van geschillen die niet onder de regeling vallen. De eerste beperking is dat indien er in een bijzondere rijkswet of een algemene maatregel van rijksbestuur (amvrb) met betrekking tot een specifiek onderwerp al een eige</w:t>
                  </w:r>
                  <w:r>
                    <w:t xml:space="preserve">n geschillenregeling is opgenomen, deze specifieke regeling voorrang heeft. Het gaat hier bijvoorbeeld om geschillen op basis van de </w:t>
                  </w:r>
                  <w:proofErr w:type="spellStart"/>
                  <w:r>
                    <w:t>Rft</w:t>
                  </w:r>
                  <w:proofErr w:type="spellEnd"/>
                  <w:r>
                    <w:t xml:space="preserve">. De tweede uitgezonderde categorie betreft voorstellen van rijkswet en ontwerpen van </w:t>
                  </w:r>
                  <w:proofErr w:type="spellStart"/>
                  <w:r>
                    <w:t>amvrb’s</w:t>
                  </w:r>
                  <w:proofErr w:type="spellEnd"/>
                  <w:r>
                    <w:t>. Deze worden in het wetgev</w:t>
                  </w:r>
                  <w:r>
                    <w:t>ingsproces reeds ter advisering aangeboden aan de Raad. De laatste categorie betreft geschillen over beslissingen of voorgenomen beslissingen die reeds op grond van een bijzondere regeling aan (de Afdeling advisering van) de Raad van State worden voorgeleg</w:t>
                  </w:r>
                  <w:r>
                    <w:t>d. Het gaat hier bijvoorbeeld om de situatie waarin een Gouverneur een landsverordening of landsbesluit niet vaststelt omdat hij deze in strijd acht met het Statuut. Op grond van artikel 21 van het Reglement voor de Gouverneur (</w:t>
                  </w:r>
                  <w:proofErr w:type="spellStart"/>
                  <w:r>
                    <w:t>RvG</w:t>
                  </w:r>
                  <w:proofErr w:type="spellEnd"/>
                  <w:r>
                    <w:t>) besluit de Koninkrijksr</w:t>
                  </w:r>
                  <w:r>
                    <w:t>egering in dat geval of die strijd wel of niet aanwezig is, nadat de Raad daarover is gehoord.</w:t>
                  </w:r>
                </w:p>
                <w:p w:rsidR="002542B9" w:rsidP="002542B9" w:rsidRDefault="00F86568"/>
                <w:p w:rsidR="002542B9" w:rsidP="002542B9" w:rsidRDefault="00F86568">
                  <w:r>
                    <w:t xml:space="preserve">Met betrekking tot aanwijzingen aan de Gouverneur wijst de Afdeling er op dat mogelijk onduidelijkheid kan ontstaan over de vraag welke geschillen over voorgenomen beslissingen van de Rijksministerraad om een Gouverneur een aanwijzing te geven op </w:t>
                  </w:r>
                  <w:r>
                    <w:lastRenderedPageBreak/>
                    <w:t>grond van</w:t>
                  </w:r>
                  <w:r>
                    <w:t xml:space="preserve"> artikel 15 van het </w:t>
                  </w:r>
                  <w:proofErr w:type="spellStart"/>
                  <w:r>
                    <w:t>RvG</w:t>
                  </w:r>
                  <w:proofErr w:type="spellEnd"/>
                  <w:r>
                    <w:t xml:space="preserve"> op grond van de voorgestelde geschillenregeling kunnen worden voorgelegd aan de Raad voor een oordeel. De toelichting stelt dat deze beslissingen onder de reikwijdte van het voorstel vallen.</w:t>
                  </w:r>
                  <w:r>
                    <w:rPr>
                      <w:rStyle w:val="Voetnootmarkering"/>
                    </w:rPr>
                    <w:footnoteReference w:id="22"/>
                  </w:r>
                  <w:r>
                    <w:t xml:space="preserve"> </w:t>
                  </w:r>
                </w:p>
                <w:p w:rsidR="002542B9" w:rsidP="002542B9" w:rsidRDefault="00F86568"/>
                <w:p w:rsidR="002542B9" w:rsidP="002542B9" w:rsidRDefault="00F86568">
                  <w:r>
                    <w:t>De Afdeling onderkent dat dit duidelij</w:t>
                  </w:r>
                  <w:r>
                    <w:t>k is waar het aanwijzingen betreffen die zien op feitelijk handelen van de Gouverneur. In dat geval is de Raad immers niet betrokken in de verdere procedure van een dergelijke aanwijzing. Het is echter ook mogelijk dat een aanwijzing betrekking heeft op he</w:t>
                  </w:r>
                  <w:r>
                    <w:t>t niet vaststellen van een landsverordening of landsbesluit</w:t>
                  </w:r>
                  <w:r>
                    <w:rPr>
                      <w:rStyle w:val="Voetnootmarkering"/>
                    </w:rPr>
                    <w:footnoteReference w:id="23"/>
                  </w:r>
                  <w:r>
                    <w:t xml:space="preserve"> dan wel het vernietigen van een landsverordening of landsbesluit,</w:t>
                  </w:r>
                  <w:r>
                    <w:rPr>
                      <w:rStyle w:val="Voetnootmarkering"/>
                    </w:rPr>
                    <w:footnoteReference w:id="24"/>
                  </w:r>
                  <w:r>
                    <w:t xml:space="preserve"> waarbij vervolgens wel een verplichting bestaat om de Raad te horen. In dat laatste geval zou kunnen worden betoogd dat een gesc</w:t>
                  </w:r>
                  <w:r>
                    <w:t>hil over de aanwijzing niet valt onder de voorgestelde geschillenregeling omdat over de inhoudelijke gevolgen daarvan de Raad nog gehoord wordt. Het is echter ook mogelijk te betogen dat een geschil over de keuze van het geven van een aanwijzing aan de Gou</w:t>
                  </w:r>
                  <w:r>
                    <w:t>verneur los moet worden gezien van de mogelijke inhoud van die aanwijzing, in welk geval zo’n geschil wel onder de voorgestelde geschillenregeling zou vallen. Om conflicten over deze vraag te vermijden is het wenselijk dat onverkort duidelijk is in welke g</w:t>
                  </w:r>
                  <w:r>
                    <w:t xml:space="preserve">evallen de voorgestelde geschillenregeling op grond van artikel 12a Statuut wel en niet van toepassing is. </w:t>
                  </w:r>
                </w:p>
                <w:p w:rsidR="002542B9" w:rsidP="002542B9" w:rsidRDefault="00F86568"/>
                <w:p w:rsidR="002542B9" w:rsidP="002542B9" w:rsidRDefault="00F86568">
                  <w:r>
                    <w:t>De Afdeling adviseert het voorstel op dit punt aan te passen.</w:t>
                  </w:r>
                </w:p>
                <w:p w:rsidR="002542B9" w:rsidP="002542B9" w:rsidRDefault="00F86568"/>
                <w:p w:rsidR="002542B9" w:rsidP="002542B9" w:rsidRDefault="00F86568">
                  <w:pPr>
                    <w:rPr>
                      <w:u w:val="single"/>
                    </w:rPr>
                  </w:pPr>
                  <w:r w:rsidRPr="001247E9">
                    <w:t>6.</w:t>
                  </w:r>
                  <w:r w:rsidRPr="001247E9">
                    <w:tab/>
                  </w:r>
                  <w:r w:rsidRPr="00813BA2">
                    <w:rPr>
                      <w:u w:val="single"/>
                    </w:rPr>
                    <w:t>Terminologie</w:t>
                  </w:r>
                </w:p>
                <w:p w:rsidRPr="00813BA2" w:rsidR="002542B9" w:rsidP="002542B9" w:rsidRDefault="00F86568">
                  <w:pPr>
                    <w:rPr>
                      <w:u w:val="single"/>
                    </w:rPr>
                  </w:pPr>
                </w:p>
                <w:p w:rsidR="002542B9" w:rsidP="002542B9" w:rsidRDefault="00F86568">
                  <w:r>
                    <w:t xml:space="preserve">De term </w:t>
                  </w:r>
                  <w:r>
                    <w:t>‘</w:t>
                  </w:r>
                  <w:r>
                    <w:t>voorgenomen voorziening</w:t>
                  </w:r>
                  <w:r>
                    <w:t>’</w:t>
                  </w:r>
                  <w:r>
                    <w:t xml:space="preserve"> die in het voorstel wordt gehante</w:t>
                  </w:r>
                  <w:r>
                    <w:t xml:space="preserve">erd sluit aan bij de terminologie van artikel 12 Statuut. Desondanks is gebruik van deze term minder gewenst nu het hier een onduidelijk begrip betreft. In de toelichting wordt gesproken van </w:t>
                  </w:r>
                  <w:r>
                    <w:t>‘</w:t>
                  </w:r>
                  <w:r>
                    <w:t>voorgenomen beslissing</w:t>
                  </w:r>
                  <w:r>
                    <w:t>’</w:t>
                  </w:r>
                  <w:r>
                    <w:t>. Het verdient de voorkeur om deze term o</w:t>
                  </w:r>
                  <w:r>
                    <w:t>ok in het voorstel te hanteren.</w:t>
                  </w:r>
                </w:p>
                <w:p w:rsidR="002542B9" w:rsidP="002542B9" w:rsidRDefault="00F86568"/>
                <w:p w:rsidR="005A4B10" w:rsidP="002542B9" w:rsidRDefault="00F86568">
                  <w:r>
                    <w:t>De Afdeling adviseert het voorstel in die zin aan te passen.</w:t>
                  </w:r>
                </w:p>
              </w:sdtContent>
            </w:sdt>
          </w:sdtContent>
        </w:sdt>
        <w:p w:rsidR="003A1FC7" w:rsidRDefault="003A1FC7"/>
        <w:sdt>
          <w:sdtPr>
            <w:alias w:val="Dictum"/>
            <w:tag w:val="Dictum"/>
            <w:id w:val="1621489950"/>
            <w:lock w:val="sdtContentLocked"/>
            <w:placeholder>
              <w:docPart w:val="DefaultPlaceholder_1082065158"/>
            </w:placeholder>
            <w:text w:multiLine="1"/>
          </w:sdtPr>
          <w:sdtEndPr/>
          <w:sdtContent>
            <w:p w:rsidR="00DE3EF6" w:rsidRDefault="00F86568">
              <w:r>
                <w:t>De Afdeling advisering van de Raad van State van het Koninkrijk geeft U in overweging het voorstel van rijkswet te zenden aan de Tweede Kamer der Staten-Gene</w:t>
              </w:r>
              <w:r>
                <w:t>raal, aan de Staten van Aruba, aan die van Curaçao en aan die van Sint Maarten, nadat met het vorenstaande rekening zal zijn gehouden.</w:t>
              </w:r>
              <w:r>
                <w:br/>
              </w:r>
              <w:r>
                <w:br/>
              </w:r>
              <w:r>
                <w:br/>
                <w:t>De vice-president van de Raad van State van het Koninkrijk,</w:t>
              </w:r>
            </w:p>
          </w:sdtContent>
        </w:sdt>
      </w:sdtContent>
    </w:sdt>
    <w:sectPr w:rsidR="00DE3EF6" w:rsidSect="00503044">
      <w:headerReference w:type="default" r:id="rId12"/>
      <w:footerReference w:type="first" r:id="rId13"/>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4B10" w:rsidRDefault="00F86568" w:rsidP="005B3E03">
      <w:r>
        <w:separator/>
      </w:r>
    </w:p>
  </w:endnote>
  <w:endnote w:type="continuationSeparator" w:id="0">
    <w:p w:rsidR="005A4B10" w:rsidRDefault="00F86568"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Univers">
    <w:altName w:val="Arial"/>
    <w:charset w:val="00"/>
    <w:family w:val="swiss"/>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Scal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3EB96810" wp14:editId="69D9F49E">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5"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v:textbox>
                <w:txbxContent>
                  <w:p w:rsidRPr="00B71C66" w:rsidR="00AA44F3" w:rsidP="00AA44F3" w:rsidRDefault="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4B10" w:rsidRDefault="00F86568" w:rsidP="005B3E03">
      <w:r>
        <w:separator/>
      </w:r>
    </w:p>
  </w:footnote>
  <w:footnote w:type="continuationSeparator" w:id="0">
    <w:p w:rsidR="005A4B10" w:rsidRDefault="00F86568" w:rsidP="005B3E03">
      <w:r>
        <w:continuationSeparator/>
      </w:r>
    </w:p>
  </w:footnote>
  <w:footnote w:id="1">
    <w:p w:rsidR="002542B9" w:rsidRDefault="00F86568" w:rsidP="002542B9">
      <w:pPr>
        <w:pStyle w:val="Voetnoottekst"/>
      </w:pPr>
      <w:r>
        <w:rPr>
          <w:rStyle w:val="Voetnootmarkering"/>
        </w:rPr>
        <w:footnoteRef/>
      </w:r>
      <w:r>
        <w:t xml:space="preserve"> </w:t>
      </w:r>
      <w:r>
        <w:tab/>
        <w:t xml:space="preserve">Kamerstukken II </w:t>
      </w:r>
      <w:r>
        <w:t>2009/10, 32 213 (R1903), nr. 3, blz. 6.</w:t>
      </w:r>
    </w:p>
  </w:footnote>
  <w:footnote w:id="2">
    <w:p w:rsidR="002542B9" w:rsidRDefault="00F86568" w:rsidP="002542B9">
      <w:pPr>
        <w:pStyle w:val="Voetnoottekst"/>
      </w:pPr>
      <w:r>
        <w:rPr>
          <w:rStyle w:val="Voetnootmarkering"/>
        </w:rPr>
        <w:footnoteRef/>
      </w:r>
      <w:r>
        <w:t xml:space="preserve"> </w:t>
      </w:r>
      <w:r>
        <w:tab/>
        <w:t>Amendement van de bijzondere gedelegeerden Wever en Thijsen van de Staten van Aruba, Kamerstukken II 2009/10, 32 213 (R1903, nr. 17).</w:t>
      </w:r>
    </w:p>
  </w:footnote>
  <w:footnote w:id="3">
    <w:p w:rsidR="002542B9" w:rsidRDefault="00F86568" w:rsidP="002542B9">
      <w:pPr>
        <w:pStyle w:val="Voetnoottekst"/>
      </w:pPr>
      <w:r>
        <w:rPr>
          <w:rStyle w:val="Voetnootmarkering"/>
        </w:rPr>
        <w:footnoteRef/>
      </w:r>
      <w:r>
        <w:t xml:space="preserve"> </w:t>
      </w:r>
      <w:r>
        <w:tab/>
        <w:t>Artikelen 3-5 en 11 van het voorstel.</w:t>
      </w:r>
    </w:p>
  </w:footnote>
  <w:footnote w:id="4">
    <w:p w:rsidR="002542B9" w:rsidRDefault="00F86568" w:rsidP="002542B9">
      <w:pPr>
        <w:pStyle w:val="Voetnoottekst"/>
        <w:ind w:left="0" w:firstLine="0"/>
      </w:pPr>
      <w:r>
        <w:rPr>
          <w:rStyle w:val="Voetnootmarkering"/>
        </w:rPr>
        <w:footnoteRef/>
      </w:r>
      <w:r>
        <w:tab/>
        <w:t xml:space="preserve">Artikel 3. </w:t>
      </w:r>
    </w:p>
  </w:footnote>
  <w:footnote w:id="5">
    <w:p w:rsidR="002542B9" w:rsidRDefault="00F86568" w:rsidP="002542B9">
      <w:pPr>
        <w:pStyle w:val="Voetnoottekst"/>
      </w:pPr>
      <w:r>
        <w:rPr>
          <w:rStyle w:val="Voetnootmarkering"/>
        </w:rPr>
        <w:footnoteRef/>
      </w:r>
      <w:r>
        <w:t xml:space="preserve"> </w:t>
      </w:r>
      <w:r>
        <w:tab/>
        <w:t xml:space="preserve">Zie Kamerstukken II </w:t>
      </w:r>
      <w:r>
        <w:t>2015/16, 34 300 IV, nr. 25; Kamerstukken II 2015/16, 33 845, nr. 15.</w:t>
      </w:r>
    </w:p>
  </w:footnote>
  <w:footnote w:id="6">
    <w:p w:rsidR="002542B9" w:rsidRDefault="00F86568" w:rsidP="00E26BB6">
      <w:pPr>
        <w:pStyle w:val="Voetnoottekst"/>
      </w:pPr>
      <w:r>
        <w:rPr>
          <w:rStyle w:val="Voetnootmarkering"/>
        </w:rPr>
        <w:footnoteRef/>
      </w:r>
      <w:r>
        <w:t xml:space="preserve"> </w:t>
      </w:r>
      <w:r>
        <w:tab/>
        <w:t>Dit blijkt onder meer uit de Conclusies van de Koninkrijksconferentie van 16 juni 2015, gehouden te Curaçao (bijlage bij de brief van de Minister van BZK van 16 juni 2015, Kamerstukken</w:t>
      </w:r>
      <w:r>
        <w:t xml:space="preserve"> 2014/15, 33 845, nr. 11) en de Afsprakenlijst Interparlementair </w:t>
      </w:r>
      <w:proofErr w:type="spellStart"/>
      <w:r>
        <w:t>Koninkrijksoverleg</w:t>
      </w:r>
      <w:proofErr w:type="spellEnd"/>
      <w:r>
        <w:t xml:space="preserve"> van 27-29 mei 2015, gehouden te Den Haag (Kamerstukken 2014/15, 33 845, nr. 9, blz. 2-3).</w:t>
      </w:r>
      <w:r>
        <w:t xml:space="preserve"> Ook de raden van Advies van </w:t>
      </w:r>
      <w:r>
        <w:t>Curaçao</w:t>
      </w:r>
      <w:r>
        <w:t xml:space="preserve">, Aruba en Sint Maarten zijn kritisch over het </w:t>
      </w:r>
      <w:r>
        <w:t>voorstel</w:t>
      </w:r>
      <w:r>
        <w:t>. Zie voor hun standpunt</w:t>
      </w:r>
      <w:r>
        <w:t xml:space="preserve"> het advies ex artikel 17, onderdeel a, van de landsverordening Raad van Advies (AB 1992 no. GT 3) inzake het toezicht, de samenwerking en de conflictenbeslechting in het Koninkrijk, van 9 juni 2016, kenmerk RvA 78-16, te vi</w:t>
      </w:r>
      <w:r>
        <w:t>nden op www.rva.aw.</w:t>
      </w:r>
    </w:p>
  </w:footnote>
  <w:footnote w:id="7">
    <w:p w:rsidR="002542B9" w:rsidRDefault="00F86568" w:rsidP="002542B9">
      <w:pPr>
        <w:pStyle w:val="Voetnoottekst"/>
      </w:pPr>
      <w:r>
        <w:rPr>
          <w:rStyle w:val="Voetnootmarkering"/>
        </w:rPr>
        <w:footnoteRef/>
      </w:r>
      <w:r>
        <w:t xml:space="preserve"> </w:t>
      </w:r>
      <w:r>
        <w:tab/>
        <w:t>Zie bijvoorbeeld de voorlichting van de Afdeling advisering van de Raad van State van 17 september 2015 over het geven van aanwijzingen aan de Gouverneurs van de landen in het Caribische deel van het Koninkrijk, Kamerstukken II 2014/</w:t>
      </w:r>
      <w:r>
        <w:t>15, 34 000 IV, nr. 62.</w:t>
      </w:r>
    </w:p>
  </w:footnote>
  <w:footnote w:id="8">
    <w:p w:rsidR="002542B9" w:rsidRDefault="00F86568" w:rsidP="002542B9">
      <w:pPr>
        <w:pStyle w:val="Voetnoottekst"/>
      </w:pPr>
      <w:r>
        <w:rPr>
          <w:rStyle w:val="Voetnootmarkering"/>
        </w:rPr>
        <w:footnoteRef/>
      </w:r>
      <w:r>
        <w:t xml:space="preserve"> </w:t>
      </w:r>
      <w:r>
        <w:tab/>
        <w:t>Zie de voorlichting van de Afdeling advisering van de Raad van State van het Koninkrijk over de behandeling van geschillen tussen het Koninkrijk en de landen van het Koninkrijk van 11 november 2010 (W03.10.0370/II/K), beknopt weer</w:t>
      </w:r>
      <w:r>
        <w:t>gegeven in Kamerstukken II 2010/11, 32 500 IV, nr. 50, blz. 19.</w:t>
      </w:r>
    </w:p>
  </w:footnote>
  <w:footnote w:id="9">
    <w:p w:rsidR="002542B9" w:rsidRDefault="00F86568" w:rsidP="002542B9">
      <w:pPr>
        <w:pStyle w:val="Voetnoottekst"/>
      </w:pPr>
      <w:r>
        <w:rPr>
          <w:rStyle w:val="Voetnootmarkering"/>
        </w:rPr>
        <w:footnoteRef/>
      </w:r>
      <w:r>
        <w:t xml:space="preserve"> </w:t>
      </w:r>
      <w:r>
        <w:tab/>
        <w:t>Kamerstukken II 2009/10, 32 213 (R 1903), nr. 11, blz. 2-3 en nr. 23, blz. 5.</w:t>
      </w:r>
    </w:p>
  </w:footnote>
  <w:footnote w:id="10">
    <w:p w:rsidR="002542B9" w:rsidRDefault="00F86568" w:rsidP="002542B9">
      <w:pPr>
        <w:pStyle w:val="Voetnoottekst"/>
      </w:pPr>
      <w:r>
        <w:rPr>
          <w:rStyle w:val="Voetnootmarkering"/>
        </w:rPr>
        <w:footnoteRef/>
      </w:r>
      <w:r>
        <w:t xml:space="preserve"> </w:t>
      </w:r>
      <w:r>
        <w:tab/>
        <w:t>Kamerstukken II 2009/10, 32 213 (R 1903), nr. 17.</w:t>
      </w:r>
    </w:p>
  </w:footnote>
  <w:footnote w:id="11">
    <w:p w:rsidR="002542B9" w:rsidRDefault="00F86568" w:rsidP="002542B9">
      <w:pPr>
        <w:pStyle w:val="Voetnoottekst"/>
      </w:pPr>
      <w:r>
        <w:rPr>
          <w:rStyle w:val="Voetnootmarkering"/>
        </w:rPr>
        <w:footnoteRef/>
      </w:r>
      <w:r>
        <w:t xml:space="preserve"> </w:t>
      </w:r>
      <w:r>
        <w:tab/>
        <w:t>Toelichting, paragraaf 3.2.</w:t>
      </w:r>
    </w:p>
  </w:footnote>
  <w:footnote w:id="12">
    <w:p w:rsidR="002542B9" w:rsidRDefault="00F86568" w:rsidP="002542B9">
      <w:pPr>
        <w:pStyle w:val="Voetnoottekst"/>
      </w:pPr>
      <w:r>
        <w:rPr>
          <w:rStyle w:val="Voetnootmarkering"/>
        </w:rPr>
        <w:footnoteRef/>
      </w:r>
      <w:r>
        <w:t xml:space="preserve"> </w:t>
      </w:r>
      <w:r>
        <w:tab/>
        <w:t xml:space="preserve">Toelichting, paragrafen </w:t>
      </w:r>
      <w:r>
        <w:t>3.2 en 4.2</w:t>
      </w:r>
    </w:p>
  </w:footnote>
  <w:footnote w:id="13">
    <w:p w:rsidR="002542B9" w:rsidRDefault="00F86568" w:rsidP="002542B9">
      <w:pPr>
        <w:pStyle w:val="Voetnoottekst"/>
      </w:pPr>
      <w:r>
        <w:rPr>
          <w:rStyle w:val="Voetnootmarkering"/>
        </w:rPr>
        <w:footnoteRef/>
      </w:r>
      <w:r>
        <w:t xml:space="preserve"> </w:t>
      </w:r>
      <w:r>
        <w:tab/>
        <w:t>Zie onder meer Kamerstukken II 2009/10, 32 213 (R 1903), nr. 9, blz. 3, Kamerstukken II 2009/10, 32 213 (R 1903), nr. 11, blz. 2 en Kamerstukken II 2009/10, 32 213, (R 1903), nr. 17.</w:t>
      </w:r>
    </w:p>
  </w:footnote>
  <w:footnote w:id="14">
    <w:p w:rsidR="002542B9" w:rsidRDefault="00F86568" w:rsidP="002542B9">
      <w:pPr>
        <w:pStyle w:val="Voetnoottekst"/>
      </w:pPr>
      <w:r>
        <w:rPr>
          <w:rStyle w:val="Voetnootmarkering"/>
        </w:rPr>
        <w:footnoteRef/>
      </w:r>
      <w:r>
        <w:t xml:space="preserve"> </w:t>
      </w:r>
      <w:r>
        <w:tab/>
        <w:t>Toelichting, paragraaf 2.4.1.</w:t>
      </w:r>
    </w:p>
  </w:footnote>
  <w:footnote w:id="15">
    <w:p w:rsidR="002542B9" w:rsidRDefault="00F86568" w:rsidP="002542B9">
      <w:pPr>
        <w:pStyle w:val="Voetnoottekst"/>
      </w:pPr>
      <w:r>
        <w:rPr>
          <w:rStyle w:val="Voetnootmarkering"/>
        </w:rPr>
        <w:footnoteRef/>
      </w:r>
      <w:r>
        <w:t xml:space="preserve"> </w:t>
      </w:r>
      <w:r>
        <w:tab/>
        <w:t xml:space="preserve">Paragraaf 3.4. </w:t>
      </w:r>
      <w:r>
        <w:t xml:space="preserve">Zie </w:t>
      </w:r>
      <w:r>
        <w:t xml:space="preserve">ook </w:t>
      </w:r>
      <w:r>
        <w:t>Kamerstukken II 2015/16, 33 845, nr. 15, blz. 2.</w:t>
      </w:r>
    </w:p>
  </w:footnote>
  <w:footnote w:id="16">
    <w:p w:rsidR="002542B9" w:rsidRDefault="00F86568" w:rsidP="002542B9">
      <w:pPr>
        <w:pStyle w:val="Voetnoottekst"/>
      </w:pPr>
      <w:r>
        <w:rPr>
          <w:rStyle w:val="Voetnootmarkering"/>
        </w:rPr>
        <w:footnoteRef/>
      </w:r>
      <w:r>
        <w:t xml:space="preserve"> </w:t>
      </w:r>
      <w:r>
        <w:tab/>
        <w:t xml:space="preserve">Deze formulering is gelijk aan artikel 26, tiende lid, van de </w:t>
      </w:r>
      <w:proofErr w:type="spellStart"/>
      <w:r>
        <w:t>Rft</w:t>
      </w:r>
      <w:proofErr w:type="spellEnd"/>
      <w:r>
        <w:t>.</w:t>
      </w:r>
    </w:p>
  </w:footnote>
  <w:footnote w:id="17">
    <w:p w:rsidR="002542B9" w:rsidRDefault="00F86568" w:rsidP="002542B9">
      <w:pPr>
        <w:pStyle w:val="Voetnoottekst"/>
      </w:pPr>
      <w:r>
        <w:rPr>
          <w:rStyle w:val="Voetnootmarkering"/>
        </w:rPr>
        <w:footnoteRef/>
      </w:r>
      <w:r>
        <w:t xml:space="preserve"> </w:t>
      </w:r>
      <w:r>
        <w:tab/>
        <w:t xml:space="preserve">Dat zal met name het geval moeten zijn bij een oordeel inhoudende dat wettelijke procedurevoorschriften niet zijn nageleefd. </w:t>
      </w:r>
    </w:p>
  </w:footnote>
  <w:footnote w:id="18">
    <w:p w:rsidR="002542B9" w:rsidRDefault="00F86568" w:rsidP="002542B9">
      <w:pPr>
        <w:pStyle w:val="Voetnoottekst"/>
      </w:pPr>
      <w:r>
        <w:rPr>
          <w:rStyle w:val="Voetnootmarkering"/>
        </w:rPr>
        <w:footnoteRef/>
      </w:r>
      <w:r>
        <w:t xml:space="preserve"> </w:t>
      </w:r>
      <w:r>
        <w:tab/>
        <w:t>Artik</w:t>
      </w:r>
      <w:r>
        <w:t xml:space="preserve">el 26, tiende lid, van de </w:t>
      </w:r>
      <w:proofErr w:type="spellStart"/>
      <w:r>
        <w:t>Rft</w:t>
      </w:r>
      <w:proofErr w:type="spellEnd"/>
      <w:r>
        <w:t>.</w:t>
      </w:r>
    </w:p>
  </w:footnote>
  <w:footnote w:id="19">
    <w:p w:rsidR="002542B9" w:rsidRDefault="00F86568" w:rsidP="002542B9">
      <w:pPr>
        <w:pStyle w:val="Voetnoottekst"/>
      </w:pPr>
      <w:r>
        <w:rPr>
          <w:rStyle w:val="Voetnootmarkering"/>
        </w:rPr>
        <w:footnoteRef/>
      </w:r>
      <w:r>
        <w:t xml:space="preserve"> </w:t>
      </w:r>
      <w:r>
        <w:tab/>
        <w:t xml:space="preserve">Zie Kamerstukken II 2008/09, </w:t>
      </w:r>
      <w:r w:rsidRPr="00491F12">
        <w:t>32 026 (R 1888)</w:t>
      </w:r>
      <w:r>
        <w:t>, nr. 3 en nr. 4.</w:t>
      </w:r>
    </w:p>
  </w:footnote>
  <w:footnote w:id="20">
    <w:p w:rsidR="002542B9" w:rsidRDefault="00F86568" w:rsidP="002542B9">
      <w:pPr>
        <w:pStyle w:val="Voetnoottekst"/>
      </w:pPr>
      <w:r>
        <w:rPr>
          <w:rStyle w:val="Voetnootmarkering"/>
        </w:rPr>
        <w:footnoteRef/>
      </w:r>
      <w:r>
        <w:t xml:space="preserve"> </w:t>
      </w:r>
      <w:r>
        <w:tab/>
        <w:t>Toelichting, paragraaf 3.</w:t>
      </w:r>
    </w:p>
  </w:footnote>
  <w:footnote w:id="21">
    <w:p w:rsidR="002542B9" w:rsidRDefault="00F86568" w:rsidP="002542B9">
      <w:pPr>
        <w:pStyle w:val="Voetnoottekst"/>
      </w:pPr>
      <w:r>
        <w:rPr>
          <w:rStyle w:val="Voetnootmarkering"/>
        </w:rPr>
        <w:footnoteRef/>
      </w:r>
      <w:r>
        <w:t xml:space="preserve"> </w:t>
      </w:r>
      <w:r>
        <w:tab/>
        <w:t xml:space="preserve">Zie bijvoorbeeld Kamerstukken II 2017/18, </w:t>
      </w:r>
      <w:r w:rsidRPr="005A6377">
        <w:t>31</w:t>
      </w:r>
      <w:r>
        <w:t xml:space="preserve"> </w:t>
      </w:r>
      <w:r w:rsidRPr="005A6377">
        <w:t>568</w:t>
      </w:r>
      <w:r>
        <w:t>,</w:t>
      </w:r>
      <w:r w:rsidRPr="005A6377">
        <w:t xml:space="preserve"> nr. 190</w:t>
      </w:r>
      <w:r>
        <w:t>.</w:t>
      </w:r>
    </w:p>
  </w:footnote>
  <w:footnote w:id="22">
    <w:p w:rsidR="002542B9" w:rsidRDefault="00F86568" w:rsidP="002542B9">
      <w:pPr>
        <w:pStyle w:val="Voetnoottekst"/>
      </w:pPr>
      <w:r>
        <w:rPr>
          <w:rStyle w:val="Voetnootmarkering"/>
        </w:rPr>
        <w:footnoteRef/>
      </w:r>
      <w:r>
        <w:t xml:space="preserve"> </w:t>
      </w:r>
      <w:r>
        <w:tab/>
        <w:t>Toelichting, paragraaf 3.1.1.</w:t>
      </w:r>
    </w:p>
  </w:footnote>
  <w:footnote w:id="23">
    <w:p w:rsidR="002542B9" w:rsidRDefault="00F86568" w:rsidP="002542B9">
      <w:pPr>
        <w:pStyle w:val="Voetnoottekst"/>
      </w:pPr>
      <w:r>
        <w:rPr>
          <w:rStyle w:val="Voetnootmarkering"/>
        </w:rPr>
        <w:footnoteRef/>
      </w:r>
      <w:r>
        <w:t xml:space="preserve"> </w:t>
      </w:r>
      <w:r>
        <w:tab/>
        <w:t xml:space="preserve">Op grond van artikel 21 </w:t>
      </w:r>
      <w:proofErr w:type="spellStart"/>
      <w:r>
        <w:t>RvG</w:t>
      </w:r>
      <w:proofErr w:type="spellEnd"/>
      <w:r>
        <w:t>.</w:t>
      </w:r>
    </w:p>
  </w:footnote>
  <w:footnote w:id="24">
    <w:p w:rsidR="002542B9" w:rsidRDefault="00F86568" w:rsidP="002542B9">
      <w:pPr>
        <w:pStyle w:val="Voetnoottekst"/>
      </w:pPr>
      <w:r>
        <w:rPr>
          <w:rStyle w:val="Voetnootmarkering"/>
        </w:rPr>
        <w:footnoteRef/>
      </w:r>
      <w:r>
        <w:t xml:space="preserve"> </w:t>
      </w:r>
      <w:r>
        <w:tab/>
      </w:r>
      <w:r>
        <w:t xml:space="preserve">Op grond van artikel 22 </w:t>
      </w:r>
      <w:proofErr w:type="spellStart"/>
      <w:r>
        <w:t>RvG</w:t>
      </w:r>
      <w:proofErr w:type="spellEnd"/>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F86568">
      <w:rPr>
        <w:rStyle w:val="Paginanummer"/>
        <w:noProof/>
      </w:rPr>
      <w:t>2</w:t>
    </w:r>
    <w:r>
      <w:rPr>
        <w:rStyle w:val="Paginanumm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554D5"/>
    <w:multiLevelType w:val="hybridMultilevel"/>
    <w:tmpl w:val="89B2E29C"/>
    <w:lvl w:ilvl="0" w:tplc="3E023102">
      <w:start w:val="2"/>
      <w:numFmt w:val="bullet"/>
      <w:lvlText w:val="-"/>
      <w:lvlJc w:val="left"/>
      <w:pPr>
        <w:ind w:left="720" w:hanging="360"/>
      </w:pPr>
      <w:rPr>
        <w:rFonts w:ascii="Univers" w:eastAsia="MS Mincho"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5"/>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656A3"/>
    <w:rsid w:val="0027703A"/>
    <w:rsid w:val="002A16F1"/>
    <w:rsid w:val="002C6867"/>
    <w:rsid w:val="002D0875"/>
    <w:rsid w:val="00303CA7"/>
    <w:rsid w:val="00322CB5"/>
    <w:rsid w:val="003A1FC7"/>
    <w:rsid w:val="004421C1"/>
    <w:rsid w:val="004C120D"/>
    <w:rsid w:val="00503044"/>
    <w:rsid w:val="006D3E6B"/>
    <w:rsid w:val="0071031E"/>
    <w:rsid w:val="00724C4B"/>
    <w:rsid w:val="00743D19"/>
    <w:rsid w:val="00831756"/>
    <w:rsid w:val="009E72D2"/>
    <w:rsid w:val="00A349AF"/>
    <w:rsid w:val="00AA44F3"/>
    <w:rsid w:val="00B03C96"/>
    <w:rsid w:val="00B44919"/>
    <w:rsid w:val="00C02F92"/>
    <w:rsid w:val="00C5066A"/>
    <w:rsid w:val="00C50D4F"/>
    <w:rsid w:val="00C94D31"/>
    <w:rsid w:val="00D32A9E"/>
    <w:rsid w:val="00D76613"/>
    <w:rsid w:val="00DE075A"/>
    <w:rsid w:val="00DE1A79"/>
    <w:rsid w:val="00DE3EF6"/>
    <w:rsid w:val="00DF6602"/>
    <w:rsid w:val="00E722B1"/>
    <w:rsid w:val="00E905C7"/>
    <w:rsid w:val="00F86568"/>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66A55"/>
    <w:pPr>
      <w:tabs>
        <w:tab w:val="left" w:pos="227"/>
      </w:tabs>
      <w:ind w:left="227" w:hanging="227"/>
    </w:pPr>
    <w:rPr>
      <w:sz w:val="18"/>
      <w:szCs w:val="20"/>
    </w:rPr>
  </w:style>
  <w:style w:type="character" w:customStyle="1" w:styleId="VoetnoottekstChar">
    <w:name w:val="Voetnoottekst Char"/>
    <w:link w:val="Voetnoottekst"/>
    <w:rsid w:val="00266A55"/>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rsid w:val="00361B84"/>
    <w:rPr>
      <w:vertAlign w:val="superscript"/>
    </w:r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66A55"/>
    <w:pPr>
      <w:tabs>
        <w:tab w:val="left" w:pos="227"/>
      </w:tabs>
      <w:ind w:left="227" w:hanging="227"/>
    </w:pPr>
    <w:rPr>
      <w:sz w:val="18"/>
      <w:szCs w:val="20"/>
    </w:rPr>
  </w:style>
  <w:style w:type="character" w:customStyle="1" w:styleId="VoetnoottekstChar">
    <w:name w:val="Voetnoottekst Char"/>
    <w:link w:val="Voetnoottekst"/>
    <w:rsid w:val="00266A55"/>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rsid w:val="00361B84"/>
    <w:rPr>
      <w:vertAlign w:val="superscript"/>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6" /><Relationship Type="http://schemas.microsoft.com/office/2006/relationships/keyMapCustomizations" Target="customizations.xml" Id="rId1" /><Relationship Type="http://schemas.microsoft.com/office/2007/relationships/stylesWithEffects" Target="stylesWithEffects.xml" Id="rId6" /><Relationship Type="http://schemas.openxmlformats.org/officeDocument/2006/relationships/image" Target="media/image1.png" Id="rId11" /><Relationship Type="http://schemas.openxmlformats.org/officeDocument/2006/relationships/styles" Target="styles.xml" Id="rId5" /><Relationship Type="http://schemas.openxmlformats.org/officeDocument/2006/relationships/glossaryDocument" Target="glossary/document.xml" Id="rId1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Univers">
    <w:altName w:val="Arial"/>
    <w:charset w:val="00"/>
    <w:family w:val="swiss"/>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Scal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3112</ap:Words>
  <ap:Characters>17118</ap:Characters>
  <ap:DocSecurity>4</ap:DocSecurity>
  <ap:Lines>142</ap:Lines>
  <ap:Paragraphs>40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20190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2018-11-27T13:56:00.0000000Z</dcterms:created>
  <dcterms:modified xsi:type="dcterms:W3CDTF">2018-11-27T13:56:00.0000000Z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0x010100740A3278882D7E42AF34EF9053E1C495</vt:lpwstr>
  </property>
</Properties>
</file>