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77" w:rsidP="00F23677" w:rsidRDefault="005512E8">
      <w:pPr>
        <w:rPr>
          <w:b/>
          <w:szCs w:val="18"/>
        </w:rPr>
      </w:pPr>
      <w:r>
        <w:rPr>
          <w:b/>
          <w:szCs w:val="18"/>
        </w:rPr>
        <w:t>Bijlage 4:</w:t>
      </w:r>
      <w:r w:rsidR="003326EE">
        <w:rPr>
          <w:b/>
          <w:szCs w:val="18"/>
        </w:rPr>
        <w:t xml:space="preserve"> </w:t>
      </w:r>
      <w:bookmarkStart w:name="_GoBack" w:id="0"/>
      <w:r w:rsidRPr="000F0B97" w:rsidR="00F23677">
        <w:rPr>
          <w:b/>
          <w:szCs w:val="18"/>
        </w:rPr>
        <w:t>R</w:t>
      </w:r>
      <w:r w:rsidR="003326EE">
        <w:rPr>
          <w:b/>
          <w:szCs w:val="18"/>
        </w:rPr>
        <w:t>egeerakkoord</w:t>
      </w:r>
      <w:r w:rsidRPr="000F0B97" w:rsidR="00F23677">
        <w:rPr>
          <w:b/>
          <w:szCs w:val="18"/>
        </w:rPr>
        <w:t>middelen op de aanvullende post</w:t>
      </w:r>
      <w:bookmarkEnd w:id="0"/>
    </w:p>
    <w:p w:rsidR="00327816" w:rsidP="00327816" w:rsidRDefault="00327816">
      <w:pPr>
        <w:spacing w:after="0" w:line="240" w:lineRule="exact"/>
        <w:contextualSpacing/>
        <w:rPr>
          <w:rFonts w:eastAsia="Times New Roman" w:cs="Times New Roman"/>
          <w:szCs w:val="18"/>
          <w:lang w:eastAsia="nl-NL"/>
        </w:rPr>
      </w:pPr>
      <w:r w:rsidRPr="0040767B">
        <w:rPr>
          <w:rFonts w:eastAsia="Times New Roman" w:cs="Times New Roman"/>
          <w:szCs w:val="18"/>
          <w:lang w:eastAsia="nl-NL"/>
        </w:rPr>
        <w:t xml:space="preserve">In deze bijlage </w:t>
      </w:r>
      <w:r>
        <w:rPr>
          <w:rFonts w:eastAsia="Times New Roman" w:cs="Times New Roman"/>
          <w:szCs w:val="18"/>
          <w:lang w:eastAsia="nl-NL"/>
        </w:rPr>
        <w:t xml:space="preserve">zijn de mutaties van de regeerakkoordmiddelen op de aanvullende post tot en met </w:t>
      </w:r>
      <w:r w:rsidR="003B1D8D">
        <w:rPr>
          <w:rFonts w:eastAsia="Times New Roman" w:cs="Times New Roman"/>
          <w:szCs w:val="18"/>
          <w:lang w:eastAsia="nl-NL"/>
        </w:rPr>
        <w:t xml:space="preserve">Najaarsnota </w:t>
      </w:r>
      <w:r>
        <w:rPr>
          <w:rFonts w:eastAsia="Times New Roman" w:cs="Times New Roman"/>
          <w:szCs w:val="18"/>
          <w:lang w:eastAsia="nl-NL"/>
        </w:rPr>
        <w:t xml:space="preserve">en de nieuwe stand bij </w:t>
      </w:r>
      <w:r w:rsidR="003B1D8D">
        <w:rPr>
          <w:rFonts w:eastAsia="Times New Roman" w:cs="Times New Roman"/>
          <w:szCs w:val="18"/>
          <w:lang w:eastAsia="nl-NL"/>
        </w:rPr>
        <w:t>Najaarsnota</w:t>
      </w:r>
      <w:r>
        <w:rPr>
          <w:rFonts w:eastAsia="Times New Roman" w:cs="Times New Roman"/>
          <w:szCs w:val="18"/>
          <w:lang w:eastAsia="nl-NL"/>
        </w:rPr>
        <w:t xml:space="preserve"> opgenomen.</w:t>
      </w:r>
      <w:r w:rsidR="00360512">
        <w:rPr>
          <w:rFonts w:eastAsia="Times New Roman" w:cs="Times New Roman"/>
          <w:szCs w:val="18"/>
          <w:lang w:eastAsia="nl-NL"/>
        </w:rPr>
        <w:t xml:space="preserve"> Aanpassingen als gevolg van Nota’s van Wijziging zijn niet opgenomen</w:t>
      </w:r>
      <w:r w:rsidR="000B7E92">
        <w:rPr>
          <w:rFonts w:eastAsia="Times New Roman" w:cs="Times New Roman"/>
          <w:szCs w:val="18"/>
          <w:lang w:eastAsia="nl-NL"/>
        </w:rPr>
        <w:t>, deze zullen worden opgenomen in het overzicht bij de Voorjaarsnota</w:t>
      </w:r>
      <w:r w:rsidR="00360512">
        <w:rPr>
          <w:rFonts w:eastAsia="Times New Roman" w:cs="Times New Roman"/>
          <w:szCs w:val="18"/>
          <w:lang w:eastAsia="nl-NL"/>
        </w:rPr>
        <w:t>.</w:t>
      </w:r>
      <w:r>
        <w:rPr>
          <w:rFonts w:eastAsia="Times New Roman" w:cs="Times New Roman"/>
          <w:szCs w:val="18"/>
          <w:lang w:eastAsia="nl-NL"/>
        </w:rPr>
        <w:t xml:space="preserve"> De toelichtingen bij de mutaties op de aanvullende post staan in de Verticale Toelichting aanvullende post</w:t>
      </w:r>
      <w:r w:rsidR="000B7E92">
        <w:rPr>
          <w:rFonts w:eastAsia="Times New Roman" w:cs="Times New Roman"/>
          <w:szCs w:val="18"/>
          <w:lang w:eastAsia="nl-NL"/>
        </w:rPr>
        <w:t xml:space="preserve"> (bijlage 3 bij de Najaarsnota)</w:t>
      </w:r>
      <w:r>
        <w:rPr>
          <w:rFonts w:eastAsia="Times New Roman" w:cs="Times New Roman"/>
          <w:szCs w:val="18"/>
          <w:lang w:eastAsia="nl-NL"/>
        </w:rPr>
        <w:t xml:space="preserve">. </w:t>
      </w:r>
    </w:p>
    <w:p w:rsidR="00327816" w:rsidP="00327816" w:rsidRDefault="00327816">
      <w:pPr>
        <w:spacing w:after="0" w:line="240" w:lineRule="exact"/>
        <w:contextualSpacing/>
        <w:rPr>
          <w:rFonts w:eastAsia="Times New Roman" w:cs="Times New Roman"/>
          <w:szCs w:val="18"/>
          <w:lang w:eastAsia="nl-NL"/>
        </w:rPr>
      </w:pPr>
    </w:p>
    <w:p w:rsidR="00327816" w:rsidP="00327816" w:rsidRDefault="00327816">
      <w:pPr>
        <w:spacing w:after="0" w:line="240" w:lineRule="exact"/>
        <w:contextualSpacing/>
        <w:rPr>
          <w:rFonts w:eastAsia="Times New Roman" w:cs="Times New Roman"/>
          <w:szCs w:val="18"/>
          <w:lang w:eastAsia="nl-NL"/>
        </w:rPr>
      </w:pPr>
      <w:r>
        <w:rPr>
          <w:rFonts w:eastAsia="Times New Roman" w:cs="Times New Roman"/>
          <w:szCs w:val="18"/>
          <w:lang w:eastAsia="nl-NL"/>
        </w:rPr>
        <w:t xml:space="preserve">In tabel 1 zijn alle mutaties weergegeven. De mutaties betreffen overhevelingen naar begrotingen en kasschuiven. Daar waar witregels staan, hebben geen mutaties plaatsgevonden. Daar waar een 0 in de reeksen staat, is de mutatie kleiner dan 0,5 mln. </w:t>
      </w:r>
    </w:p>
    <w:p w:rsidR="00327816" w:rsidP="00327816" w:rsidRDefault="00327816">
      <w:pPr>
        <w:spacing w:after="0" w:line="240" w:lineRule="exact"/>
        <w:contextualSpacing/>
        <w:rPr>
          <w:rFonts w:eastAsia="Times New Roman" w:cs="Times New Roman"/>
          <w:szCs w:val="18"/>
          <w:lang w:eastAsia="nl-NL"/>
        </w:rPr>
      </w:pPr>
      <w:r>
        <w:rPr>
          <w:rFonts w:eastAsia="Times New Roman" w:cs="Times New Roman"/>
          <w:szCs w:val="18"/>
          <w:lang w:eastAsia="nl-NL"/>
        </w:rPr>
        <w:t xml:space="preserve">De </w:t>
      </w:r>
      <w:r w:rsidRPr="0040767B">
        <w:rPr>
          <w:rFonts w:eastAsia="Times New Roman" w:cs="Times New Roman"/>
          <w:szCs w:val="18"/>
          <w:lang w:eastAsia="nl-NL"/>
        </w:rPr>
        <w:t>stand van de reserveringen Regeerakkoord op de aa</w:t>
      </w:r>
      <w:r w:rsidR="003B1D8D">
        <w:rPr>
          <w:rFonts w:eastAsia="Times New Roman" w:cs="Times New Roman"/>
          <w:szCs w:val="18"/>
          <w:lang w:eastAsia="nl-NL"/>
        </w:rPr>
        <w:t>nvullende post bij Najaarsnota</w:t>
      </w:r>
      <w:r>
        <w:rPr>
          <w:rFonts w:eastAsia="Times New Roman" w:cs="Times New Roman"/>
          <w:szCs w:val="18"/>
          <w:lang w:eastAsia="nl-NL"/>
        </w:rPr>
        <w:t xml:space="preserve"> zijn zichtbaar in tabel 2.</w:t>
      </w:r>
      <w:r w:rsidRPr="0040767B">
        <w:rPr>
          <w:rFonts w:eastAsia="Times New Roman" w:cs="Times New Roman"/>
          <w:szCs w:val="18"/>
          <w:lang w:eastAsia="nl-NL"/>
        </w:rPr>
        <w:t xml:space="preserve"> </w:t>
      </w:r>
      <w:r>
        <w:rPr>
          <w:rFonts w:eastAsia="Times New Roman" w:cs="Times New Roman"/>
          <w:szCs w:val="18"/>
          <w:lang w:eastAsia="nl-NL"/>
        </w:rPr>
        <w:t xml:space="preserve">Daar waar witregels staan, zijn de middelen Regeerakkoord reeds uitgekeerd. Daar waar </w:t>
      </w:r>
      <w:r w:rsidRPr="0040767B">
        <w:rPr>
          <w:rFonts w:eastAsia="Times New Roman" w:cs="Times New Roman"/>
          <w:szCs w:val="18"/>
          <w:lang w:eastAsia="nl-NL"/>
        </w:rPr>
        <w:t xml:space="preserve">een 0 in de reeksen staat is de stand kleiner dan 0,5 mln. </w:t>
      </w:r>
    </w:p>
    <w:p w:rsidR="00CF3B24" w:rsidP="00327816" w:rsidRDefault="00CF3B24">
      <w:pPr>
        <w:spacing w:after="0" w:line="240" w:lineRule="exact"/>
        <w:contextualSpacing/>
        <w:rPr>
          <w:rFonts w:eastAsia="Times New Roman" w:cs="Times New Roman"/>
          <w:szCs w:val="18"/>
          <w:lang w:eastAsia="nl-NL"/>
        </w:rPr>
      </w:pPr>
    </w:p>
    <w:p w:rsidR="004B6B92" w:rsidP="00F23677" w:rsidRDefault="004B6B92">
      <w:pPr>
        <w:spacing w:after="0" w:line="240" w:lineRule="exact"/>
        <w:contextualSpacing/>
        <w:rPr>
          <w:rFonts w:eastAsia="Times New Roman" w:cs="Times New Roman"/>
          <w:szCs w:val="18"/>
          <w:lang w:eastAsia="nl-NL"/>
        </w:rPr>
      </w:pPr>
    </w:p>
    <w:p w:rsidRPr="0040767B" w:rsidR="003326EE" w:rsidP="003326EE" w:rsidRDefault="003326EE">
      <w:pPr>
        <w:spacing w:after="0"/>
        <w:rPr>
          <w:rFonts w:eastAsia="Times New Roman" w:cs="Times New Roman"/>
          <w:szCs w:val="18"/>
          <w:lang w:eastAsia="nl-NL"/>
        </w:rPr>
      </w:pPr>
      <w:r>
        <w:rPr>
          <w:rFonts w:eastAsia="Times New Roman" w:cs="Times New Roman"/>
          <w:szCs w:val="18"/>
          <w:lang w:eastAsia="nl-NL"/>
        </w:rPr>
        <w:t>Tabel 1</w:t>
      </w:r>
      <w:r w:rsidRPr="0040767B">
        <w:rPr>
          <w:rFonts w:eastAsia="Times New Roman" w:cs="Times New Roman"/>
          <w:szCs w:val="18"/>
          <w:lang w:eastAsia="nl-NL"/>
        </w:rPr>
        <w:t xml:space="preserve">: </w:t>
      </w:r>
      <w:r>
        <w:rPr>
          <w:rFonts w:eastAsia="Times New Roman" w:cs="Times New Roman"/>
          <w:szCs w:val="18"/>
          <w:lang w:eastAsia="nl-NL"/>
        </w:rPr>
        <w:t>mutaties</w:t>
      </w:r>
      <w:r w:rsidRPr="0040767B">
        <w:rPr>
          <w:rFonts w:eastAsia="Times New Roman" w:cs="Times New Roman"/>
          <w:szCs w:val="18"/>
          <w:lang w:eastAsia="nl-NL"/>
        </w:rPr>
        <w:t xml:space="preserve"> Regeerakkoord</w:t>
      </w:r>
      <w:r>
        <w:rPr>
          <w:rFonts w:eastAsia="Times New Roman" w:cs="Times New Roman"/>
          <w:szCs w:val="18"/>
          <w:lang w:eastAsia="nl-NL"/>
        </w:rPr>
        <w:t>middelen aanvullende post</w:t>
      </w:r>
      <w:r w:rsidR="00C604FB">
        <w:rPr>
          <w:rFonts w:eastAsia="Times New Roman" w:cs="Times New Roman"/>
          <w:szCs w:val="18"/>
          <w:lang w:eastAsia="nl-NL"/>
        </w:rPr>
        <w:t xml:space="preserve"> (in mln. euro)</w:t>
      </w:r>
    </w:p>
    <w:tbl>
      <w:tblPr>
        <w:tblW w:w="552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99"/>
        <w:gridCol w:w="745"/>
        <w:gridCol w:w="745"/>
        <w:gridCol w:w="744"/>
        <w:gridCol w:w="744"/>
        <w:gridCol w:w="744"/>
        <w:gridCol w:w="744"/>
        <w:gridCol w:w="744"/>
        <w:gridCol w:w="1393"/>
      </w:tblGrid>
      <w:tr w:rsidRPr="009B6B94" w:rsidR="007B751A" w:rsidTr="007B751A">
        <w:trPr>
          <w:trHeight w:val="251"/>
        </w:trPr>
        <w:tc>
          <w:tcPr>
            <w:tcW w:w="1753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1F10AD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1F10AD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1F10AD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</w:tcPr>
          <w:p w:rsidRPr="001F10AD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1F10AD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2021</w:t>
            </w: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1F10AD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2022</w:t>
            </w: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vAlign w:val="center"/>
          </w:tcPr>
          <w:p w:rsidRPr="001F10AD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1F10AD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686" w:type="pct"/>
            <w:tcBorders>
              <w:top w:val="single" w:color="auto" w:sz="4" w:space="0"/>
              <w:bottom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1F10AD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10"/>
        </w:trPr>
        <w:tc>
          <w:tcPr>
            <w:tcW w:w="2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7B751A" w:rsidP="00A3185C" w:rsidRDefault="007B751A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nl-NL"/>
              </w:rPr>
              <w:t>Nr.</w:t>
            </w: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9B6B94" w:rsidR="007B751A" w:rsidP="006110A8" w:rsidRDefault="007B751A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 xml:space="preserve">Mutaties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 xml:space="preserve"> t.o.v. Miljoenennota</w:t>
            </w: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B6B94" w:rsidR="007B751A" w:rsidP="00DC1E79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-123</w:t>
            </w: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B6B94" w:rsidR="007B751A" w:rsidP="00DC1E79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-8</w:t>
            </w: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B6B94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</w:tcPr>
          <w:p w:rsidRPr="009B6B94" w:rsidR="007B751A" w:rsidP="00CB4F61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B6B94" w:rsidR="007B751A" w:rsidP="00CB4F61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9B6B94" w:rsidR="007B751A" w:rsidP="00CB4F61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9B6B94" w:rsidR="007B751A" w:rsidP="00CB4F61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Begroting</w:t>
            </w: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7B751A" w:rsidP="00A3185C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tcBorders>
              <w:top w:val="single" w:color="auto" w:sz="4" w:space="0"/>
            </w:tcBorders>
            <w:shd w:val="clear" w:color="auto" w:fill="auto"/>
            <w:vAlign w:val="bottom"/>
            <w:hideMark/>
          </w:tcPr>
          <w:p w:rsidRPr="009B6B94" w:rsidR="007B751A" w:rsidP="00A3185C" w:rsidRDefault="007B751A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</w:tcBorders>
          </w:tcPr>
          <w:p w:rsidRPr="009B6B94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366" w:type="pct"/>
            <w:tcBorders>
              <w:top w:val="single" w:color="auto" w:sz="4" w:space="0"/>
            </w:tcBorders>
            <w:vAlign w:val="bottom"/>
          </w:tcPr>
          <w:p w:rsidRPr="009B6B94" w:rsidR="007B751A" w:rsidP="00A3185C" w:rsidRDefault="007B751A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  <w:r w:rsidRPr="009B6B94"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686" w:type="pct"/>
            <w:tcBorders>
              <w:top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B6B94" w:rsidR="007B751A" w:rsidP="00A3185C" w:rsidRDefault="007B751A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Openbaar bestuur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noWrap/>
            <w:vAlign w:val="bottom"/>
          </w:tcPr>
          <w:p w:rsidRPr="009B6B94" w:rsidR="007B751A" w:rsidP="00A3185C" w:rsidRDefault="007B751A">
            <w:pPr>
              <w:spacing w:after="0" w:line="240" w:lineRule="exact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  <w:vAlign w:val="bottom"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Veiligheid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noWrap/>
            <w:vAlign w:val="bottom"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B5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Politie (o.a. agenten in de wijk, innovatie, recherche en werkgeverschap)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sz w:val="16"/>
                <w:szCs w:val="16"/>
                <w:lang w:eastAsia="nl-NL"/>
              </w:rPr>
              <w:t>-54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  <w:vAlign w:val="bottom"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shd w:val="clear" w:color="auto" w:fill="auto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  <w:vAlign w:val="bottom"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Defensie</w:t>
            </w: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noWrap/>
            <w:vAlign w:val="bottom"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  <w:vAlign w:val="bottom"/>
          </w:tcPr>
          <w:p w:rsidRPr="00160A61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Bereikbaarheid</w:t>
            </w: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Milieu</w:t>
            </w: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9B6B94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shd w:val="clear" w:color="auto" w:fill="auto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9B6B94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</w:tcPr>
          <w:p w:rsidR="007B751A" w:rsidP="00A3185C" w:rsidRDefault="007B751A">
            <w:pPr>
              <w:spacing w:after="0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Landbouw</w:t>
            </w: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Onderwijs, onderzoek en innovatie</w:t>
            </w:r>
          </w:p>
        </w:tc>
        <w:tc>
          <w:tcPr>
            <w:tcW w:w="366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shd w:val="clear" w:color="auto" w:fill="auto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Zorg</w:t>
            </w:r>
          </w:p>
        </w:tc>
        <w:tc>
          <w:tcPr>
            <w:tcW w:w="366" w:type="pct"/>
            <w:shd w:val="clear" w:color="auto" w:fill="auto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Sociale Zekerheid</w:t>
            </w: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shd w:val="clear" w:color="auto" w:fill="auto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Internationale samenwerking</w:t>
            </w: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="007B751A" w:rsidP="00A3185C" w:rsidRDefault="007B751A">
            <w:pPr>
              <w:spacing w:after="0" w:line="240" w:lineRule="exac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Overige uitgaven </w:t>
            </w: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shd w:val="clear" w:color="auto" w:fill="auto"/>
            <w:noWrap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366" w:type="pct"/>
            <w:vAlign w:val="bottom"/>
          </w:tcPr>
          <w:p w:rsidR="007B751A" w:rsidP="00A3185C" w:rsidRDefault="007B751A">
            <w:pPr>
              <w:spacing w:after="0"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L105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Kasschuif reservering regionale knelpunten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sz w:val="16"/>
                <w:szCs w:val="16"/>
                <w:lang w:eastAsia="nl-NL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3B1D8D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-8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L105</w:t>
            </w:r>
          </w:p>
        </w:tc>
        <w:tc>
          <w:tcPr>
            <w:tcW w:w="1473" w:type="pct"/>
            <w:shd w:val="clear" w:color="auto" w:fill="auto"/>
            <w:vAlign w:val="bottom"/>
          </w:tcPr>
          <w:p w:rsidRPr="004F477B" w:rsidR="007B751A" w:rsidP="00F05FD5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Reservering regionale knelpunten 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sz w:val="16"/>
                <w:szCs w:val="16"/>
                <w:lang w:eastAsia="nl-NL"/>
              </w:rPr>
              <w:t>-26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3B1D8D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EZK</w:t>
            </w: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sz w:val="16"/>
                <w:szCs w:val="16"/>
                <w:lang w:eastAsia="nl-NL"/>
              </w:rPr>
              <w:t>L108</w:t>
            </w:r>
          </w:p>
        </w:tc>
        <w:tc>
          <w:tcPr>
            <w:tcW w:w="1473" w:type="pct"/>
            <w:shd w:val="clear" w:color="auto" w:fill="auto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sz w:val="16"/>
                <w:szCs w:val="16"/>
                <w:lang w:eastAsia="nl-NL"/>
              </w:rPr>
              <w:t>Gasfonds Groningen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sz w:val="16"/>
                <w:szCs w:val="16"/>
                <w:lang w:eastAsia="nl-NL"/>
              </w:rPr>
              <w:t>-50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EZK</w:t>
            </w:r>
          </w:p>
        </w:tc>
      </w:tr>
      <w:tr w:rsidRPr="009B6B94" w:rsidR="007B751A" w:rsidTr="007B751A">
        <w:trPr>
          <w:trHeight w:val="227"/>
        </w:trPr>
        <w:tc>
          <w:tcPr>
            <w:tcW w:w="279" w:type="pct"/>
            <w:shd w:val="clear" w:color="auto" w:fill="auto"/>
            <w:noWrap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L110</w:t>
            </w:r>
          </w:p>
        </w:tc>
        <w:tc>
          <w:tcPr>
            <w:tcW w:w="1473" w:type="pct"/>
            <w:shd w:val="clear" w:color="auto" w:fill="auto"/>
          </w:tcPr>
          <w:p w:rsidRPr="004F477B" w:rsidR="007B751A" w:rsidP="004F477B" w:rsidRDefault="007B751A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Brandweer- en politievrijwilligers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F477B">
              <w:rPr>
                <w:rFonts w:eastAsia="Times New Roman" w:cs="Times New Roman"/>
                <w:sz w:val="16"/>
                <w:szCs w:val="16"/>
                <w:lang w:eastAsia="nl-NL"/>
              </w:rPr>
              <w:t>-1</w:t>
            </w: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shd w:val="clear" w:color="auto" w:fill="auto"/>
            <w:noWrap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66" w:type="pct"/>
            <w:vAlign w:val="bottom"/>
          </w:tcPr>
          <w:p w:rsidRPr="004F477B" w:rsidR="007B751A" w:rsidP="004F477B" w:rsidRDefault="007B751A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686" w:type="pct"/>
            <w:shd w:val="clear" w:color="auto" w:fill="auto"/>
            <w:noWrap/>
          </w:tcPr>
          <w:p w:rsidRPr="00C9740D" w:rsidR="007B751A" w:rsidP="00C9740D" w:rsidRDefault="007B751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Jenv</w:t>
            </w:r>
            <w:proofErr w:type="spellEnd"/>
          </w:p>
        </w:tc>
      </w:tr>
    </w:tbl>
    <w:p w:rsidR="00400E40" w:rsidP="00F23677" w:rsidRDefault="00400E40">
      <w:pPr>
        <w:spacing w:after="0" w:line="240" w:lineRule="exact"/>
        <w:contextualSpacing/>
        <w:rPr>
          <w:rFonts w:eastAsia="Times New Roman" w:cs="Times New Roman"/>
          <w:szCs w:val="18"/>
          <w:lang w:eastAsia="nl-NL"/>
        </w:rPr>
      </w:pPr>
    </w:p>
    <w:p w:rsidR="00400E40" w:rsidRDefault="00400E40">
      <w:pPr>
        <w:rPr>
          <w:rFonts w:eastAsia="Times New Roman" w:cs="Times New Roman"/>
          <w:szCs w:val="18"/>
          <w:lang w:eastAsia="nl-NL"/>
        </w:rPr>
      </w:pPr>
      <w:r>
        <w:rPr>
          <w:rFonts w:eastAsia="Times New Roman" w:cs="Times New Roman"/>
          <w:szCs w:val="18"/>
          <w:lang w:eastAsia="nl-NL"/>
        </w:rPr>
        <w:br w:type="page"/>
      </w:r>
    </w:p>
    <w:p w:rsidRPr="0040767B" w:rsidR="00F23677" w:rsidP="00F23677" w:rsidRDefault="00F23677">
      <w:pPr>
        <w:spacing w:after="0"/>
        <w:rPr>
          <w:rFonts w:eastAsia="Times New Roman" w:cs="Times New Roman"/>
          <w:szCs w:val="18"/>
          <w:lang w:eastAsia="nl-NL"/>
        </w:rPr>
      </w:pPr>
      <w:r>
        <w:rPr>
          <w:rFonts w:eastAsia="Times New Roman" w:cs="Times New Roman"/>
          <w:szCs w:val="18"/>
          <w:lang w:eastAsia="nl-NL"/>
        </w:rPr>
        <w:lastRenderedPageBreak/>
        <w:t>Tabel</w:t>
      </w:r>
      <w:r w:rsidR="003326EE">
        <w:rPr>
          <w:rFonts w:eastAsia="Times New Roman" w:cs="Times New Roman"/>
          <w:szCs w:val="18"/>
          <w:lang w:eastAsia="nl-NL"/>
        </w:rPr>
        <w:t xml:space="preserve"> 2</w:t>
      </w:r>
      <w:r w:rsidRPr="0040767B">
        <w:rPr>
          <w:rFonts w:eastAsia="Times New Roman" w:cs="Times New Roman"/>
          <w:szCs w:val="18"/>
          <w:lang w:eastAsia="nl-NL"/>
        </w:rPr>
        <w:t xml:space="preserve">: </w:t>
      </w:r>
      <w:r w:rsidR="000D557B">
        <w:rPr>
          <w:rFonts w:eastAsia="Times New Roman" w:cs="Times New Roman"/>
          <w:szCs w:val="18"/>
          <w:lang w:eastAsia="nl-NL"/>
        </w:rPr>
        <w:t xml:space="preserve">Resterende </w:t>
      </w:r>
      <w:r w:rsidR="00FE2286">
        <w:rPr>
          <w:rFonts w:eastAsia="Times New Roman" w:cs="Times New Roman"/>
          <w:szCs w:val="18"/>
          <w:lang w:eastAsia="nl-NL"/>
        </w:rPr>
        <w:t>RA-</w:t>
      </w:r>
      <w:r w:rsidRPr="0040767B">
        <w:rPr>
          <w:rFonts w:eastAsia="Times New Roman" w:cs="Times New Roman"/>
          <w:szCs w:val="18"/>
          <w:lang w:eastAsia="nl-NL"/>
        </w:rPr>
        <w:t xml:space="preserve">reserveringen </w:t>
      </w:r>
      <w:r w:rsidR="00FE2286">
        <w:rPr>
          <w:rFonts w:eastAsia="Times New Roman" w:cs="Times New Roman"/>
          <w:szCs w:val="18"/>
          <w:lang w:eastAsia="nl-NL"/>
        </w:rPr>
        <w:t>op de</w:t>
      </w:r>
      <w:r w:rsidRPr="0040767B">
        <w:rPr>
          <w:rFonts w:eastAsia="Times New Roman" w:cs="Times New Roman"/>
          <w:szCs w:val="18"/>
          <w:lang w:eastAsia="nl-NL"/>
        </w:rPr>
        <w:t xml:space="preserve"> aanvullende post</w:t>
      </w:r>
      <w:r w:rsidR="000D557B">
        <w:rPr>
          <w:rFonts w:eastAsia="Times New Roman" w:cs="Times New Roman"/>
          <w:szCs w:val="18"/>
          <w:lang w:eastAsia="nl-NL"/>
        </w:rPr>
        <w:t xml:space="preserve"> bij </w:t>
      </w:r>
      <w:r w:rsidR="001D0757">
        <w:rPr>
          <w:rFonts w:eastAsia="Times New Roman" w:cs="Times New Roman"/>
          <w:szCs w:val="18"/>
          <w:lang w:eastAsia="nl-NL"/>
        </w:rPr>
        <w:t>Najaarsnota</w:t>
      </w:r>
      <w:r w:rsidR="00C604FB">
        <w:rPr>
          <w:rFonts w:eastAsia="Times New Roman" w:cs="Times New Roman"/>
          <w:szCs w:val="18"/>
          <w:lang w:eastAsia="nl-NL"/>
        </w:rPr>
        <w:t xml:space="preserve"> (in mln</w:t>
      </w:r>
      <w:r w:rsidR="00FE2286">
        <w:rPr>
          <w:rFonts w:eastAsia="Times New Roman" w:cs="Times New Roman"/>
          <w:szCs w:val="18"/>
          <w:lang w:eastAsia="nl-NL"/>
        </w:rPr>
        <w:t>.</w:t>
      </w:r>
      <w:r w:rsidR="00C604FB">
        <w:rPr>
          <w:rFonts w:eastAsia="Times New Roman" w:cs="Times New Roman"/>
          <w:szCs w:val="18"/>
          <w:lang w:eastAsia="nl-NL"/>
        </w:rPr>
        <w:t xml:space="preserve"> euro)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215"/>
        <w:gridCol w:w="756"/>
        <w:gridCol w:w="756"/>
        <w:gridCol w:w="756"/>
        <w:gridCol w:w="756"/>
        <w:gridCol w:w="756"/>
        <w:gridCol w:w="756"/>
      </w:tblGrid>
      <w:tr w:rsidRPr="0040767B" w:rsidR="003E6936" w:rsidTr="00911BE1">
        <w:trPr>
          <w:trHeight w:val="210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04040" w:themeFill="text1" w:themeFillTint="BF"/>
            <w:vAlign w:val="center"/>
            <w:hideMark/>
          </w:tcPr>
          <w:p w:rsidRPr="00FE2286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2018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2019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2020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04040" w:themeFill="text1" w:themeFillTint="BF"/>
            <w:vAlign w:val="center"/>
          </w:tcPr>
          <w:p w:rsidRPr="00FE2286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2021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2022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404040" w:themeFill="text1" w:themeFillTint="BF"/>
            <w:noWrap/>
            <w:vAlign w:val="center"/>
            <w:hideMark/>
          </w:tcPr>
          <w:p w:rsidRPr="00FE2286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FE2286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3</w:t>
            </w:r>
          </w:p>
        </w:tc>
      </w:tr>
      <w:tr w:rsidRPr="0040767B" w:rsidR="003E6936" w:rsidTr="00911BE1">
        <w:trPr>
          <w:trHeight w:val="210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C604FB" w:rsidR="003E6936" w:rsidP="003E6936" w:rsidRDefault="003E6936">
            <w:pPr>
              <w:spacing w:after="0" w:line="240" w:lineRule="auto"/>
              <w:ind w:left="-55"/>
              <w:jc w:val="both"/>
              <w:rPr>
                <w:rFonts w:eastAsia="Times New Roman" w:cs="Times New Roman"/>
                <w:b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  <w:r w:rsidRPr="00C604FB">
              <w:rPr>
                <w:rFonts w:eastAsia="Times New Roman" w:cs="Times New Roman"/>
                <w:b/>
                <w:sz w:val="16"/>
                <w:szCs w:val="16"/>
                <w:lang w:eastAsia="nl-NL"/>
              </w:rPr>
              <w:t>Nr.</w:t>
            </w:r>
          </w:p>
        </w:tc>
        <w:tc>
          <w:tcPr>
            <w:tcW w:w="42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Reserveringen Regeerakkoord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40767B" w:rsidR="003E6936" w:rsidP="002C3ED3" w:rsidRDefault="003605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44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40767B" w:rsidR="003E6936" w:rsidP="002C3ED3" w:rsidRDefault="003605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1.896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40767B" w:rsidR="003E6936" w:rsidP="003E6936" w:rsidRDefault="0096483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2.50</w:t>
            </w:r>
            <w:r w:rsidR="00911BE1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40767B" w:rsidR="003E6936" w:rsidP="003E6936" w:rsidRDefault="0096483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2.62</w:t>
            </w:r>
            <w:r w:rsidR="00911BE1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:rsidRPr="0040767B" w:rsidR="003E6936" w:rsidP="003E6936" w:rsidRDefault="00964830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2.43</w:t>
            </w:r>
            <w:r w:rsidR="00911BE1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40767B" w:rsidR="003E6936" w:rsidP="00964830" w:rsidRDefault="00911BE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2.2</w:t>
            </w:r>
            <w:r w:rsidR="00964830"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5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  <w:t>6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Openbaar bestuur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i/>
                <w:iCs/>
                <w:sz w:val="16"/>
                <w:szCs w:val="16"/>
                <w:lang w:eastAsia="nl-NL"/>
              </w:rPr>
              <w:t> 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A3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Belastingdienst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A4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Reservering transitie werkgevers zorg en overheid a.g.v. afschaffing doorsneesystematiek pensioenen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200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Veiligheid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Politie (o.a. agenten in de wijk, innovatie, recherche en werkgeverschap)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129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B6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Digitalisering werkprocessen strafrechtketen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B7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Extra capaciteit strafrechtketen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20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Cybersecurity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Contraterrorisme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Ondermijnende criminaliteit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7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Ondermijningsbestrijdingsfonds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Terugdringen recidive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Experimenten regulering wietteelt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Voorkomen vechtscheidingen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B16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Vrijwilligerswerk gedetineerden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B17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Regionaal Uitstapprogramma Prostituees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Defensie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C18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Ondersteuning krijgsmacht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C19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Investeringen modernisering krijgsmacht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C20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Uitbreiding slagkracht, cyber en werkgeverschap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964830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  <w:r w:rsidR="00964830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964830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  <w:r w:rsidR="00964830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964830" w:rsidRDefault="00964830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sz w:val="16"/>
                <w:szCs w:val="16"/>
                <w:lang w:eastAsia="nl-NL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  <w:r w:rsidR="00964830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964830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sz w:val="16"/>
                <w:szCs w:val="16"/>
                <w:lang w:eastAsia="nl-NL"/>
              </w:rPr>
              <w:t>11</w:t>
            </w:r>
            <w:r w:rsidRPr="00ED615E" w:rsidR="003E6936">
              <w:rPr>
                <w:rFonts w:eastAsia="Times New Roman" w:cs="Times New Roman"/>
                <w:sz w:val="16"/>
                <w:szCs w:val="16"/>
                <w:lang w:eastAsia="nl-NL"/>
              </w:rPr>
              <w:t>0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C21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Kustwacht Caribisch Gebied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Bereikbaarheid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D22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Verhoging Infrastructuurfonds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Milieu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E23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Envelop klimaat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300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E24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SDE+: nieuwe verplichtingen vanaf 2020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288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E25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Natuur en waterkwaliteit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E26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Invoeren alternatief voor salderingsregeling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240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Landbouw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F28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Capaciteit NVWA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15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F29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Cofinanciering Fonds warme sanering varkenshouderij (prioritair voor Noord-Brabant)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F30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Fonds bedrijfsopvolging agrarische sector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F31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Cofinanciering innovatie visserij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Onderwijs, onderzoek en innovatie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Voor- en vroegschoolse educatie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Aanpak werkdruk primair onderwijs (incl. 20 miljoen kleine scholen)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193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Kwaliteit technisch onderwijs vmbo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G36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Fundamenteel onderzoek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G37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Toegepast onderzoek innovatie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Onderzoeksinfrastructuur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G39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Maatschappelijke diensttijd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G40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Cultuur (en historisch democratisch bewustzijn)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29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G41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Nederlandse scholen in het buitenland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G42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Media/onderzoeksjournalistiek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G43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Intensivering erfgoed en monumenten (met name nationaal restauratiefonds)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lastRenderedPageBreak/>
              <w:t>G44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Aanpak laaggeletterdheid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G45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Onderwijsachterstandenbeleid en aandacht voor talentrijke kinderen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G48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Terugdraaien taakstelling groen onderwijs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Kennisinstellingen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14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Zorg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H57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Bevorderen digitaal ondersteunende zorg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H59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Preventiemaatregelen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9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Transformatiegelden jeugd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Waardig ouder worden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Onafhankelijke cliëntondersteuning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Veilig opgroeien (meldcode, actieplan pleegzorg, FMEK (structureel))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Brede aanpak LVB, daklozen en zwerfjongeren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Belonen van uitkomsten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Sport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H69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Q-koorts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H70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Experimenten regulering wietteelt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BTW-sportvoorziening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Sociale Zekerheid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I80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Meer face-to-face UWV voor Werkloosheid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I81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Meer face-to-face UWV voor Arbeidsongeschiktheid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I82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 xml:space="preserve">Pilot scholing WGA (voor mensen waarvoor onvoldoende functies te duiden zijn)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I86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Collectiviseren transitievergoeding MKB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100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I89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Extra budget voor Inspectie SZW: intensivering handhaving en fraudebestrijding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I92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Bestrijden van schulden en armoede bij gezinnen met kinderen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I93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Taalles bij integratie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Overdrachten bedrijven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J101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Eigen vermogen Invest NL (niet EMU-saldorelevant)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E6936" w:rsidP="0010731B" w:rsidRDefault="003E693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>Internationale samenwerking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K103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Intensivering OS/ODA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K104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Buitenlands diplomatiek netwerk (posten)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ED615E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b/>
                <w:bCs/>
                <w:i/>
                <w:iCs/>
                <w:sz w:val="16"/>
                <w:szCs w:val="16"/>
                <w:lang w:eastAsia="nl-NL"/>
              </w:rPr>
              <w:t xml:space="preserve">Overige uitgaven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3E6936" w:rsidP="0010731B" w:rsidRDefault="003E6936">
            <w:pPr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L105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Reservering regionale knelpunten (waaronder BES, Rotterdam-Zuid, nucleair, Eindhoven, ESTEC, Zeeland)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360512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20</w:t>
            </w:r>
            <w:r w:rsidR="00360512">
              <w:rPr>
                <w:rFonts w:eastAsia="Times New Roman" w:cs="Times New Roman"/>
                <w:sz w:val="16"/>
                <w:szCs w:val="16"/>
                <w:lang w:eastAsia="nl-NL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L107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Stimulering ombouw laagcalorisch naar hoogcalorisch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L108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Gasfonds Groningen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DA487B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10</w:t>
            </w: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L109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Gratis VOG voor mensen die werken in een afhankelijkheidssituatie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  <w:tr w:rsidRPr="0040767B" w:rsidR="003E6936" w:rsidTr="00911BE1">
        <w:trPr>
          <w:trHeight w:val="227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L110</w:t>
            </w:r>
          </w:p>
        </w:tc>
        <w:tc>
          <w:tcPr>
            <w:tcW w:w="42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40767B" w:rsidR="003E6936" w:rsidP="003E6936" w:rsidRDefault="003E6936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40767B">
              <w:rPr>
                <w:rFonts w:eastAsia="Times New Roman" w:cs="Times New Roman"/>
                <w:sz w:val="16"/>
                <w:szCs w:val="16"/>
                <w:lang w:eastAsia="nl-NL"/>
              </w:rPr>
              <w:t>Brandweer- en politievrijwilligers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  <w:r w:rsidRPr="00ED615E">
              <w:rPr>
                <w:rFonts w:eastAsia="Times New Roman" w:cs="Times New Roman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ED615E" w:rsidR="003E6936" w:rsidP="0010731B" w:rsidRDefault="003E6936">
            <w:pPr>
              <w:spacing w:after="0"/>
              <w:jc w:val="right"/>
              <w:rPr>
                <w:rFonts w:eastAsia="Times New Roman" w:cs="Times New Roman"/>
                <w:sz w:val="16"/>
                <w:szCs w:val="16"/>
                <w:lang w:eastAsia="nl-NL"/>
              </w:rPr>
            </w:pPr>
          </w:p>
        </w:tc>
      </w:tr>
    </w:tbl>
    <w:p w:rsidR="009B6B94" w:rsidRDefault="009B6B94">
      <w:pPr>
        <w:rPr>
          <w:szCs w:val="18"/>
        </w:rPr>
      </w:pPr>
    </w:p>
    <w:p w:rsidRPr="00F22CDC" w:rsidR="00A17C6E" w:rsidP="003326EE" w:rsidRDefault="003326EE">
      <w:pPr>
        <w:spacing w:after="0"/>
        <w:rPr>
          <w:szCs w:val="18"/>
        </w:rPr>
      </w:pPr>
      <w:r w:rsidRPr="00F22CDC">
        <w:rPr>
          <w:szCs w:val="18"/>
        </w:rPr>
        <w:t xml:space="preserve"> </w:t>
      </w:r>
    </w:p>
    <w:sectPr w:rsidRPr="00F22CDC" w:rsidR="00A17C6E" w:rsidSect="00A17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1A" w:rsidRDefault="007B751A" w:rsidP="00F23677">
      <w:pPr>
        <w:spacing w:after="0" w:line="240" w:lineRule="auto"/>
      </w:pPr>
      <w:r>
        <w:separator/>
      </w:r>
    </w:p>
  </w:endnote>
  <w:endnote w:type="continuationSeparator" w:id="0">
    <w:p w:rsidR="007B751A" w:rsidRDefault="007B751A" w:rsidP="00F2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1A" w:rsidRDefault="007B75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1A" w:rsidRDefault="007B751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1A" w:rsidRDefault="007B751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1A" w:rsidRDefault="007B751A" w:rsidP="00F23677">
      <w:pPr>
        <w:spacing w:after="0" w:line="240" w:lineRule="auto"/>
      </w:pPr>
      <w:r>
        <w:separator/>
      </w:r>
    </w:p>
  </w:footnote>
  <w:footnote w:type="continuationSeparator" w:id="0">
    <w:p w:rsidR="007B751A" w:rsidRDefault="007B751A" w:rsidP="00F2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1A" w:rsidRDefault="007B75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1A" w:rsidRDefault="007B751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1A" w:rsidRDefault="007B751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77"/>
    <w:rsid w:val="00001735"/>
    <w:rsid w:val="00005A7A"/>
    <w:rsid w:val="00006A20"/>
    <w:rsid w:val="00081363"/>
    <w:rsid w:val="000B4460"/>
    <w:rsid w:val="000B7E92"/>
    <w:rsid w:val="000C4403"/>
    <w:rsid w:val="000D557B"/>
    <w:rsid w:val="0010731B"/>
    <w:rsid w:val="00160A61"/>
    <w:rsid w:val="001D0757"/>
    <w:rsid w:val="001F10AD"/>
    <w:rsid w:val="002C3ED3"/>
    <w:rsid w:val="002E6EEE"/>
    <w:rsid w:val="00327816"/>
    <w:rsid w:val="003326EE"/>
    <w:rsid w:val="00360512"/>
    <w:rsid w:val="003A795A"/>
    <w:rsid w:val="003B1D8D"/>
    <w:rsid w:val="003E6936"/>
    <w:rsid w:val="00400E40"/>
    <w:rsid w:val="0041392D"/>
    <w:rsid w:val="00450665"/>
    <w:rsid w:val="0046785E"/>
    <w:rsid w:val="00494C1A"/>
    <w:rsid w:val="004B6B92"/>
    <w:rsid w:val="004B7979"/>
    <w:rsid w:val="004F477B"/>
    <w:rsid w:val="005372A2"/>
    <w:rsid w:val="005512E8"/>
    <w:rsid w:val="005838C8"/>
    <w:rsid w:val="00585399"/>
    <w:rsid w:val="006110A8"/>
    <w:rsid w:val="006B5866"/>
    <w:rsid w:val="0074031A"/>
    <w:rsid w:val="007432F7"/>
    <w:rsid w:val="00756389"/>
    <w:rsid w:val="007B37BB"/>
    <w:rsid w:val="007B751A"/>
    <w:rsid w:val="00905545"/>
    <w:rsid w:val="00911BE1"/>
    <w:rsid w:val="00943A1F"/>
    <w:rsid w:val="00964830"/>
    <w:rsid w:val="009929FC"/>
    <w:rsid w:val="009A36D7"/>
    <w:rsid w:val="009B6B94"/>
    <w:rsid w:val="009E4511"/>
    <w:rsid w:val="00A02D59"/>
    <w:rsid w:val="00A11BA2"/>
    <w:rsid w:val="00A17C6E"/>
    <w:rsid w:val="00A3185C"/>
    <w:rsid w:val="00A6056A"/>
    <w:rsid w:val="00AC2C96"/>
    <w:rsid w:val="00B072C4"/>
    <w:rsid w:val="00B121E8"/>
    <w:rsid w:val="00BC6D06"/>
    <w:rsid w:val="00C02691"/>
    <w:rsid w:val="00C55CB8"/>
    <w:rsid w:val="00C604FB"/>
    <w:rsid w:val="00C9740D"/>
    <w:rsid w:val="00CB4F61"/>
    <w:rsid w:val="00CF3B24"/>
    <w:rsid w:val="00D0644E"/>
    <w:rsid w:val="00D83BA3"/>
    <w:rsid w:val="00DA487B"/>
    <w:rsid w:val="00DC1E79"/>
    <w:rsid w:val="00E35A71"/>
    <w:rsid w:val="00E47918"/>
    <w:rsid w:val="00E85210"/>
    <w:rsid w:val="00ED615E"/>
    <w:rsid w:val="00F05FD5"/>
    <w:rsid w:val="00F22CDC"/>
    <w:rsid w:val="00F23677"/>
    <w:rsid w:val="00F810C2"/>
    <w:rsid w:val="00F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3677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2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3677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F2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3677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72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72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72A2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72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72A2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7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3677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2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3677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F2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3677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72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72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72A2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72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72A2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7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958</ap:Words>
  <ap:Characters>5272</ap:Characters>
  <ap:DocSecurity>4</ap:DocSecurity>
  <ap:Lines>43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2018-11-29T15:59:00.0000000Z</lastPrinted>
  <dcterms:created xsi:type="dcterms:W3CDTF">2018-11-29T17:51:00.0000000Z</dcterms:created>
  <dcterms:modified xsi:type="dcterms:W3CDTF">2018-11-29T17:51:00.0000000Z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0x010100BDD69991982DAC4CA12DE34DE875F758</vt:lpwstr>
  </property>
</Properties>
</file>