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A79DC" w:rsidR="00C05141" w:rsidP="00C41D99" w:rsidRDefault="006E0697">
      <w:pPr>
        <w:spacing w:line="240" w:lineRule="exact"/>
        <w:rPr>
          <w:rFonts w:ascii="Verdana" w:hAnsi="Verdana" w:cs="Verdana"/>
          <w:b/>
          <w:bCs/>
          <w:sz w:val="18"/>
          <w:szCs w:val="18"/>
        </w:rPr>
      </w:pPr>
      <w:r>
        <w:rPr>
          <w:rFonts w:ascii="Verdana" w:hAnsi="Verdana" w:cs="Verdana"/>
          <w:b/>
          <w:bCs/>
          <w:sz w:val="18"/>
          <w:szCs w:val="18"/>
        </w:rPr>
        <w:t xml:space="preserve">Bijlage 3: </w:t>
      </w:r>
      <w:r w:rsidRPr="008A79DC" w:rsidR="00C05141">
        <w:rPr>
          <w:rFonts w:ascii="Verdana" w:hAnsi="Verdana" w:cs="Verdana"/>
          <w:b/>
          <w:bCs/>
          <w:sz w:val="18"/>
          <w:szCs w:val="18"/>
        </w:rPr>
        <w:t>Vertic</w:t>
      </w:r>
      <w:r w:rsidRPr="008A79DC" w:rsidR="00E61690">
        <w:rPr>
          <w:rFonts w:ascii="Verdana" w:hAnsi="Verdana" w:cs="Verdana"/>
          <w:b/>
          <w:bCs/>
          <w:sz w:val="18"/>
          <w:szCs w:val="18"/>
        </w:rPr>
        <w:t>ale Toelichting Najaarsnota 201</w:t>
      </w:r>
      <w:r w:rsidRPr="008A79DC" w:rsidR="00F341C5">
        <w:rPr>
          <w:rFonts w:ascii="Verdana" w:hAnsi="Verdana" w:cs="Verdana"/>
          <w:b/>
          <w:bCs/>
          <w:sz w:val="18"/>
          <w:szCs w:val="18"/>
        </w:rPr>
        <w:t>8</w:t>
      </w:r>
    </w:p>
    <w:p w:rsidRPr="008A79DC" w:rsidR="00C05141" w:rsidP="00C41D99" w:rsidRDefault="00C05141">
      <w:pPr>
        <w:spacing w:line="240" w:lineRule="exact"/>
        <w:rPr>
          <w:rFonts w:ascii="Verdana" w:hAnsi="Verdana" w:cs="Verdana"/>
          <w:sz w:val="18"/>
          <w:szCs w:val="18"/>
        </w:rPr>
      </w:pPr>
    </w:p>
    <w:p w:rsidRPr="008A79DC" w:rsidR="00C05141" w:rsidP="00C41D99" w:rsidRDefault="00C05141">
      <w:pPr>
        <w:spacing w:line="240" w:lineRule="exact"/>
        <w:rPr>
          <w:rFonts w:ascii="Verdana" w:hAnsi="Verdana" w:cs="Verdana"/>
          <w:sz w:val="18"/>
          <w:szCs w:val="18"/>
        </w:rPr>
      </w:pPr>
      <w:r w:rsidRPr="008A79DC">
        <w:rPr>
          <w:rFonts w:ascii="Verdana" w:hAnsi="Verdana" w:cs="Verdana"/>
          <w:sz w:val="18"/>
          <w:szCs w:val="18"/>
        </w:rPr>
        <w:t>De Verticale Toelichting geeft voor alle begroting</w:t>
      </w:r>
      <w:r w:rsidRPr="008A79DC" w:rsidR="00126D04">
        <w:rPr>
          <w:rFonts w:ascii="Verdana" w:hAnsi="Verdana" w:cs="Verdana"/>
          <w:sz w:val="18"/>
          <w:szCs w:val="18"/>
        </w:rPr>
        <w:t>shoofdstukken</w:t>
      </w:r>
      <w:r w:rsidRPr="008A79DC">
        <w:rPr>
          <w:rFonts w:ascii="Verdana" w:hAnsi="Verdana" w:cs="Verdana"/>
          <w:sz w:val="18"/>
          <w:szCs w:val="18"/>
        </w:rPr>
        <w:t xml:space="preserve"> een overzicht van</w:t>
      </w:r>
      <w:r w:rsidRPr="008A79DC" w:rsidR="00F341C5">
        <w:rPr>
          <w:rFonts w:ascii="Verdana" w:hAnsi="Verdana" w:cs="Verdana"/>
          <w:sz w:val="18"/>
          <w:szCs w:val="18"/>
        </w:rPr>
        <w:t xml:space="preserve"> budgettaire veranderingen die zich hebben voorgedaan in de uitgaven en niet-belastingontvangsten</w:t>
      </w:r>
      <w:r w:rsidRPr="008A79DC" w:rsidR="00803E92">
        <w:rPr>
          <w:rFonts w:ascii="Verdana" w:hAnsi="Verdana" w:cs="Verdana"/>
          <w:sz w:val="18"/>
          <w:szCs w:val="18"/>
        </w:rPr>
        <w:t xml:space="preserve"> sinds Miljoenennota 201</w:t>
      </w:r>
      <w:r w:rsidRPr="008A79DC" w:rsidR="00F341C5">
        <w:rPr>
          <w:rFonts w:ascii="Verdana" w:hAnsi="Verdana" w:cs="Verdana"/>
          <w:sz w:val="18"/>
          <w:szCs w:val="18"/>
        </w:rPr>
        <w:t>9</w:t>
      </w:r>
      <w:r w:rsidRPr="008A79DC" w:rsidR="00E61690">
        <w:rPr>
          <w:rFonts w:ascii="Verdana" w:hAnsi="Verdana" w:cs="Verdana"/>
          <w:sz w:val="18"/>
          <w:szCs w:val="18"/>
        </w:rPr>
        <w:t xml:space="preserve">. </w:t>
      </w:r>
      <w:r w:rsidRPr="008A79DC">
        <w:rPr>
          <w:rFonts w:ascii="Verdana" w:hAnsi="Verdana" w:cs="Verdana"/>
          <w:sz w:val="18"/>
          <w:szCs w:val="18"/>
        </w:rPr>
        <w:t xml:space="preserve">Voor een meer gedetailleerde toelichting </w:t>
      </w:r>
      <w:r w:rsidRPr="008A79DC" w:rsidR="00E61690">
        <w:rPr>
          <w:rFonts w:ascii="Verdana" w:hAnsi="Verdana" w:cs="Verdana"/>
          <w:sz w:val="18"/>
          <w:szCs w:val="18"/>
        </w:rPr>
        <w:t xml:space="preserve">van de mutaties </w:t>
      </w:r>
      <w:r w:rsidRPr="008A79DC" w:rsidR="00126D04">
        <w:rPr>
          <w:rFonts w:ascii="Verdana" w:hAnsi="Verdana" w:cs="Verdana"/>
          <w:sz w:val="18"/>
          <w:szCs w:val="18"/>
        </w:rPr>
        <w:t>die bij</w:t>
      </w:r>
      <w:r w:rsidRPr="008A79DC" w:rsidR="002659BF">
        <w:rPr>
          <w:rFonts w:ascii="Verdana" w:hAnsi="Verdana" w:cs="Verdana"/>
          <w:sz w:val="18"/>
          <w:szCs w:val="18"/>
        </w:rPr>
        <w:t xml:space="preserve"> Najaarsnota </w:t>
      </w:r>
      <w:r w:rsidRPr="008A79DC" w:rsidR="00126D04">
        <w:rPr>
          <w:rFonts w:ascii="Verdana" w:hAnsi="Verdana" w:cs="Verdana"/>
          <w:sz w:val="18"/>
          <w:szCs w:val="18"/>
        </w:rPr>
        <w:t xml:space="preserve">2018 zijn verwerkt, </w:t>
      </w:r>
      <w:r w:rsidRPr="008A79DC">
        <w:rPr>
          <w:rFonts w:ascii="Verdana" w:hAnsi="Verdana" w:cs="Verdana"/>
          <w:sz w:val="18"/>
          <w:szCs w:val="18"/>
        </w:rPr>
        <w:t xml:space="preserve">wordt verwezen naar de </w:t>
      </w:r>
      <w:r w:rsidRPr="008A79DC" w:rsidR="00126D04">
        <w:rPr>
          <w:rFonts w:ascii="Verdana" w:hAnsi="Verdana" w:cs="Verdana"/>
          <w:sz w:val="18"/>
          <w:szCs w:val="18"/>
        </w:rPr>
        <w:t xml:space="preserve">afzonderlijke </w:t>
      </w:r>
      <w:r w:rsidRPr="008A79DC" w:rsidR="00117BF2">
        <w:rPr>
          <w:rFonts w:ascii="Verdana" w:hAnsi="Verdana" w:cs="Verdana"/>
          <w:sz w:val="18"/>
          <w:szCs w:val="18"/>
        </w:rPr>
        <w:t>twee</w:t>
      </w:r>
      <w:r w:rsidRPr="008A79DC" w:rsidR="00A559A6">
        <w:rPr>
          <w:rFonts w:ascii="Verdana" w:hAnsi="Verdana" w:cs="Verdana"/>
          <w:sz w:val="18"/>
          <w:szCs w:val="18"/>
        </w:rPr>
        <w:t xml:space="preserve">de </w:t>
      </w:r>
      <w:r w:rsidRPr="008A79DC">
        <w:rPr>
          <w:rFonts w:ascii="Verdana" w:hAnsi="Verdana" w:cs="Verdana"/>
          <w:sz w:val="18"/>
          <w:szCs w:val="18"/>
        </w:rPr>
        <w:t>suppletoire begrotingswetten.</w:t>
      </w:r>
    </w:p>
    <w:p w:rsidRPr="008A79DC" w:rsidR="00C05141" w:rsidP="00C41D99" w:rsidRDefault="00C05141">
      <w:pPr>
        <w:spacing w:line="240" w:lineRule="exact"/>
        <w:rPr>
          <w:rFonts w:ascii="Verdana" w:hAnsi="Verdana" w:cs="Verdana"/>
          <w:sz w:val="18"/>
          <w:szCs w:val="18"/>
        </w:rPr>
      </w:pPr>
    </w:p>
    <w:p w:rsidRPr="008A79DC" w:rsidR="00C05141" w:rsidP="00C41D99" w:rsidRDefault="00C05141">
      <w:pPr>
        <w:spacing w:line="240" w:lineRule="exact"/>
        <w:rPr>
          <w:rFonts w:ascii="Verdana" w:hAnsi="Verdana" w:cs="Verdana"/>
          <w:i/>
          <w:iCs/>
          <w:sz w:val="18"/>
          <w:szCs w:val="18"/>
        </w:rPr>
      </w:pPr>
      <w:r w:rsidRPr="008A79DC">
        <w:rPr>
          <w:rFonts w:ascii="Verdana" w:hAnsi="Verdana" w:cs="Verdana"/>
          <w:i/>
          <w:iCs/>
          <w:sz w:val="18"/>
          <w:szCs w:val="18"/>
        </w:rPr>
        <w:t>Leeswijzer</w:t>
      </w:r>
    </w:p>
    <w:p w:rsidRPr="008A79DC" w:rsidR="00C05141" w:rsidP="00C41D99" w:rsidRDefault="00126D04">
      <w:pPr>
        <w:spacing w:line="240" w:lineRule="exact"/>
        <w:rPr>
          <w:rFonts w:ascii="Verdana" w:hAnsi="Verdana" w:cs="Verdana"/>
          <w:sz w:val="18"/>
          <w:szCs w:val="18"/>
        </w:rPr>
      </w:pPr>
      <w:r w:rsidRPr="008A79DC">
        <w:rPr>
          <w:rFonts w:ascii="Verdana" w:hAnsi="Verdana" w:cs="Verdana"/>
          <w:sz w:val="18"/>
          <w:szCs w:val="18"/>
        </w:rPr>
        <w:t>De Verticale Toelichting onderscheidt drie categorieën mutaties</w:t>
      </w:r>
      <w:r w:rsidRPr="008A79DC" w:rsidR="00C05141">
        <w:rPr>
          <w:rFonts w:ascii="Verdana" w:hAnsi="Verdana" w:cs="Verdana"/>
          <w:sz w:val="18"/>
          <w:szCs w:val="18"/>
        </w:rPr>
        <w:t>:</w:t>
      </w:r>
    </w:p>
    <w:p w:rsidRPr="008A79DC" w:rsidR="00C05141" w:rsidP="00C41D99" w:rsidRDefault="00C05141">
      <w:pPr>
        <w:spacing w:line="240" w:lineRule="exact"/>
        <w:rPr>
          <w:rFonts w:ascii="Verdana" w:hAnsi="Verdana" w:cs="Verdana"/>
          <w:sz w:val="18"/>
          <w:szCs w:val="18"/>
        </w:rPr>
      </w:pPr>
      <w:r w:rsidRPr="008A79DC">
        <w:rPr>
          <w:rFonts w:ascii="Verdana" w:hAnsi="Verdana" w:cs="Verdana"/>
          <w:sz w:val="18"/>
          <w:szCs w:val="18"/>
        </w:rPr>
        <w:t>1) Mee- en tegenvallers;</w:t>
      </w:r>
    </w:p>
    <w:p w:rsidRPr="008A79DC" w:rsidR="00C05141" w:rsidP="00C41D99" w:rsidRDefault="00C05141">
      <w:pPr>
        <w:spacing w:line="240" w:lineRule="exact"/>
        <w:rPr>
          <w:rFonts w:ascii="Verdana" w:hAnsi="Verdana" w:cs="Verdana"/>
          <w:sz w:val="18"/>
          <w:szCs w:val="18"/>
        </w:rPr>
      </w:pPr>
      <w:r w:rsidRPr="008A79DC">
        <w:rPr>
          <w:rFonts w:ascii="Verdana" w:hAnsi="Verdana" w:cs="Verdana"/>
          <w:sz w:val="18"/>
          <w:szCs w:val="18"/>
        </w:rPr>
        <w:t>2) Beleidsmatige mutaties;</w:t>
      </w:r>
    </w:p>
    <w:p w:rsidRPr="008A79DC" w:rsidR="00C05141" w:rsidP="00C41D99" w:rsidRDefault="00C05141">
      <w:pPr>
        <w:spacing w:line="240" w:lineRule="exact"/>
        <w:rPr>
          <w:rFonts w:ascii="Verdana" w:hAnsi="Verdana" w:cs="Verdana"/>
          <w:sz w:val="18"/>
          <w:szCs w:val="18"/>
        </w:rPr>
      </w:pPr>
      <w:r w:rsidRPr="008A79DC">
        <w:rPr>
          <w:rFonts w:ascii="Verdana" w:hAnsi="Verdana" w:cs="Verdana"/>
          <w:sz w:val="18"/>
          <w:szCs w:val="18"/>
        </w:rPr>
        <w:t>3) Technische mutaties.</w:t>
      </w:r>
    </w:p>
    <w:p w:rsidRPr="008A79DC" w:rsidR="00C05141" w:rsidP="00C41D99" w:rsidRDefault="00C05141">
      <w:pPr>
        <w:spacing w:line="240" w:lineRule="exact"/>
        <w:rPr>
          <w:rFonts w:ascii="Verdana" w:hAnsi="Verdana" w:cs="Verdana"/>
          <w:sz w:val="18"/>
          <w:szCs w:val="18"/>
        </w:rPr>
      </w:pPr>
    </w:p>
    <w:p w:rsidRPr="008A79DC" w:rsidR="00126D04" w:rsidP="00C41D99" w:rsidRDefault="00C05141">
      <w:pPr>
        <w:spacing w:line="240" w:lineRule="exact"/>
        <w:rPr>
          <w:rFonts w:ascii="Verdana" w:hAnsi="Verdana" w:cs="Verdana"/>
          <w:sz w:val="18"/>
          <w:szCs w:val="18"/>
        </w:rPr>
      </w:pPr>
      <w:r w:rsidRPr="008A79DC">
        <w:rPr>
          <w:rFonts w:ascii="Verdana" w:hAnsi="Verdana" w:cs="Verdana"/>
          <w:sz w:val="18"/>
          <w:szCs w:val="18"/>
        </w:rPr>
        <w:t>De laatste categorie omvat alle overboekingen</w:t>
      </w:r>
      <w:r w:rsidRPr="008A79DC" w:rsidR="00B86607">
        <w:rPr>
          <w:rFonts w:ascii="Verdana" w:hAnsi="Verdana" w:cs="Verdana"/>
          <w:sz w:val="18"/>
          <w:szCs w:val="18"/>
        </w:rPr>
        <w:t xml:space="preserve"> tussen begrotingen</w:t>
      </w:r>
      <w:r w:rsidRPr="008A79DC">
        <w:rPr>
          <w:rFonts w:ascii="Verdana" w:hAnsi="Verdana" w:cs="Verdana"/>
          <w:sz w:val="18"/>
          <w:szCs w:val="18"/>
        </w:rPr>
        <w:t>, desalderingen</w:t>
      </w:r>
      <w:r w:rsidRPr="008A79DC" w:rsidR="00B86607">
        <w:rPr>
          <w:rFonts w:ascii="Verdana" w:hAnsi="Verdana" w:cs="Verdana"/>
          <w:sz w:val="18"/>
          <w:szCs w:val="18"/>
        </w:rPr>
        <w:t xml:space="preserve"> (waarbij een ontvangst direct aan een uitgave is gekoppeld)</w:t>
      </w:r>
      <w:r w:rsidRPr="008A79DC">
        <w:rPr>
          <w:rFonts w:ascii="Verdana" w:hAnsi="Verdana" w:cs="Verdana"/>
          <w:sz w:val="18"/>
          <w:szCs w:val="18"/>
        </w:rPr>
        <w:t>,</w:t>
      </w:r>
      <w:r w:rsidRPr="008A79DC" w:rsidR="002E393E">
        <w:rPr>
          <w:rFonts w:ascii="Verdana" w:hAnsi="Verdana" w:cs="Verdana"/>
          <w:sz w:val="18"/>
          <w:szCs w:val="18"/>
        </w:rPr>
        <w:t xml:space="preserve"> </w:t>
      </w:r>
      <w:r w:rsidRPr="008A79DC" w:rsidR="00126D04">
        <w:rPr>
          <w:rFonts w:ascii="Verdana" w:hAnsi="Verdana" w:cs="Verdana"/>
          <w:sz w:val="18"/>
          <w:szCs w:val="18"/>
        </w:rPr>
        <w:t xml:space="preserve">statistische correcties en </w:t>
      </w:r>
      <w:r w:rsidRPr="008A79DC">
        <w:rPr>
          <w:rFonts w:ascii="Verdana" w:hAnsi="Verdana" w:cs="Verdana"/>
          <w:sz w:val="18"/>
          <w:szCs w:val="18"/>
        </w:rPr>
        <w:t xml:space="preserve">mutaties </w:t>
      </w:r>
      <w:r w:rsidRPr="008A79DC" w:rsidR="002659BF">
        <w:rPr>
          <w:rFonts w:ascii="Verdana" w:hAnsi="Verdana" w:cs="Verdana"/>
          <w:sz w:val="18"/>
          <w:szCs w:val="18"/>
        </w:rPr>
        <w:t>tussen verschillende uitgavenplafonds</w:t>
      </w:r>
      <w:r w:rsidRPr="008A79DC" w:rsidR="002E393E">
        <w:rPr>
          <w:rFonts w:ascii="Verdana" w:hAnsi="Verdana" w:cs="Verdana"/>
          <w:sz w:val="18"/>
          <w:szCs w:val="18"/>
        </w:rPr>
        <w:t xml:space="preserve"> of met het lastenkader</w:t>
      </w:r>
      <w:r w:rsidRPr="008A79DC">
        <w:rPr>
          <w:rFonts w:ascii="Verdana" w:hAnsi="Verdana" w:cs="Verdana"/>
          <w:sz w:val="18"/>
          <w:szCs w:val="18"/>
        </w:rPr>
        <w:t xml:space="preserve">. </w:t>
      </w:r>
    </w:p>
    <w:p w:rsidRPr="008A79DC" w:rsidR="00126D04" w:rsidP="00C41D99" w:rsidRDefault="00126D04">
      <w:pPr>
        <w:spacing w:line="240" w:lineRule="exact"/>
        <w:rPr>
          <w:rFonts w:ascii="Verdana" w:hAnsi="Verdana" w:cs="Verdana"/>
          <w:sz w:val="18"/>
          <w:szCs w:val="18"/>
        </w:rPr>
      </w:pPr>
    </w:p>
    <w:p w:rsidRPr="008A79DC" w:rsidR="00C05141" w:rsidP="00C41D99" w:rsidRDefault="00C05141">
      <w:pPr>
        <w:spacing w:line="240" w:lineRule="exact"/>
        <w:rPr>
          <w:rFonts w:ascii="Verdana" w:hAnsi="Verdana" w:cs="Verdana"/>
          <w:sz w:val="18"/>
          <w:szCs w:val="18"/>
        </w:rPr>
      </w:pPr>
      <w:r w:rsidRPr="008A79DC">
        <w:rPr>
          <w:rFonts w:ascii="Verdana" w:hAnsi="Verdana" w:cs="Verdana"/>
          <w:sz w:val="18"/>
          <w:szCs w:val="18"/>
        </w:rPr>
        <w:t xml:space="preserve">Mutaties worden </w:t>
      </w:r>
      <w:r w:rsidRPr="008A79DC" w:rsidR="00126D04">
        <w:rPr>
          <w:rFonts w:ascii="Verdana" w:hAnsi="Verdana" w:cs="Verdana"/>
          <w:sz w:val="18"/>
          <w:szCs w:val="18"/>
        </w:rPr>
        <w:t>zichtbaar</w:t>
      </w:r>
      <w:r w:rsidRPr="008A79DC">
        <w:rPr>
          <w:rFonts w:ascii="Verdana" w:hAnsi="Verdana" w:cs="Verdana"/>
          <w:sz w:val="18"/>
          <w:szCs w:val="18"/>
        </w:rPr>
        <w:t xml:space="preserve"> </w:t>
      </w:r>
      <w:r w:rsidRPr="008A79DC" w:rsidR="00126D04">
        <w:rPr>
          <w:rFonts w:ascii="Verdana" w:hAnsi="Verdana" w:cs="Verdana"/>
          <w:sz w:val="18"/>
          <w:szCs w:val="18"/>
        </w:rPr>
        <w:t xml:space="preserve">in de VT </w:t>
      </w:r>
      <w:r w:rsidRPr="008A79DC">
        <w:rPr>
          <w:rFonts w:ascii="Verdana" w:hAnsi="Verdana" w:cs="Verdana"/>
          <w:sz w:val="18"/>
          <w:szCs w:val="18"/>
        </w:rPr>
        <w:t>indien ze een</w:t>
      </w:r>
      <w:r w:rsidRPr="008A79DC" w:rsidR="00C34CD2">
        <w:rPr>
          <w:rFonts w:ascii="Verdana" w:hAnsi="Verdana" w:cs="Verdana"/>
          <w:sz w:val="18"/>
          <w:szCs w:val="18"/>
        </w:rPr>
        <w:t xml:space="preserve"> bepaalde ondergrens overschrijden</w:t>
      </w:r>
      <w:r w:rsidRPr="008A79DC">
        <w:rPr>
          <w:rFonts w:ascii="Verdana" w:hAnsi="Verdana" w:cs="Verdana"/>
          <w:sz w:val="18"/>
          <w:szCs w:val="18"/>
        </w:rPr>
        <w:t xml:space="preserve">. </w:t>
      </w:r>
      <w:r w:rsidRPr="008A79DC" w:rsidR="00126D04">
        <w:rPr>
          <w:rFonts w:ascii="Verdana" w:hAnsi="Verdana" w:cs="Verdana"/>
          <w:sz w:val="18"/>
          <w:szCs w:val="18"/>
        </w:rPr>
        <w:t xml:space="preserve">Deze ondergrens is afhankelijk van de omvang van de begroting. </w:t>
      </w:r>
      <w:r w:rsidRPr="008A79DC">
        <w:rPr>
          <w:rFonts w:ascii="Verdana" w:hAnsi="Verdana" w:cs="Verdana"/>
          <w:sz w:val="18"/>
          <w:szCs w:val="18"/>
        </w:rPr>
        <w:t xml:space="preserve">De post diversen bevat </w:t>
      </w:r>
      <w:r w:rsidRPr="008A79DC" w:rsidR="00126D04">
        <w:rPr>
          <w:rFonts w:ascii="Verdana" w:hAnsi="Verdana" w:cs="Verdana"/>
          <w:sz w:val="18"/>
          <w:szCs w:val="18"/>
        </w:rPr>
        <w:t>alle</w:t>
      </w:r>
      <w:r w:rsidRPr="008A79DC">
        <w:rPr>
          <w:rFonts w:ascii="Verdana" w:hAnsi="Verdana" w:cs="Verdana"/>
          <w:sz w:val="18"/>
          <w:szCs w:val="18"/>
        </w:rPr>
        <w:t xml:space="preserve"> mutaties die onder de ondergrens vallen.</w:t>
      </w:r>
      <w:r w:rsidRPr="008A79DC" w:rsidR="00126D04">
        <w:rPr>
          <w:rFonts w:ascii="Verdana" w:hAnsi="Verdana" w:cs="Verdana"/>
          <w:sz w:val="18"/>
          <w:szCs w:val="18"/>
        </w:rPr>
        <w:t xml:space="preserve"> Ingeval samenhangende mutaties in meerdere categorieën voorkomen, worden deze eenmaal toegelicht.</w:t>
      </w:r>
    </w:p>
    <w:p w:rsidRPr="008A79DC" w:rsidR="00C05141" w:rsidP="00C41D99" w:rsidRDefault="00C05141">
      <w:pPr>
        <w:spacing w:line="240" w:lineRule="exact"/>
        <w:rPr>
          <w:rFonts w:ascii="Verdana" w:hAnsi="Verdana" w:cs="Verdana"/>
          <w:sz w:val="18"/>
          <w:szCs w:val="18"/>
        </w:rPr>
      </w:pPr>
    </w:p>
    <w:p w:rsidRPr="008A79DC" w:rsidR="00C05141" w:rsidP="00C41D99"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lang w:eastAsia="en-US"/>
        </w:rPr>
      </w:pPr>
      <w:r w:rsidRPr="008A79DC">
        <w:rPr>
          <w:rFonts w:ascii="Verdana" w:hAnsi="Verdana" w:cs="Verdana"/>
          <w:sz w:val="18"/>
          <w:szCs w:val="18"/>
          <w:lang w:eastAsia="en-US"/>
        </w:rPr>
        <w:t xml:space="preserve">De totalen per begroting worden in eerste instantie gepresenteerd exclusief de bedragen die onder de Homogene Groep Internationale Samenwerking (HGIS) vallen. </w:t>
      </w:r>
      <w:r w:rsidRPr="008A79DC" w:rsidR="002E393E">
        <w:rPr>
          <w:rFonts w:ascii="Verdana" w:hAnsi="Verdana" w:cs="Verdana"/>
          <w:sz w:val="18"/>
          <w:szCs w:val="18"/>
          <w:lang w:eastAsia="en-US"/>
        </w:rPr>
        <w:t xml:space="preserve">In een aparte regel </w:t>
      </w:r>
      <w:r w:rsidRPr="008A79DC" w:rsidR="00126D04">
        <w:rPr>
          <w:rFonts w:ascii="Verdana" w:hAnsi="Verdana" w:cs="Verdana"/>
          <w:sz w:val="18"/>
          <w:szCs w:val="18"/>
          <w:lang w:eastAsia="en-US"/>
        </w:rPr>
        <w:t xml:space="preserve">in de tabel </w:t>
      </w:r>
      <w:r w:rsidRPr="008A79DC" w:rsidR="002E393E">
        <w:rPr>
          <w:rFonts w:ascii="Verdana" w:hAnsi="Verdana" w:cs="Verdana"/>
          <w:sz w:val="18"/>
          <w:szCs w:val="18"/>
          <w:lang w:eastAsia="en-US"/>
        </w:rPr>
        <w:t xml:space="preserve">wordt </w:t>
      </w:r>
      <w:r w:rsidRPr="008A79DC">
        <w:rPr>
          <w:rFonts w:ascii="Verdana" w:hAnsi="Verdana" w:cs="Verdana"/>
          <w:sz w:val="18"/>
          <w:szCs w:val="18"/>
          <w:lang w:eastAsia="en-US"/>
        </w:rPr>
        <w:t>het deel van de begroting dat onder de HGIS valt zichtbaar gemaakt</w:t>
      </w:r>
      <w:r w:rsidRPr="008A79DC" w:rsidR="00126D04">
        <w:rPr>
          <w:rFonts w:ascii="Verdana" w:hAnsi="Verdana" w:cs="Verdana"/>
          <w:sz w:val="18"/>
          <w:szCs w:val="18"/>
          <w:lang w:eastAsia="en-US"/>
        </w:rPr>
        <w:t>. D</w:t>
      </w:r>
      <w:r w:rsidRPr="008A79DC">
        <w:rPr>
          <w:rFonts w:ascii="Verdana" w:hAnsi="Verdana" w:cs="Verdana"/>
          <w:sz w:val="18"/>
          <w:szCs w:val="18"/>
          <w:lang w:eastAsia="en-US"/>
        </w:rPr>
        <w:t xml:space="preserve">e laatste regel geeft per begroting de totaalstand inclusief HGIS aan. De mutaties die optreden binnen het HGIS-deel van de begroting worden gepresenteerd en toegelicht in de Verticale Toelichting van alle HGIS uitgaven. </w:t>
      </w:r>
    </w:p>
    <w:p w:rsidRPr="008A79DC" w:rsidR="00C05141" w:rsidP="00C41D99"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rPr>
      </w:pPr>
    </w:p>
    <w:p w:rsidRPr="008A79DC" w:rsidR="00171785" w:rsidP="00C41D99"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lang w:eastAsia="en-US"/>
        </w:rPr>
      </w:pPr>
      <w:r w:rsidRPr="008A79DC">
        <w:rPr>
          <w:rFonts w:ascii="Verdana" w:hAnsi="Verdana" w:cs="Verdana"/>
          <w:sz w:val="18"/>
          <w:szCs w:val="18"/>
          <w:lang w:eastAsia="en-US"/>
        </w:rPr>
        <w:t>De bedragen in de tabellen zijn in miljoenen euro’s.</w:t>
      </w:r>
      <w:r w:rsidRPr="008A79DC" w:rsidR="00171785">
        <w:rPr>
          <w:rFonts w:ascii="Verdana" w:hAnsi="Verdana" w:cs="Verdana"/>
          <w:sz w:val="18"/>
          <w:szCs w:val="18"/>
          <w:lang w:eastAsia="en-US"/>
        </w:rPr>
        <w:t xml:space="preserve"> </w:t>
      </w:r>
      <w:r w:rsidRPr="008A79DC" w:rsidR="009A6DDC">
        <w:rPr>
          <w:rFonts w:ascii="Verdana" w:hAnsi="Verdana" w:cs="Verdana"/>
          <w:sz w:val="18"/>
          <w:szCs w:val="18"/>
          <w:lang w:eastAsia="en-US"/>
        </w:rPr>
        <w:t>Door afrondingen kan het totaal afwijken van de som der onderdelen.</w:t>
      </w:r>
    </w:p>
    <w:p w:rsidRPr="008A79DC" w:rsidR="0030782C" w:rsidP="00C41D99" w:rsidRDefault="0030782C">
      <w:pPr>
        <w:pStyle w:val="Bijschrift"/>
        <w:keepNext/>
        <w:spacing w:after="0" w:line="240" w:lineRule="exact"/>
        <w:rPr>
          <w:rFonts w:ascii="Verdana" w:hAnsi="Verdana"/>
        </w:rPr>
      </w:pPr>
    </w:p>
    <w:p w:rsidRPr="008A79DC" w:rsidR="00AD374F" w:rsidP="00C41D99" w:rsidRDefault="00C05141">
      <w:pPr>
        <w:pStyle w:val="Bijschrift"/>
        <w:keepNext/>
        <w:spacing w:after="0" w:line="240" w:lineRule="exact"/>
        <w:rPr>
          <w:rFonts w:ascii="Verdana" w:hAnsi="Verdana"/>
          <w:color w:val="auto"/>
        </w:rPr>
      </w:pPr>
      <w:bookmarkStart w:name="_GoBack" w:id="0"/>
      <w:bookmarkEnd w:id="0"/>
      <w:r w:rsidRPr="008A79DC">
        <w:rPr>
          <w:rFonts w:ascii="Verdana" w:hAnsi="Verdana"/>
        </w:rPr>
        <w:br w:type="page"/>
      </w:r>
      <w:r w:rsidRPr="008A79DC" w:rsidR="00C21097">
        <w:rPr>
          <w:rFonts w:ascii="Verdana" w:hAnsi="Verdana"/>
          <w:color w:val="auto"/>
        </w:rPr>
        <w:lastRenderedPageBreak/>
        <w:t xml:space="preserve">Samenvattend overzicht </w:t>
      </w:r>
      <w:r w:rsidRPr="008A79DC" w:rsidR="00126D04">
        <w:rPr>
          <w:rFonts w:ascii="Verdana" w:hAnsi="Verdana"/>
          <w:color w:val="auto"/>
        </w:rPr>
        <w:t xml:space="preserve">van </w:t>
      </w:r>
      <w:r w:rsidRPr="008A79DC" w:rsidR="00C21097">
        <w:rPr>
          <w:rFonts w:ascii="Verdana" w:hAnsi="Verdana"/>
          <w:color w:val="auto"/>
        </w:rPr>
        <w:t xml:space="preserve">mutaties </w:t>
      </w:r>
      <w:r w:rsidRPr="008A79DC" w:rsidR="00126D04">
        <w:rPr>
          <w:rFonts w:ascii="Verdana" w:hAnsi="Verdana"/>
          <w:color w:val="auto"/>
        </w:rPr>
        <w:t>bij</w:t>
      </w:r>
      <w:r w:rsidRPr="008A79DC" w:rsidR="00C21097">
        <w:rPr>
          <w:rFonts w:ascii="Verdana" w:hAnsi="Verdana"/>
          <w:color w:val="auto"/>
        </w:rPr>
        <w:t xml:space="preserve"> </w:t>
      </w:r>
      <w:r w:rsidRPr="008A79DC" w:rsidR="00FB608B">
        <w:rPr>
          <w:rFonts w:ascii="Verdana" w:hAnsi="Verdana"/>
          <w:color w:val="auto"/>
        </w:rPr>
        <w:t>N</w:t>
      </w:r>
      <w:r w:rsidRPr="008A79DC" w:rsidR="00C21097">
        <w:rPr>
          <w:rFonts w:ascii="Verdana" w:hAnsi="Verdana"/>
          <w:color w:val="auto"/>
        </w:rPr>
        <w:t>ajaarsnota 201</w:t>
      </w:r>
      <w:r w:rsidRPr="008A79DC" w:rsidR="00126D04">
        <w:rPr>
          <w:rFonts w:ascii="Verdana" w:hAnsi="Verdana"/>
          <w:color w:val="auto"/>
        </w:rPr>
        <w:t>8</w:t>
      </w:r>
    </w:p>
    <w:p w:rsidRPr="008A79DC" w:rsidR="00AD374F" w:rsidP="00C41D99" w:rsidRDefault="00AD374F">
      <w:pPr>
        <w:spacing w:line="240" w:lineRule="exact"/>
        <w:rPr>
          <w:rFonts w:ascii="Verdana" w:hAnsi="Verdana"/>
          <w:sz w:val="18"/>
          <w:szCs w:val="18"/>
        </w:rPr>
      </w:pPr>
    </w:p>
    <w:tbl>
      <w:tblPr>
        <w:tblW w:w="5000" w:type="pct"/>
        <w:tblCellMar>
          <w:left w:w="70" w:type="dxa"/>
          <w:right w:w="70" w:type="dxa"/>
        </w:tblCellMar>
        <w:tblLook w:val="04A0" w:firstRow="1" w:lastRow="0" w:firstColumn="1" w:lastColumn="0" w:noHBand="0" w:noVBand="1"/>
      </w:tblPr>
      <w:tblGrid>
        <w:gridCol w:w="648"/>
        <w:gridCol w:w="4864"/>
        <w:gridCol w:w="1397"/>
        <w:gridCol w:w="2303"/>
      </w:tblGrid>
      <w:tr w:rsidRPr="008A79DC" w:rsidR="00987044" w:rsidTr="00516191">
        <w:trPr>
          <w:trHeight w:val="127"/>
        </w:trPr>
        <w:tc>
          <w:tcPr>
            <w:tcW w:w="352" w:type="pct"/>
            <w:tcBorders>
              <w:top w:val="single" w:color="auto" w:sz="12" w:space="0"/>
              <w:left w:val="nil"/>
              <w:bottom w:val="single" w:color="auto" w:sz="12" w:space="0"/>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 </w:t>
            </w:r>
          </w:p>
        </w:tc>
        <w:tc>
          <w:tcPr>
            <w:tcW w:w="2640" w:type="pct"/>
            <w:tcBorders>
              <w:top w:val="single" w:color="auto" w:sz="12" w:space="0"/>
              <w:left w:val="nil"/>
              <w:bottom w:val="single" w:color="auto" w:sz="12" w:space="0"/>
              <w:right w:val="nil"/>
            </w:tcBorders>
            <w:shd w:val="clear" w:color="auto" w:fill="auto"/>
            <w:hideMark/>
          </w:tcPr>
          <w:p w:rsidRPr="008A79DC" w:rsidR="00987044" w:rsidP="00516191" w:rsidRDefault="00987044">
            <w:pPr>
              <w:spacing w:line="240" w:lineRule="exact"/>
              <w:rPr>
                <w:rFonts w:ascii="Verdana" w:hAnsi="Verdana"/>
                <w:sz w:val="18"/>
                <w:szCs w:val="18"/>
              </w:rPr>
            </w:pPr>
            <w:r w:rsidRPr="008A79DC">
              <w:rPr>
                <w:rFonts w:ascii="Verdana" w:hAnsi="Verdana"/>
                <w:sz w:val="18"/>
                <w:szCs w:val="18"/>
              </w:rPr>
              <w:t>Bedragen in miljoenen euro’s</w:t>
            </w:r>
          </w:p>
        </w:tc>
        <w:tc>
          <w:tcPr>
            <w:tcW w:w="758" w:type="pct"/>
            <w:tcBorders>
              <w:top w:val="single" w:color="auto" w:sz="12" w:space="0"/>
              <w:left w:val="nil"/>
              <w:bottom w:val="single" w:color="auto" w:sz="12" w:space="0"/>
              <w:right w:val="nil"/>
            </w:tcBorders>
            <w:shd w:val="clear" w:color="auto" w:fill="auto"/>
            <w:hideMark/>
          </w:tcPr>
          <w:p w:rsidRPr="008A79DC" w:rsidR="00987044" w:rsidP="00C41D99" w:rsidRDefault="00987044">
            <w:pPr>
              <w:spacing w:line="240" w:lineRule="exact"/>
              <w:jc w:val="right"/>
              <w:rPr>
                <w:rFonts w:ascii="Verdana" w:hAnsi="Verdana"/>
                <w:sz w:val="18"/>
                <w:szCs w:val="18"/>
              </w:rPr>
            </w:pPr>
            <w:r w:rsidRPr="008A79DC">
              <w:rPr>
                <w:rFonts w:ascii="Verdana" w:hAnsi="Verdana"/>
                <w:sz w:val="18"/>
                <w:szCs w:val="18"/>
              </w:rPr>
              <w:t>Mutaties uitgaven</w:t>
            </w:r>
          </w:p>
        </w:tc>
        <w:tc>
          <w:tcPr>
            <w:tcW w:w="1250" w:type="pct"/>
            <w:tcBorders>
              <w:top w:val="single" w:color="auto" w:sz="12" w:space="0"/>
              <w:left w:val="nil"/>
              <w:bottom w:val="single" w:color="auto" w:sz="12" w:space="0"/>
              <w:right w:val="nil"/>
            </w:tcBorders>
            <w:shd w:val="clear" w:color="auto" w:fill="auto"/>
            <w:hideMark/>
          </w:tcPr>
          <w:p w:rsidRPr="008A79DC" w:rsidR="00987044" w:rsidP="00C41D99" w:rsidRDefault="00987044">
            <w:pPr>
              <w:spacing w:line="240" w:lineRule="exact"/>
              <w:jc w:val="right"/>
              <w:rPr>
                <w:rFonts w:ascii="Verdana" w:hAnsi="Verdana"/>
                <w:sz w:val="18"/>
                <w:szCs w:val="18"/>
              </w:rPr>
            </w:pPr>
            <w:r w:rsidRPr="008A79DC">
              <w:rPr>
                <w:rFonts w:ascii="Verdana" w:hAnsi="Verdana"/>
                <w:sz w:val="18"/>
                <w:szCs w:val="18"/>
              </w:rPr>
              <w:t xml:space="preserve">Mutaties </w:t>
            </w:r>
            <w:r w:rsidR="00516191">
              <w:rPr>
                <w:rFonts w:ascii="Verdana" w:hAnsi="Verdana"/>
                <w:sz w:val="18"/>
                <w:szCs w:val="18"/>
              </w:rPr>
              <w:t>niet-belasting</w:t>
            </w:r>
            <w:r w:rsidRPr="008A79DC">
              <w:rPr>
                <w:rFonts w:ascii="Verdana" w:hAnsi="Verdana"/>
                <w:sz w:val="18"/>
                <w:szCs w:val="18"/>
              </w:rPr>
              <w:t xml:space="preserve">ontvangsten </w:t>
            </w:r>
          </w:p>
        </w:tc>
      </w:tr>
      <w:tr w:rsidRPr="008A79DC" w:rsidR="00987044" w:rsidTr="00987044">
        <w:trPr>
          <w:trHeight w:val="210"/>
        </w:trPr>
        <w:tc>
          <w:tcPr>
            <w:tcW w:w="5000" w:type="pct"/>
            <w:gridSpan w:val="4"/>
            <w:tcBorders>
              <w:top w:val="single" w:color="auto" w:sz="12" w:space="0"/>
              <w:left w:val="nil"/>
              <w:bottom w:val="single" w:color="auto" w:sz="8" w:space="0"/>
              <w:right w:val="nil"/>
            </w:tcBorders>
            <w:shd w:val="clear" w:color="auto" w:fill="auto"/>
            <w:vAlign w:val="bottom"/>
            <w:hideMark/>
          </w:tcPr>
          <w:p w:rsidRPr="008A79DC" w:rsidR="00987044" w:rsidP="00C41D99" w:rsidRDefault="00987044">
            <w:pPr>
              <w:spacing w:line="240" w:lineRule="exact"/>
              <w:rPr>
                <w:rFonts w:ascii="Verdana" w:hAnsi="Verdana"/>
                <w:i/>
                <w:iCs/>
                <w:sz w:val="18"/>
                <w:szCs w:val="18"/>
              </w:rPr>
            </w:pPr>
            <w:r w:rsidRPr="008A79DC">
              <w:rPr>
                <w:rFonts w:ascii="Verdana" w:hAnsi="Verdana"/>
                <w:i/>
                <w:iCs/>
                <w:sz w:val="18"/>
                <w:szCs w:val="18"/>
              </w:rPr>
              <w:t>Departementale begrotingen</w:t>
            </w:r>
          </w:p>
        </w:tc>
      </w:tr>
      <w:tr w:rsidRPr="008A79DC" w:rsidR="00987044" w:rsidTr="00516191">
        <w:trPr>
          <w:trHeight w:val="180"/>
        </w:trPr>
        <w:tc>
          <w:tcPr>
            <w:tcW w:w="352"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I</w:t>
            </w:r>
          </w:p>
        </w:tc>
        <w:tc>
          <w:tcPr>
            <w:tcW w:w="2640" w:type="pct"/>
            <w:tcBorders>
              <w:top w:val="nil"/>
              <w:left w:val="nil"/>
              <w:bottom w:val="nil"/>
              <w:right w:val="nil"/>
            </w:tcBorders>
            <w:shd w:val="clear" w:color="auto" w:fill="auto"/>
            <w:vAlign w:val="bottom"/>
            <w:hideMark/>
          </w:tcPr>
          <w:p w:rsidRPr="008A79DC" w:rsidR="00987044" w:rsidP="00C41D99" w:rsidRDefault="00FD3E5A">
            <w:pPr>
              <w:spacing w:line="240" w:lineRule="exact"/>
              <w:rPr>
                <w:rFonts w:ascii="Verdana" w:hAnsi="Verdana"/>
                <w:sz w:val="18"/>
                <w:szCs w:val="18"/>
              </w:rPr>
            </w:pPr>
            <w:r w:rsidRPr="008A79DC">
              <w:rPr>
                <w:rFonts w:ascii="Verdana" w:hAnsi="Verdana"/>
                <w:sz w:val="18"/>
                <w:szCs w:val="18"/>
              </w:rPr>
              <w:t>De K</w:t>
            </w:r>
            <w:r w:rsidRPr="008A79DC" w:rsidR="00987044">
              <w:rPr>
                <w:rFonts w:ascii="Verdana" w:hAnsi="Verdana"/>
                <w:sz w:val="18"/>
                <w:szCs w:val="18"/>
              </w:rPr>
              <w:t>oning</w:t>
            </w:r>
          </w:p>
        </w:tc>
        <w:tc>
          <w:tcPr>
            <w:tcW w:w="758"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0,0</w:t>
            </w:r>
          </w:p>
        </w:tc>
        <w:tc>
          <w:tcPr>
            <w:tcW w:w="1250"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0,0</w:t>
            </w:r>
          </w:p>
        </w:tc>
      </w:tr>
      <w:tr w:rsidRPr="008A79DC" w:rsidR="00987044" w:rsidTr="00516191">
        <w:trPr>
          <w:trHeight w:val="180"/>
        </w:trPr>
        <w:tc>
          <w:tcPr>
            <w:tcW w:w="352"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IIA</w:t>
            </w:r>
          </w:p>
        </w:tc>
        <w:tc>
          <w:tcPr>
            <w:tcW w:w="2640"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Staten Generaal</w:t>
            </w:r>
          </w:p>
        </w:tc>
        <w:tc>
          <w:tcPr>
            <w:tcW w:w="758" w:type="pct"/>
            <w:tcBorders>
              <w:top w:val="nil"/>
              <w:left w:val="nil"/>
              <w:bottom w:val="nil"/>
              <w:right w:val="nil"/>
            </w:tcBorders>
            <w:shd w:val="clear" w:color="auto" w:fill="auto"/>
            <w:vAlign w:val="bottom"/>
          </w:tcPr>
          <w:p w:rsidRPr="00E32C8D" w:rsidR="00987044" w:rsidP="00C41D99" w:rsidRDefault="007263C3">
            <w:pPr>
              <w:spacing w:line="240" w:lineRule="exact"/>
              <w:jc w:val="right"/>
              <w:rPr>
                <w:rFonts w:ascii="Verdana" w:hAnsi="Verdana"/>
                <w:sz w:val="18"/>
                <w:szCs w:val="18"/>
              </w:rPr>
            </w:pPr>
            <w:r>
              <w:rPr>
                <w:rFonts w:ascii="Verdana" w:hAnsi="Verdana"/>
                <w:sz w:val="18"/>
                <w:szCs w:val="18"/>
              </w:rPr>
              <w:t>3</w:t>
            </w:r>
            <w:r w:rsidR="00E32C8D">
              <w:rPr>
                <w:rFonts w:ascii="Verdana" w:hAnsi="Verdana"/>
                <w:sz w:val="18"/>
                <w:szCs w:val="18"/>
              </w:rPr>
              <w:t>,1</w:t>
            </w:r>
          </w:p>
        </w:tc>
        <w:tc>
          <w:tcPr>
            <w:tcW w:w="1250"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0,0</w:t>
            </w:r>
          </w:p>
        </w:tc>
      </w:tr>
      <w:tr w:rsidRPr="008A79DC" w:rsidR="00987044" w:rsidTr="00516191">
        <w:trPr>
          <w:trHeight w:val="180"/>
        </w:trPr>
        <w:tc>
          <w:tcPr>
            <w:tcW w:w="352" w:type="pct"/>
            <w:tcBorders>
              <w:top w:val="nil"/>
              <w:left w:val="nil"/>
              <w:bottom w:val="nil"/>
              <w:right w:val="nil"/>
            </w:tcBorders>
            <w:shd w:val="clear" w:color="auto" w:fill="auto"/>
            <w:hideMark/>
          </w:tcPr>
          <w:p w:rsidRPr="008A79DC" w:rsidR="00987044" w:rsidP="00E32C8D" w:rsidRDefault="00987044">
            <w:pPr>
              <w:spacing w:line="240" w:lineRule="exact"/>
              <w:rPr>
                <w:rFonts w:ascii="Verdana" w:hAnsi="Verdana"/>
                <w:sz w:val="18"/>
                <w:szCs w:val="18"/>
              </w:rPr>
            </w:pPr>
            <w:r w:rsidRPr="008A79DC">
              <w:rPr>
                <w:rFonts w:ascii="Verdana" w:hAnsi="Verdana"/>
                <w:sz w:val="18"/>
                <w:szCs w:val="18"/>
              </w:rPr>
              <w:t>IIB</w:t>
            </w:r>
          </w:p>
        </w:tc>
        <w:tc>
          <w:tcPr>
            <w:tcW w:w="2640" w:type="pct"/>
            <w:tcBorders>
              <w:top w:val="nil"/>
              <w:left w:val="nil"/>
              <w:bottom w:val="nil"/>
              <w:right w:val="nil"/>
            </w:tcBorders>
            <w:shd w:val="clear" w:color="auto" w:fill="auto"/>
            <w:hideMark/>
          </w:tcPr>
          <w:p w:rsidRPr="008A79DC" w:rsidR="00987044" w:rsidP="00E32C8D" w:rsidRDefault="00E42A76">
            <w:pPr>
              <w:spacing w:line="240" w:lineRule="exact"/>
              <w:rPr>
                <w:rFonts w:ascii="Verdana" w:hAnsi="Verdana"/>
                <w:sz w:val="18"/>
                <w:szCs w:val="18"/>
              </w:rPr>
            </w:pPr>
            <w:r w:rsidRPr="008A79DC">
              <w:rPr>
                <w:rFonts w:ascii="Verdana" w:hAnsi="Verdana" w:cs="Verdana"/>
                <w:bCs/>
                <w:sz w:val="18"/>
                <w:szCs w:val="18"/>
              </w:rPr>
              <w:t>Overige Hoge Colleges van Staat en Kabinetten van de Gouverneurs</w:t>
            </w:r>
          </w:p>
        </w:tc>
        <w:tc>
          <w:tcPr>
            <w:tcW w:w="758" w:type="pct"/>
            <w:tcBorders>
              <w:top w:val="nil"/>
              <w:left w:val="nil"/>
              <w:bottom w:val="nil"/>
              <w:right w:val="nil"/>
            </w:tcBorders>
            <w:shd w:val="clear" w:color="auto" w:fill="auto"/>
          </w:tcPr>
          <w:p w:rsidRPr="00E32C8D" w:rsidR="00987044" w:rsidP="00E32C8D" w:rsidRDefault="00E32C8D">
            <w:pPr>
              <w:spacing w:line="240" w:lineRule="exact"/>
              <w:jc w:val="right"/>
              <w:rPr>
                <w:rFonts w:ascii="Verdana" w:hAnsi="Verdana"/>
                <w:sz w:val="18"/>
                <w:szCs w:val="18"/>
              </w:rPr>
            </w:pPr>
            <w:r>
              <w:rPr>
                <w:rFonts w:ascii="Verdana" w:hAnsi="Verdana"/>
                <w:sz w:val="18"/>
                <w:szCs w:val="18"/>
              </w:rPr>
              <w:t>-0,8</w:t>
            </w:r>
          </w:p>
        </w:tc>
        <w:tc>
          <w:tcPr>
            <w:tcW w:w="1250" w:type="pct"/>
            <w:tcBorders>
              <w:top w:val="nil"/>
              <w:left w:val="nil"/>
              <w:bottom w:val="nil"/>
              <w:right w:val="nil"/>
            </w:tcBorders>
            <w:shd w:val="clear" w:color="auto" w:fill="auto"/>
          </w:tcPr>
          <w:p w:rsidRPr="00E32C8D" w:rsidR="00987044" w:rsidP="00E32C8D" w:rsidRDefault="00E32C8D">
            <w:pPr>
              <w:spacing w:line="240" w:lineRule="exact"/>
              <w:jc w:val="right"/>
              <w:rPr>
                <w:rFonts w:ascii="Verdana" w:hAnsi="Verdana"/>
                <w:sz w:val="18"/>
                <w:szCs w:val="18"/>
              </w:rPr>
            </w:pPr>
            <w:r>
              <w:rPr>
                <w:rFonts w:ascii="Verdana" w:hAnsi="Verdana"/>
                <w:sz w:val="18"/>
                <w:szCs w:val="18"/>
              </w:rPr>
              <w:t>0,0</w:t>
            </w:r>
          </w:p>
        </w:tc>
      </w:tr>
      <w:tr w:rsidRPr="008A79DC" w:rsidR="00987044" w:rsidTr="00516191">
        <w:trPr>
          <w:trHeight w:val="180"/>
        </w:trPr>
        <w:tc>
          <w:tcPr>
            <w:tcW w:w="352"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III</w:t>
            </w:r>
          </w:p>
        </w:tc>
        <w:tc>
          <w:tcPr>
            <w:tcW w:w="2640"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Algemene Zaken</w:t>
            </w:r>
          </w:p>
        </w:tc>
        <w:tc>
          <w:tcPr>
            <w:tcW w:w="758"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-1,6</w:t>
            </w:r>
          </w:p>
        </w:tc>
        <w:tc>
          <w:tcPr>
            <w:tcW w:w="1250"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-0,5</w:t>
            </w:r>
          </w:p>
        </w:tc>
      </w:tr>
      <w:tr w:rsidRPr="008A79DC" w:rsidR="00987044" w:rsidTr="00516191">
        <w:trPr>
          <w:trHeight w:val="180"/>
        </w:trPr>
        <w:tc>
          <w:tcPr>
            <w:tcW w:w="352"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IV</w:t>
            </w:r>
          </w:p>
        </w:tc>
        <w:tc>
          <w:tcPr>
            <w:tcW w:w="2640"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Koninkrijksrelaties</w:t>
            </w:r>
          </w:p>
        </w:tc>
        <w:tc>
          <w:tcPr>
            <w:tcW w:w="758"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168,1</w:t>
            </w:r>
          </w:p>
        </w:tc>
        <w:tc>
          <w:tcPr>
            <w:tcW w:w="1250"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0,9</w:t>
            </w:r>
          </w:p>
        </w:tc>
      </w:tr>
      <w:tr w:rsidRPr="008A79DC" w:rsidR="00987044" w:rsidTr="00516191">
        <w:trPr>
          <w:trHeight w:val="180"/>
        </w:trPr>
        <w:tc>
          <w:tcPr>
            <w:tcW w:w="352"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V</w:t>
            </w:r>
          </w:p>
        </w:tc>
        <w:tc>
          <w:tcPr>
            <w:tcW w:w="2640"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Buitenlandse Zaken</w:t>
            </w:r>
          </w:p>
        </w:tc>
        <w:tc>
          <w:tcPr>
            <w:tcW w:w="758"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-51,0</w:t>
            </w:r>
          </w:p>
        </w:tc>
        <w:tc>
          <w:tcPr>
            <w:tcW w:w="1250"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-10,2</w:t>
            </w:r>
          </w:p>
        </w:tc>
      </w:tr>
      <w:tr w:rsidRPr="008A79DC" w:rsidR="00987044" w:rsidTr="00516191">
        <w:trPr>
          <w:trHeight w:val="180"/>
        </w:trPr>
        <w:tc>
          <w:tcPr>
            <w:tcW w:w="352"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VI</w:t>
            </w:r>
          </w:p>
        </w:tc>
        <w:tc>
          <w:tcPr>
            <w:tcW w:w="2640" w:type="pct"/>
            <w:tcBorders>
              <w:top w:val="nil"/>
              <w:left w:val="nil"/>
              <w:bottom w:val="nil"/>
              <w:right w:val="nil"/>
            </w:tcBorders>
            <w:shd w:val="clear" w:color="auto" w:fill="auto"/>
            <w:vAlign w:val="bottom"/>
            <w:hideMark/>
          </w:tcPr>
          <w:p w:rsidRPr="008A79DC" w:rsidR="00987044" w:rsidP="00E32C8D" w:rsidRDefault="00E32C8D">
            <w:pPr>
              <w:spacing w:line="240" w:lineRule="exact"/>
              <w:rPr>
                <w:rFonts w:ascii="Verdana" w:hAnsi="Verdana"/>
                <w:sz w:val="18"/>
                <w:szCs w:val="18"/>
              </w:rPr>
            </w:pPr>
            <w:r>
              <w:rPr>
                <w:rFonts w:ascii="Verdana" w:hAnsi="Verdana"/>
                <w:sz w:val="18"/>
                <w:szCs w:val="18"/>
              </w:rPr>
              <w:t>Justitie en Veiligheid</w:t>
            </w:r>
          </w:p>
        </w:tc>
        <w:tc>
          <w:tcPr>
            <w:tcW w:w="758"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137,5</w:t>
            </w:r>
          </w:p>
        </w:tc>
        <w:tc>
          <w:tcPr>
            <w:tcW w:w="1250"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-59,6</w:t>
            </w:r>
          </w:p>
        </w:tc>
      </w:tr>
      <w:tr w:rsidRPr="008A79DC" w:rsidR="00987044" w:rsidTr="00516191">
        <w:trPr>
          <w:trHeight w:val="180"/>
        </w:trPr>
        <w:tc>
          <w:tcPr>
            <w:tcW w:w="352"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VII</w:t>
            </w:r>
          </w:p>
        </w:tc>
        <w:tc>
          <w:tcPr>
            <w:tcW w:w="2640"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Binnenlandse Zaken en Koninkrijksrelaties</w:t>
            </w:r>
          </w:p>
        </w:tc>
        <w:tc>
          <w:tcPr>
            <w:tcW w:w="758"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431,5</w:t>
            </w:r>
          </w:p>
        </w:tc>
        <w:tc>
          <w:tcPr>
            <w:tcW w:w="1250"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618,7</w:t>
            </w:r>
          </w:p>
        </w:tc>
      </w:tr>
      <w:tr w:rsidRPr="008A79DC" w:rsidR="00987044" w:rsidTr="00516191">
        <w:trPr>
          <w:trHeight w:val="180"/>
        </w:trPr>
        <w:tc>
          <w:tcPr>
            <w:tcW w:w="352"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VIII</w:t>
            </w:r>
          </w:p>
        </w:tc>
        <w:tc>
          <w:tcPr>
            <w:tcW w:w="2640"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Onderwijs, Cultuur en Wetenschap</w:t>
            </w:r>
          </w:p>
        </w:tc>
        <w:tc>
          <w:tcPr>
            <w:tcW w:w="758" w:type="pct"/>
            <w:tcBorders>
              <w:top w:val="nil"/>
              <w:left w:val="nil"/>
              <w:bottom w:val="nil"/>
              <w:right w:val="nil"/>
            </w:tcBorders>
            <w:shd w:val="clear" w:color="auto" w:fill="auto"/>
            <w:vAlign w:val="bottom"/>
          </w:tcPr>
          <w:p w:rsidRPr="00E32C8D" w:rsidR="00987044" w:rsidP="007B36EB" w:rsidRDefault="00E32C8D">
            <w:pPr>
              <w:spacing w:line="240" w:lineRule="exact"/>
              <w:jc w:val="right"/>
              <w:rPr>
                <w:rFonts w:ascii="Verdana" w:hAnsi="Verdana"/>
                <w:sz w:val="18"/>
                <w:szCs w:val="18"/>
              </w:rPr>
            </w:pPr>
            <w:r>
              <w:rPr>
                <w:rFonts w:ascii="Verdana" w:hAnsi="Verdana"/>
                <w:sz w:val="18"/>
                <w:szCs w:val="18"/>
              </w:rPr>
              <w:t>-</w:t>
            </w:r>
            <w:r w:rsidR="007B36EB">
              <w:rPr>
                <w:rFonts w:ascii="Verdana" w:hAnsi="Verdana"/>
                <w:sz w:val="18"/>
                <w:szCs w:val="18"/>
              </w:rPr>
              <w:t>55,9</w:t>
            </w:r>
          </w:p>
        </w:tc>
        <w:tc>
          <w:tcPr>
            <w:tcW w:w="1250"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39,7</w:t>
            </w:r>
          </w:p>
        </w:tc>
      </w:tr>
      <w:tr w:rsidRPr="008A79DC" w:rsidR="00987044" w:rsidTr="00516191">
        <w:trPr>
          <w:trHeight w:val="180"/>
        </w:trPr>
        <w:tc>
          <w:tcPr>
            <w:tcW w:w="352"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IXA</w:t>
            </w:r>
          </w:p>
        </w:tc>
        <w:tc>
          <w:tcPr>
            <w:tcW w:w="2640"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Nationale Schuld</w:t>
            </w:r>
          </w:p>
        </w:tc>
        <w:tc>
          <w:tcPr>
            <w:tcW w:w="758" w:type="pct"/>
            <w:tcBorders>
              <w:top w:val="nil"/>
              <w:left w:val="nil"/>
              <w:bottom w:val="nil"/>
              <w:right w:val="nil"/>
            </w:tcBorders>
            <w:shd w:val="clear" w:color="auto" w:fill="auto"/>
            <w:vAlign w:val="bottom"/>
          </w:tcPr>
          <w:p w:rsidRPr="00516191" w:rsidR="00987044" w:rsidP="00205B7A" w:rsidRDefault="00516191">
            <w:pPr>
              <w:spacing w:line="240" w:lineRule="exact"/>
              <w:jc w:val="right"/>
              <w:rPr>
                <w:rFonts w:ascii="Verdana" w:hAnsi="Verdana"/>
                <w:sz w:val="18"/>
                <w:szCs w:val="18"/>
              </w:rPr>
            </w:pPr>
            <w:r w:rsidRPr="00516191">
              <w:rPr>
                <w:rFonts w:ascii="Verdana" w:hAnsi="Verdana"/>
                <w:sz w:val="18"/>
                <w:szCs w:val="18"/>
              </w:rPr>
              <w:t>3,9</w:t>
            </w:r>
          </w:p>
        </w:tc>
        <w:tc>
          <w:tcPr>
            <w:tcW w:w="1250" w:type="pct"/>
            <w:tcBorders>
              <w:top w:val="nil"/>
              <w:left w:val="nil"/>
              <w:bottom w:val="nil"/>
              <w:right w:val="nil"/>
            </w:tcBorders>
            <w:shd w:val="clear" w:color="auto" w:fill="auto"/>
            <w:vAlign w:val="bottom"/>
          </w:tcPr>
          <w:p w:rsidRPr="00516191" w:rsidR="00987044" w:rsidP="00205B7A" w:rsidRDefault="00516191">
            <w:pPr>
              <w:spacing w:line="240" w:lineRule="exact"/>
              <w:jc w:val="right"/>
              <w:rPr>
                <w:rFonts w:ascii="Verdana" w:hAnsi="Verdana"/>
                <w:sz w:val="18"/>
                <w:szCs w:val="18"/>
              </w:rPr>
            </w:pPr>
            <w:r w:rsidRPr="00516191">
              <w:rPr>
                <w:rFonts w:ascii="Verdana" w:hAnsi="Verdana"/>
                <w:sz w:val="18"/>
                <w:szCs w:val="18"/>
              </w:rPr>
              <w:t>1.634,0</w:t>
            </w:r>
          </w:p>
        </w:tc>
      </w:tr>
      <w:tr w:rsidRPr="008A79DC" w:rsidR="00987044" w:rsidTr="00516191">
        <w:trPr>
          <w:trHeight w:val="180"/>
        </w:trPr>
        <w:tc>
          <w:tcPr>
            <w:tcW w:w="352"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IXB</w:t>
            </w:r>
          </w:p>
        </w:tc>
        <w:tc>
          <w:tcPr>
            <w:tcW w:w="2640"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Financiën</w:t>
            </w:r>
          </w:p>
        </w:tc>
        <w:tc>
          <w:tcPr>
            <w:tcW w:w="758"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161,2</w:t>
            </w:r>
          </w:p>
        </w:tc>
        <w:tc>
          <w:tcPr>
            <w:tcW w:w="1250"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167,4</w:t>
            </w:r>
          </w:p>
        </w:tc>
      </w:tr>
      <w:tr w:rsidRPr="008A79DC" w:rsidR="00987044" w:rsidTr="00516191">
        <w:trPr>
          <w:trHeight w:val="180"/>
        </w:trPr>
        <w:tc>
          <w:tcPr>
            <w:tcW w:w="352"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X</w:t>
            </w:r>
          </w:p>
        </w:tc>
        <w:tc>
          <w:tcPr>
            <w:tcW w:w="2640" w:type="pct"/>
            <w:tcBorders>
              <w:top w:val="nil"/>
              <w:left w:val="nil"/>
              <w:bottom w:val="nil"/>
              <w:right w:val="nil"/>
            </w:tcBorders>
            <w:shd w:val="clear" w:color="auto" w:fill="auto"/>
            <w:vAlign w:val="bottom"/>
            <w:hideMark/>
          </w:tcPr>
          <w:p w:rsidRPr="008A79DC" w:rsidR="00987044" w:rsidP="00C41D99" w:rsidRDefault="00987044">
            <w:pPr>
              <w:spacing w:line="240" w:lineRule="exact"/>
              <w:rPr>
                <w:rFonts w:ascii="Verdana" w:hAnsi="Verdana"/>
                <w:sz w:val="18"/>
                <w:szCs w:val="18"/>
              </w:rPr>
            </w:pPr>
            <w:r w:rsidRPr="008A79DC">
              <w:rPr>
                <w:rFonts w:ascii="Verdana" w:hAnsi="Verdana"/>
                <w:sz w:val="18"/>
                <w:szCs w:val="18"/>
              </w:rPr>
              <w:t>Defensie</w:t>
            </w:r>
          </w:p>
        </w:tc>
        <w:tc>
          <w:tcPr>
            <w:tcW w:w="758"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-35,4</w:t>
            </w:r>
          </w:p>
        </w:tc>
        <w:tc>
          <w:tcPr>
            <w:tcW w:w="1250" w:type="pct"/>
            <w:tcBorders>
              <w:top w:val="nil"/>
              <w:left w:val="nil"/>
              <w:bottom w:val="nil"/>
              <w:right w:val="nil"/>
            </w:tcBorders>
            <w:shd w:val="clear" w:color="auto" w:fill="auto"/>
            <w:vAlign w:val="bottom"/>
          </w:tcPr>
          <w:p w:rsidRPr="00E32C8D" w:rsidR="00987044" w:rsidP="00C41D99" w:rsidRDefault="00E32C8D">
            <w:pPr>
              <w:spacing w:line="240" w:lineRule="exact"/>
              <w:jc w:val="right"/>
              <w:rPr>
                <w:rFonts w:ascii="Verdana" w:hAnsi="Verdana"/>
                <w:sz w:val="18"/>
                <w:szCs w:val="18"/>
              </w:rPr>
            </w:pPr>
            <w:r>
              <w:rPr>
                <w:rFonts w:ascii="Verdana" w:hAnsi="Verdana"/>
                <w:sz w:val="18"/>
                <w:szCs w:val="18"/>
              </w:rPr>
              <w:t>78,1</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XII</w:t>
            </w:r>
          </w:p>
        </w:tc>
        <w:tc>
          <w:tcPr>
            <w:tcW w:w="2640" w:type="pct"/>
            <w:tcBorders>
              <w:top w:val="nil"/>
              <w:left w:val="nil"/>
              <w:bottom w:val="nil"/>
              <w:right w:val="nil"/>
            </w:tcBorders>
            <w:shd w:val="clear" w:color="auto" w:fill="auto"/>
            <w:vAlign w:val="bottom"/>
            <w:hideMark/>
          </w:tcPr>
          <w:p w:rsidRPr="008A79DC" w:rsidR="0080262C" w:rsidP="00E32C8D" w:rsidRDefault="006E331F">
            <w:pPr>
              <w:spacing w:line="240" w:lineRule="exact"/>
              <w:rPr>
                <w:rFonts w:ascii="Verdana" w:hAnsi="Verdana"/>
                <w:sz w:val="18"/>
                <w:szCs w:val="18"/>
              </w:rPr>
            </w:pPr>
            <w:r w:rsidRPr="008A79DC">
              <w:rPr>
                <w:rFonts w:ascii="Verdana" w:hAnsi="Verdana"/>
                <w:sz w:val="18"/>
                <w:szCs w:val="18"/>
              </w:rPr>
              <w:t xml:space="preserve">Infrastructuur en </w:t>
            </w:r>
            <w:r w:rsidR="00E32C8D">
              <w:rPr>
                <w:rFonts w:ascii="Verdana" w:hAnsi="Verdana"/>
                <w:sz w:val="18"/>
                <w:szCs w:val="18"/>
              </w:rPr>
              <w:t>Waterstaat</w:t>
            </w:r>
          </w:p>
        </w:tc>
        <w:tc>
          <w:tcPr>
            <w:tcW w:w="758" w:type="pct"/>
            <w:tcBorders>
              <w:top w:val="nil"/>
              <w:left w:val="nil"/>
              <w:bottom w:val="nil"/>
              <w:right w:val="nil"/>
            </w:tcBorders>
            <w:shd w:val="clear" w:color="auto" w:fill="auto"/>
            <w:vAlign w:val="bottom"/>
          </w:tcPr>
          <w:p w:rsidRPr="00E32C8D" w:rsidR="0080262C" w:rsidP="00C41D99" w:rsidRDefault="00E32C8D">
            <w:pPr>
              <w:spacing w:line="240" w:lineRule="exact"/>
              <w:jc w:val="right"/>
              <w:rPr>
                <w:rFonts w:ascii="Verdana" w:hAnsi="Verdana"/>
                <w:sz w:val="18"/>
                <w:szCs w:val="18"/>
              </w:rPr>
            </w:pPr>
            <w:r>
              <w:rPr>
                <w:rFonts w:ascii="Verdana" w:hAnsi="Verdana"/>
                <w:sz w:val="18"/>
                <w:szCs w:val="18"/>
              </w:rPr>
              <w:t>-88,7</w:t>
            </w:r>
          </w:p>
        </w:tc>
        <w:tc>
          <w:tcPr>
            <w:tcW w:w="1250" w:type="pct"/>
            <w:tcBorders>
              <w:top w:val="nil"/>
              <w:left w:val="nil"/>
              <w:bottom w:val="nil"/>
              <w:right w:val="nil"/>
            </w:tcBorders>
            <w:shd w:val="clear" w:color="auto" w:fill="auto"/>
          </w:tcPr>
          <w:p w:rsidRPr="00E32C8D" w:rsidR="0080262C" w:rsidP="00C41D99" w:rsidRDefault="00E32C8D">
            <w:pPr>
              <w:spacing w:line="240" w:lineRule="exact"/>
              <w:jc w:val="right"/>
              <w:rPr>
                <w:rFonts w:ascii="Verdana" w:hAnsi="Verdana"/>
                <w:sz w:val="18"/>
                <w:szCs w:val="18"/>
              </w:rPr>
            </w:pPr>
            <w:r>
              <w:rPr>
                <w:rFonts w:ascii="Verdana" w:hAnsi="Verdana"/>
                <w:sz w:val="18"/>
                <w:szCs w:val="18"/>
              </w:rPr>
              <w:t>-0,5</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XIII</w:t>
            </w:r>
          </w:p>
        </w:tc>
        <w:tc>
          <w:tcPr>
            <w:tcW w:w="2640" w:type="pct"/>
            <w:tcBorders>
              <w:top w:val="nil"/>
              <w:left w:val="nil"/>
              <w:bottom w:val="nil"/>
              <w:right w:val="nil"/>
            </w:tcBorders>
            <w:shd w:val="clear" w:color="auto" w:fill="auto"/>
            <w:vAlign w:val="bottom"/>
            <w:hideMark/>
          </w:tcPr>
          <w:p w:rsidRPr="008A79DC" w:rsidR="0080262C" w:rsidP="002B5FF2" w:rsidRDefault="0080262C">
            <w:pPr>
              <w:spacing w:line="240" w:lineRule="exact"/>
              <w:rPr>
                <w:rFonts w:ascii="Verdana" w:hAnsi="Verdana"/>
                <w:sz w:val="18"/>
                <w:szCs w:val="18"/>
              </w:rPr>
            </w:pPr>
            <w:r w:rsidRPr="008A79DC">
              <w:rPr>
                <w:rFonts w:ascii="Verdana" w:hAnsi="Verdana"/>
                <w:sz w:val="18"/>
                <w:szCs w:val="18"/>
              </w:rPr>
              <w:t>Economische Zaken</w:t>
            </w:r>
            <w:r w:rsidR="00E32C8D">
              <w:rPr>
                <w:rFonts w:ascii="Verdana" w:hAnsi="Verdana"/>
                <w:sz w:val="18"/>
                <w:szCs w:val="18"/>
              </w:rPr>
              <w:t xml:space="preserve"> en Klimaat</w:t>
            </w:r>
          </w:p>
        </w:tc>
        <w:tc>
          <w:tcPr>
            <w:tcW w:w="758" w:type="pct"/>
            <w:tcBorders>
              <w:top w:val="nil"/>
              <w:left w:val="nil"/>
              <w:bottom w:val="nil"/>
              <w:right w:val="nil"/>
            </w:tcBorders>
            <w:shd w:val="clear" w:color="auto" w:fill="auto"/>
            <w:vAlign w:val="bottom"/>
          </w:tcPr>
          <w:p w:rsidRPr="00E32C8D" w:rsidR="0080262C" w:rsidP="00C41D99" w:rsidRDefault="00912CEE">
            <w:pPr>
              <w:spacing w:line="240" w:lineRule="exact"/>
              <w:jc w:val="right"/>
              <w:rPr>
                <w:rFonts w:ascii="Verdana" w:hAnsi="Verdana"/>
                <w:sz w:val="18"/>
                <w:szCs w:val="18"/>
              </w:rPr>
            </w:pPr>
            <w:r>
              <w:rPr>
                <w:rFonts w:ascii="Verdana" w:hAnsi="Verdana"/>
                <w:color w:val="000000"/>
                <w:sz w:val="18"/>
                <w:szCs w:val="18"/>
              </w:rPr>
              <w:t>452,9</w:t>
            </w:r>
          </w:p>
        </w:tc>
        <w:tc>
          <w:tcPr>
            <w:tcW w:w="1250" w:type="pct"/>
            <w:tcBorders>
              <w:top w:val="nil"/>
              <w:left w:val="nil"/>
              <w:bottom w:val="nil"/>
              <w:right w:val="nil"/>
            </w:tcBorders>
            <w:shd w:val="clear" w:color="auto" w:fill="auto"/>
            <w:vAlign w:val="bottom"/>
          </w:tcPr>
          <w:p w:rsidRPr="00E32C8D" w:rsidR="0080262C" w:rsidP="00C41D99" w:rsidRDefault="00E32C8D">
            <w:pPr>
              <w:spacing w:line="240" w:lineRule="exact"/>
              <w:jc w:val="right"/>
              <w:rPr>
                <w:rFonts w:ascii="Verdana" w:hAnsi="Verdana"/>
                <w:sz w:val="18"/>
                <w:szCs w:val="18"/>
              </w:rPr>
            </w:pPr>
            <w:r>
              <w:rPr>
                <w:rFonts w:ascii="Verdana" w:hAnsi="Verdana"/>
                <w:sz w:val="18"/>
                <w:szCs w:val="18"/>
              </w:rPr>
              <w:t>5,0</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XV</w:t>
            </w: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Sociale Zaken en Werkgelegenheid</w:t>
            </w:r>
          </w:p>
        </w:tc>
        <w:tc>
          <w:tcPr>
            <w:tcW w:w="758" w:type="pct"/>
            <w:tcBorders>
              <w:top w:val="nil"/>
              <w:left w:val="nil"/>
              <w:bottom w:val="nil"/>
              <w:right w:val="nil"/>
            </w:tcBorders>
            <w:shd w:val="clear" w:color="auto" w:fill="auto"/>
            <w:vAlign w:val="bottom"/>
          </w:tcPr>
          <w:p w:rsidRPr="00E32C8D" w:rsidR="0080262C" w:rsidP="00C41D99" w:rsidRDefault="00E32C8D">
            <w:pPr>
              <w:spacing w:line="240" w:lineRule="exact"/>
              <w:jc w:val="right"/>
              <w:rPr>
                <w:rFonts w:ascii="Verdana" w:hAnsi="Verdana"/>
                <w:sz w:val="18"/>
                <w:szCs w:val="18"/>
              </w:rPr>
            </w:pPr>
            <w:r>
              <w:rPr>
                <w:rFonts w:ascii="Verdana" w:hAnsi="Verdana"/>
                <w:sz w:val="18"/>
                <w:szCs w:val="18"/>
              </w:rPr>
              <w:t>-121,2</w:t>
            </w:r>
          </w:p>
        </w:tc>
        <w:tc>
          <w:tcPr>
            <w:tcW w:w="1250" w:type="pct"/>
            <w:tcBorders>
              <w:top w:val="nil"/>
              <w:left w:val="nil"/>
              <w:bottom w:val="nil"/>
              <w:right w:val="nil"/>
            </w:tcBorders>
            <w:shd w:val="clear" w:color="auto" w:fill="auto"/>
            <w:vAlign w:val="bottom"/>
          </w:tcPr>
          <w:p w:rsidRPr="00E32C8D" w:rsidR="0080262C" w:rsidP="00C41D99" w:rsidRDefault="00E32C8D">
            <w:pPr>
              <w:spacing w:line="240" w:lineRule="exact"/>
              <w:jc w:val="right"/>
              <w:rPr>
                <w:rFonts w:ascii="Verdana" w:hAnsi="Verdana"/>
                <w:sz w:val="18"/>
                <w:szCs w:val="18"/>
              </w:rPr>
            </w:pPr>
            <w:r>
              <w:rPr>
                <w:rFonts w:ascii="Verdana" w:hAnsi="Verdana"/>
                <w:sz w:val="18"/>
                <w:szCs w:val="18"/>
              </w:rPr>
              <w:t>-17,6</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XVI</w:t>
            </w: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Volksgezondheid, Welzijn en Sport</w:t>
            </w:r>
          </w:p>
        </w:tc>
        <w:tc>
          <w:tcPr>
            <w:tcW w:w="758" w:type="pct"/>
            <w:tcBorders>
              <w:top w:val="nil"/>
              <w:left w:val="nil"/>
              <w:bottom w:val="nil"/>
              <w:right w:val="nil"/>
            </w:tcBorders>
            <w:shd w:val="clear" w:color="auto" w:fill="auto"/>
            <w:vAlign w:val="bottom"/>
          </w:tcPr>
          <w:p w:rsidRPr="00E32C8D" w:rsidR="0080262C" w:rsidP="00C41D99" w:rsidRDefault="00E32C8D">
            <w:pPr>
              <w:spacing w:line="240" w:lineRule="exact"/>
              <w:jc w:val="right"/>
              <w:rPr>
                <w:rFonts w:ascii="Verdana" w:hAnsi="Verdana"/>
                <w:sz w:val="18"/>
                <w:szCs w:val="18"/>
              </w:rPr>
            </w:pPr>
            <w:r>
              <w:rPr>
                <w:rFonts w:ascii="Verdana" w:hAnsi="Verdana"/>
                <w:sz w:val="18"/>
                <w:szCs w:val="18"/>
              </w:rPr>
              <w:t>-67,7</w:t>
            </w:r>
          </w:p>
        </w:tc>
        <w:tc>
          <w:tcPr>
            <w:tcW w:w="1250" w:type="pct"/>
            <w:tcBorders>
              <w:top w:val="nil"/>
              <w:left w:val="nil"/>
              <w:bottom w:val="nil"/>
              <w:right w:val="nil"/>
            </w:tcBorders>
            <w:shd w:val="clear" w:color="auto" w:fill="auto"/>
            <w:vAlign w:val="bottom"/>
          </w:tcPr>
          <w:p w:rsidRPr="00E32C8D" w:rsidR="0080262C" w:rsidP="00C41D99" w:rsidRDefault="00E32C8D">
            <w:pPr>
              <w:spacing w:line="240" w:lineRule="exact"/>
              <w:jc w:val="right"/>
              <w:rPr>
                <w:rFonts w:ascii="Verdana" w:hAnsi="Verdana"/>
                <w:sz w:val="18"/>
                <w:szCs w:val="18"/>
              </w:rPr>
            </w:pPr>
            <w:r>
              <w:rPr>
                <w:rFonts w:ascii="Verdana" w:hAnsi="Verdana"/>
                <w:sz w:val="18"/>
                <w:szCs w:val="18"/>
              </w:rPr>
              <w:t>33,8</w:t>
            </w:r>
          </w:p>
        </w:tc>
      </w:tr>
      <w:tr w:rsidRPr="008A79DC" w:rsidR="0080262C" w:rsidTr="00516191">
        <w:trPr>
          <w:trHeight w:val="180"/>
        </w:trPr>
        <w:tc>
          <w:tcPr>
            <w:tcW w:w="352" w:type="pct"/>
            <w:tcBorders>
              <w:top w:val="nil"/>
              <w:left w:val="nil"/>
              <w:bottom w:val="nil"/>
              <w:right w:val="nil"/>
            </w:tcBorders>
            <w:shd w:val="clear" w:color="auto" w:fill="auto"/>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XVII</w:t>
            </w: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Buitenlandse Handel en Ontwikkelingssamenwerking</w:t>
            </w:r>
          </w:p>
        </w:tc>
        <w:tc>
          <w:tcPr>
            <w:tcW w:w="758" w:type="pct"/>
            <w:tcBorders>
              <w:top w:val="nil"/>
              <w:left w:val="nil"/>
              <w:bottom w:val="nil"/>
              <w:right w:val="nil"/>
            </w:tcBorders>
            <w:shd w:val="clear" w:color="auto" w:fill="auto"/>
          </w:tcPr>
          <w:p w:rsidRPr="00E32C8D" w:rsidR="0080262C" w:rsidP="00C41D99" w:rsidRDefault="00E32C8D">
            <w:pPr>
              <w:spacing w:line="240" w:lineRule="exact"/>
              <w:jc w:val="right"/>
              <w:rPr>
                <w:rFonts w:ascii="Verdana" w:hAnsi="Verdana"/>
                <w:sz w:val="18"/>
                <w:szCs w:val="18"/>
              </w:rPr>
            </w:pPr>
            <w:r>
              <w:rPr>
                <w:rFonts w:ascii="Verdana" w:hAnsi="Verdana"/>
                <w:sz w:val="18"/>
                <w:szCs w:val="18"/>
              </w:rPr>
              <w:t>0,0</w:t>
            </w:r>
          </w:p>
        </w:tc>
        <w:tc>
          <w:tcPr>
            <w:tcW w:w="1250" w:type="pct"/>
            <w:tcBorders>
              <w:top w:val="nil"/>
              <w:left w:val="nil"/>
              <w:bottom w:val="nil"/>
              <w:right w:val="nil"/>
            </w:tcBorders>
            <w:shd w:val="clear" w:color="auto" w:fill="auto"/>
          </w:tcPr>
          <w:p w:rsidRPr="00E32C8D" w:rsidR="0080262C" w:rsidP="00C41D99" w:rsidRDefault="00E32C8D">
            <w:pPr>
              <w:spacing w:line="240" w:lineRule="exact"/>
              <w:jc w:val="right"/>
              <w:rPr>
                <w:rFonts w:ascii="Verdana" w:hAnsi="Verdana"/>
                <w:sz w:val="18"/>
                <w:szCs w:val="18"/>
              </w:rPr>
            </w:pPr>
            <w:r>
              <w:rPr>
                <w:rFonts w:ascii="Verdana" w:hAnsi="Verdana"/>
                <w:sz w:val="18"/>
                <w:szCs w:val="18"/>
              </w:rPr>
              <w:t>0,0</w:t>
            </w:r>
          </w:p>
        </w:tc>
      </w:tr>
      <w:tr w:rsidRPr="008A79DC" w:rsidR="0080262C" w:rsidTr="00987044">
        <w:trPr>
          <w:trHeight w:val="195"/>
        </w:trPr>
        <w:tc>
          <w:tcPr>
            <w:tcW w:w="5000" w:type="pct"/>
            <w:gridSpan w:val="4"/>
            <w:tcBorders>
              <w:top w:val="single" w:color="auto" w:sz="8" w:space="0"/>
              <w:left w:val="nil"/>
              <w:bottom w:val="single" w:color="auto" w:sz="8" w:space="0"/>
              <w:right w:val="nil"/>
            </w:tcBorders>
            <w:shd w:val="clear" w:color="auto" w:fill="auto"/>
            <w:vAlign w:val="bottom"/>
            <w:hideMark/>
          </w:tcPr>
          <w:p w:rsidRPr="008A79DC" w:rsidR="0080262C" w:rsidP="00C41D99" w:rsidRDefault="0080262C">
            <w:pPr>
              <w:spacing w:line="240" w:lineRule="exact"/>
              <w:rPr>
                <w:rFonts w:ascii="Verdana" w:hAnsi="Verdana"/>
                <w:i/>
                <w:iCs/>
                <w:sz w:val="18"/>
                <w:szCs w:val="18"/>
              </w:rPr>
            </w:pPr>
            <w:r w:rsidRPr="008A79DC">
              <w:rPr>
                <w:rFonts w:ascii="Verdana" w:hAnsi="Verdana"/>
                <w:i/>
                <w:iCs/>
                <w:sz w:val="18"/>
                <w:szCs w:val="18"/>
              </w:rPr>
              <w:t>Overig</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Sociale Zekerheid</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-1,1</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-58,8</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Zorg</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-720,8</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Gemeentefonds</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213,4</w:t>
            </w:r>
          </w:p>
        </w:tc>
        <w:tc>
          <w:tcPr>
            <w:tcW w:w="1250" w:type="pct"/>
            <w:tcBorders>
              <w:top w:val="nil"/>
              <w:left w:val="nil"/>
              <w:bottom w:val="nil"/>
              <w:right w:val="nil"/>
            </w:tcBorders>
            <w:shd w:val="clear" w:color="auto" w:fill="auto"/>
            <w:vAlign w:val="bottom"/>
          </w:tcPr>
          <w:p w:rsidRPr="008A79DC" w:rsidR="0080262C" w:rsidP="00E32C8D" w:rsidRDefault="00E32C8D">
            <w:pPr>
              <w:spacing w:line="240" w:lineRule="exact"/>
              <w:jc w:val="right"/>
              <w:rPr>
                <w:rFonts w:ascii="Verdana" w:hAnsi="Verdana"/>
                <w:sz w:val="18"/>
                <w:szCs w:val="18"/>
              </w:rPr>
            </w:pPr>
            <w:r>
              <w:rPr>
                <w:rFonts w:ascii="Verdana" w:hAnsi="Verdana"/>
                <w:sz w:val="18"/>
                <w:szCs w:val="18"/>
              </w:rPr>
              <w:t>0,0</w:t>
            </w:r>
          </w:p>
        </w:tc>
      </w:tr>
      <w:tr w:rsidRPr="008A79DC" w:rsidR="0080262C" w:rsidTr="00516191">
        <w:trPr>
          <w:trHeight w:val="95"/>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Provinciefonds</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140,5</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Infrastructuurfonds</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-339,4</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-67,0</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Diergezondheidsfonds</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1,0</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-2,8</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Accres Gemeentefonds</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Accres Provinciefonds</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BES fonds</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0,1</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Deltafonds</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3,8</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3,8</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Prijsbijstelling</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Arbeidsvoorwaarden</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Koppeling Uitkeringen</w:t>
            </w:r>
          </w:p>
        </w:tc>
        <w:tc>
          <w:tcPr>
            <w:tcW w:w="758"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r>
      <w:tr w:rsidRPr="008A79DC" w:rsidR="0080262C" w:rsidTr="00516191">
        <w:trPr>
          <w:trHeight w:val="180"/>
        </w:trPr>
        <w:tc>
          <w:tcPr>
            <w:tcW w:w="352"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color w:val="000000"/>
                <w:sz w:val="18"/>
                <w:szCs w:val="18"/>
              </w:rPr>
            </w:pPr>
          </w:p>
        </w:tc>
        <w:tc>
          <w:tcPr>
            <w:tcW w:w="2640" w:type="pct"/>
            <w:tcBorders>
              <w:top w:val="nil"/>
              <w:left w:val="nil"/>
              <w:bottom w:val="nil"/>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Aanvullende Post Algemeen</w:t>
            </w:r>
          </w:p>
        </w:tc>
        <w:tc>
          <w:tcPr>
            <w:tcW w:w="758" w:type="pct"/>
            <w:tcBorders>
              <w:top w:val="nil"/>
              <w:left w:val="nil"/>
              <w:bottom w:val="nil"/>
              <w:right w:val="nil"/>
            </w:tcBorders>
            <w:shd w:val="clear" w:color="auto" w:fill="auto"/>
            <w:vAlign w:val="bottom"/>
          </w:tcPr>
          <w:p w:rsidRPr="008A79DC" w:rsidR="0080262C" w:rsidP="007724DD" w:rsidRDefault="00E32C8D">
            <w:pPr>
              <w:spacing w:line="240" w:lineRule="exact"/>
              <w:jc w:val="right"/>
              <w:rPr>
                <w:rFonts w:ascii="Verdana" w:hAnsi="Verdana"/>
                <w:sz w:val="18"/>
                <w:szCs w:val="18"/>
              </w:rPr>
            </w:pPr>
            <w:r>
              <w:rPr>
                <w:rFonts w:ascii="Verdana" w:hAnsi="Verdana"/>
                <w:sz w:val="18"/>
                <w:szCs w:val="18"/>
              </w:rPr>
              <w:t>-282,7</w:t>
            </w:r>
          </w:p>
        </w:tc>
        <w:tc>
          <w:tcPr>
            <w:tcW w:w="1250" w:type="pct"/>
            <w:tcBorders>
              <w:top w:val="nil"/>
              <w:left w:val="nil"/>
              <w:bottom w:val="nil"/>
              <w:right w:val="nil"/>
            </w:tcBorders>
            <w:shd w:val="clear" w:color="auto" w:fill="auto"/>
            <w:vAlign w:val="bottom"/>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0,0</w:t>
            </w:r>
          </w:p>
        </w:tc>
      </w:tr>
      <w:tr w:rsidRPr="008A79DC" w:rsidR="0080262C" w:rsidTr="00516191">
        <w:trPr>
          <w:trHeight w:val="195"/>
        </w:trPr>
        <w:tc>
          <w:tcPr>
            <w:tcW w:w="352" w:type="pct"/>
            <w:tcBorders>
              <w:top w:val="nil"/>
              <w:left w:val="nil"/>
              <w:bottom w:val="single" w:color="auto" w:sz="8" w:space="0"/>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 </w:t>
            </w:r>
          </w:p>
        </w:tc>
        <w:tc>
          <w:tcPr>
            <w:tcW w:w="2640" w:type="pct"/>
            <w:tcBorders>
              <w:top w:val="nil"/>
              <w:left w:val="nil"/>
              <w:bottom w:val="single" w:color="auto" w:sz="8" w:space="0"/>
              <w:right w:val="nil"/>
            </w:tcBorders>
            <w:shd w:val="clear" w:color="auto" w:fill="auto"/>
            <w:vAlign w:val="bottom"/>
            <w:hideMark/>
          </w:tcPr>
          <w:p w:rsidRPr="008A79DC" w:rsidR="0080262C" w:rsidP="00C41D99" w:rsidRDefault="0080262C">
            <w:pPr>
              <w:spacing w:line="240" w:lineRule="exact"/>
              <w:rPr>
                <w:rFonts w:ascii="Verdana" w:hAnsi="Verdana"/>
                <w:sz w:val="18"/>
                <w:szCs w:val="18"/>
              </w:rPr>
            </w:pPr>
            <w:r w:rsidRPr="008A79DC">
              <w:rPr>
                <w:rFonts w:ascii="Verdana" w:hAnsi="Verdana"/>
                <w:sz w:val="18"/>
                <w:szCs w:val="18"/>
              </w:rPr>
              <w:t>Homogene Groep Internationale Samenwerking</w:t>
            </w:r>
          </w:p>
        </w:tc>
        <w:tc>
          <w:tcPr>
            <w:tcW w:w="758" w:type="pct"/>
            <w:tcBorders>
              <w:top w:val="nil"/>
              <w:left w:val="nil"/>
              <w:bottom w:val="single" w:color="auto" w:sz="8" w:space="0"/>
              <w:right w:val="nil"/>
            </w:tcBorders>
            <w:shd w:val="clear" w:color="auto" w:fill="auto"/>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-76,8</w:t>
            </w:r>
          </w:p>
        </w:tc>
        <w:tc>
          <w:tcPr>
            <w:tcW w:w="1250" w:type="pct"/>
            <w:tcBorders>
              <w:top w:val="nil"/>
              <w:left w:val="nil"/>
              <w:bottom w:val="single" w:color="auto" w:sz="8" w:space="0"/>
              <w:right w:val="nil"/>
            </w:tcBorders>
            <w:shd w:val="clear" w:color="auto" w:fill="auto"/>
          </w:tcPr>
          <w:p w:rsidRPr="008A79DC" w:rsidR="0080262C" w:rsidP="00C41D99" w:rsidRDefault="00E32C8D">
            <w:pPr>
              <w:spacing w:line="240" w:lineRule="exact"/>
              <w:jc w:val="right"/>
              <w:rPr>
                <w:rFonts w:ascii="Verdana" w:hAnsi="Verdana"/>
                <w:sz w:val="18"/>
                <w:szCs w:val="18"/>
              </w:rPr>
            </w:pPr>
            <w:r>
              <w:rPr>
                <w:rFonts w:ascii="Verdana" w:hAnsi="Verdana"/>
                <w:sz w:val="18"/>
                <w:szCs w:val="18"/>
              </w:rPr>
              <w:t>13,4</w:t>
            </w:r>
          </w:p>
        </w:tc>
      </w:tr>
    </w:tbl>
    <w:p w:rsidRPr="008A79DC" w:rsidR="00412663" w:rsidP="00C41D99" w:rsidRDefault="00AD374F">
      <w:pPr>
        <w:spacing w:line="240" w:lineRule="exact"/>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De Koning</w:t>
            </w:r>
          </w:p>
          <w:p w:rsidRPr="008A79DC" w:rsidR="00752578" w:rsidRDefault="00752578">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I DE KONING: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43,1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43,1</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43,1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I DE KONING: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bl>
    <w:p w:rsidRPr="008A79DC" w:rsidR="00412663" w:rsidP="00C41D99" w:rsidRDefault="00412663">
      <w:pPr>
        <w:spacing w:line="240" w:lineRule="exact"/>
        <w:rPr>
          <w:rFonts w:ascii="Verdana" w:hAnsi="Verdana" w:cs="Verdana"/>
          <w:b/>
          <w:bCs/>
          <w:sz w:val="18"/>
          <w:szCs w:val="18"/>
        </w:rPr>
      </w:pPr>
    </w:p>
    <w:p w:rsidRPr="008A79DC" w:rsidR="00412663" w:rsidP="00C41D99" w:rsidRDefault="00412663">
      <w:pPr>
        <w:spacing w:line="240" w:lineRule="exact"/>
        <w:rPr>
          <w:rFonts w:ascii="Verdana" w:hAnsi="Verdana" w:cs="Verdana"/>
          <w:b/>
          <w:bCs/>
          <w:sz w:val="18"/>
          <w:szCs w:val="18"/>
        </w:rPr>
      </w:pP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00C50F85" w:rsidTr="00C50F85">
        <w:trPr>
          <w:trHeight w:val="300"/>
        </w:trPr>
        <w:tc>
          <w:tcPr>
            <w:tcW w:w="5340" w:type="dxa"/>
            <w:tcBorders>
              <w:top w:val="nil"/>
              <w:left w:val="nil"/>
              <w:bottom w:val="nil"/>
              <w:right w:val="nil"/>
            </w:tcBorders>
            <w:shd w:val="clear" w:color="auto" w:fill="auto"/>
            <w:hideMark/>
          </w:tcPr>
          <w:p w:rsidR="00C50F85" w:rsidRDefault="00C50F85">
            <w:pPr>
              <w:rPr>
                <w:rFonts w:ascii="Verdana" w:hAnsi="Verdana"/>
                <w:b/>
                <w:bCs/>
                <w:color w:val="000000"/>
                <w:sz w:val="18"/>
                <w:szCs w:val="18"/>
              </w:rPr>
            </w:pPr>
            <w:r>
              <w:rPr>
                <w:rFonts w:ascii="Verdana" w:hAnsi="Verdana"/>
                <w:b/>
                <w:bCs/>
                <w:color w:val="000000"/>
                <w:sz w:val="18"/>
                <w:szCs w:val="18"/>
              </w:rPr>
              <w:lastRenderedPageBreak/>
              <w:t>Staten-Generaal</w:t>
            </w:r>
          </w:p>
        </w:tc>
        <w:tc>
          <w:tcPr>
            <w:tcW w:w="1480" w:type="dxa"/>
            <w:tcBorders>
              <w:top w:val="nil"/>
              <w:left w:val="nil"/>
              <w:bottom w:val="nil"/>
              <w:right w:val="nil"/>
            </w:tcBorders>
            <w:shd w:val="clear" w:color="auto" w:fill="auto"/>
            <w:noWrap/>
            <w:vAlign w:val="bottom"/>
            <w:hideMark/>
          </w:tcPr>
          <w:p w:rsidR="00C50F85" w:rsidRDefault="00C50F85">
            <w:pPr>
              <w:rPr>
                <w:rFonts w:ascii="Verdana" w:hAnsi="Verdana"/>
                <w:b/>
                <w:bCs/>
                <w:color w:val="000000"/>
                <w:sz w:val="18"/>
                <w:szCs w:val="18"/>
              </w:rPr>
            </w:pPr>
          </w:p>
        </w:tc>
      </w:tr>
      <w:tr w:rsidR="00C50F85" w:rsidTr="00C50F85">
        <w:trPr>
          <w:trHeight w:val="315"/>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IIA STATEN-GENERAAL: UITGAVEN</w:t>
            </w:r>
          </w:p>
        </w:tc>
        <w:tc>
          <w:tcPr>
            <w:tcW w:w="1480" w:type="dxa"/>
            <w:tcBorders>
              <w:top w:val="nil"/>
              <w:left w:val="nil"/>
              <w:bottom w:val="nil"/>
              <w:right w:val="nil"/>
            </w:tcBorders>
            <w:shd w:val="clear" w:color="auto" w:fill="auto"/>
            <w:noWrap/>
            <w:vAlign w:val="bottom"/>
            <w:hideMark/>
          </w:tcPr>
          <w:p w:rsidR="00C50F85" w:rsidRDefault="00C50F85">
            <w:pPr>
              <w:rPr>
                <w:rFonts w:ascii="Verdana" w:hAnsi="Verdana"/>
                <w:color w:val="000000"/>
                <w:sz w:val="18"/>
                <w:szCs w:val="18"/>
              </w:rPr>
            </w:pPr>
          </w:p>
        </w:tc>
      </w:tr>
      <w:tr w:rsidR="00C50F85" w:rsidTr="00C50F85">
        <w:trPr>
          <w:trHeight w:val="240"/>
        </w:trPr>
        <w:tc>
          <w:tcPr>
            <w:tcW w:w="5340" w:type="dxa"/>
            <w:tcBorders>
              <w:top w:val="single" w:color="000000" w:sz="8" w:space="0"/>
              <w:left w:val="nil"/>
              <w:bottom w:val="single" w:color="000000" w:sz="8" w:space="0"/>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2018</w:t>
            </w:r>
          </w:p>
        </w:tc>
      </w:tr>
      <w:tr w:rsidR="00C50F85" w:rsidTr="00C50F85">
        <w:trPr>
          <w:trHeight w:val="225"/>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148,6</w:t>
            </w:r>
          </w:p>
        </w:tc>
      </w:tr>
      <w:tr w:rsidR="00C50F85" w:rsidTr="00C50F85">
        <w:trPr>
          <w:trHeight w:val="300"/>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00C50F85" w:rsidRDefault="00C50F85">
            <w:pPr>
              <w:rPr>
                <w:rFonts w:ascii="Verdana" w:hAnsi="Verdana"/>
                <w:color w:val="000000"/>
                <w:sz w:val="18"/>
                <w:szCs w:val="18"/>
              </w:rPr>
            </w:pPr>
          </w:p>
        </w:tc>
      </w:tr>
      <w:tr w:rsidR="00C50F85" w:rsidTr="00C50F85">
        <w:trPr>
          <w:trHeight w:val="300"/>
        </w:trPr>
        <w:tc>
          <w:tcPr>
            <w:tcW w:w="5340" w:type="dxa"/>
            <w:tcBorders>
              <w:top w:val="nil"/>
              <w:left w:val="nil"/>
              <w:bottom w:val="nil"/>
              <w:right w:val="nil"/>
            </w:tcBorders>
            <w:shd w:val="clear" w:color="auto" w:fill="auto"/>
            <w:hideMark/>
          </w:tcPr>
          <w:p w:rsidR="00C50F85" w:rsidRDefault="00C50F85">
            <w:pPr>
              <w:ind w:firstLine="180" w:firstLineChars="100"/>
              <w:rPr>
                <w:rFonts w:ascii="Verdana" w:hAnsi="Verdana"/>
                <w:color w:val="000000"/>
                <w:sz w:val="18"/>
                <w:szCs w:val="18"/>
              </w:rPr>
            </w:pPr>
            <w:r>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00C50F85" w:rsidRDefault="00C50F85">
            <w:pPr>
              <w:ind w:firstLine="180" w:firstLineChars="100"/>
              <w:rPr>
                <w:rFonts w:ascii="Verdana" w:hAnsi="Verdana"/>
                <w:color w:val="000000"/>
                <w:sz w:val="18"/>
                <w:szCs w:val="18"/>
              </w:rPr>
            </w:pPr>
          </w:p>
        </w:tc>
      </w:tr>
      <w:tr w:rsidR="00C50F85" w:rsidTr="00C50F85">
        <w:trPr>
          <w:trHeight w:val="240"/>
        </w:trPr>
        <w:tc>
          <w:tcPr>
            <w:tcW w:w="5340" w:type="dxa"/>
            <w:tcBorders>
              <w:top w:val="nil"/>
              <w:left w:val="nil"/>
              <w:bottom w:val="nil"/>
              <w:right w:val="nil"/>
            </w:tcBorders>
            <w:shd w:val="clear" w:color="auto" w:fill="auto"/>
            <w:hideMark/>
          </w:tcPr>
          <w:p w:rsidR="00C50F85" w:rsidRDefault="00C50F85">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2,0</w:t>
            </w:r>
          </w:p>
        </w:tc>
      </w:tr>
      <w:tr w:rsidR="00C50F85" w:rsidTr="00C50F85">
        <w:trPr>
          <w:trHeight w:val="225"/>
        </w:trPr>
        <w:tc>
          <w:tcPr>
            <w:tcW w:w="534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2,0</w:t>
            </w:r>
          </w:p>
        </w:tc>
      </w:tr>
      <w:tr w:rsidR="00C50F85" w:rsidTr="00C50F85">
        <w:trPr>
          <w:trHeight w:val="300"/>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00C50F85" w:rsidRDefault="00C50F85">
            <w:pPr>
              <w:rPr>
                <w:rFonts w:ascii="Verdana" w:hAnsi="Verdana"/>
                <w:color w:val="000000"/>
                <w:sz w:val="18"/>
                <w:szCs w:val="18"/>
              </w:rPr>
            </w:pPr>
          </w:p>
        </w:tc>
      </w:tr>
      <w:tr w:rsidR="00C50F85" w:rsidTr="00C50F85">
        <w:trPr>
          <w:trHeight w:val="300"/>
        </w:trPr>
        <w:tc>
          <w:tcPr>
            <w:tcW w:w="5340" w:type="dxa"/>
            <w:tcBorders>
              <w:top w:val="nil"/>
              <w:left w:val="nil"/>
              <w:bottom w:val="nil"/>
              <w:right w:val="nil"/>
            </w:tcBorders>
            <w:shd w:val="clear" w:color="auto" w:fill="auto"/>
            <w:hideMark/>
          </w:tcPr>
          <w:p w:rsidR="00C50F85" w:rsidRDefault="00C50F85">
            <w:pPr>
              <w:ind w:firstLine="180" w:firstLineChars="100"/>
              <w:rPr>
                <w:rFonts w:ascii="Verdana" w:hAnsi="Verdana"/>
                <w:color w:val="000000"/>
                <w:sz w:val="18"/>
                <w:szCs w:val="18"/>
              </w:rPr>
            </w:pPr>
            <w:r>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00C50F85" w:rsidRDefault="00C50F85">
            <w:pPr>
              <w:ind w:firstLine="180" w:firstLineChars="100"/>
              <w:rPr>
                <w:rFonts w:ascii="Verdana" w:hAnsi="Verdana"/>
                <w:color w:val="000000"/>
                <w:sz w:val="18"/>
                <w:szCs w:val="18"/>
              </w:rPr>
            </w:pPr>
          </w:p>
        </w:tc>
      </w:tr>
      <w:tr w:rsidR="00C50F85" w:rsidTr="00C50F85">
        <w:trPr>
          <w:trHeight w:val="240"/>
        </w:trPr>
        <w:tc>
          <w:tcPr>
            <w:tcW w:w="5340" w:type="dxa"/>
            <w:tcBorders>
              <w:top w:val="nil"/>
              <w:left w:val="nil"/>
              <w:bottom w:val="nil"/>
              <w:right w:val="nil"/>
            </w:tcBorders>
            <w:shd w:val="clear" w:color="auto" w:fill="auto"/>
            <w:hideMark/>
          </w:tcPr>
          <w:p w:rsidR="00C50F85" w:rsidRDefault="00C50F85">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1,1</w:t>
            </w:r>
          </w:p>
        </w:tc>
      </w:tr>
      <w:tr w:rsidR="00C50F85" w:rsidTr="00C50F85">
        <w:trPr>
          <w:trHeight w:val="225"/>
        </w:trPr>
        <w:tc>
          <w:tcPr>
            <w:tcW w:w="534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1,1</w:t>
            </w:r>
          </w:p>
        </w:tc>
      </w:tr>
      <w:tr w:rsidR="00C50F85" w:rsidTr="00C50F85">
        <w:trPr>
          <w:trHeight w:val="225"/>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3,1</w:t>
            </w:r>
          </w:p>
        </w:tc>
      </w:tr>
      <w:tr w:rsidR="00C50F85" w:rsidTr="00C50F85">
        <w:trPr>
          <w:trHeight w:val="315"/>
        </w:trPr>
        <w:tc>
          <w:tcPr>
            <w:tcW w:w="534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00C50F85" w:rsidRDefault="00C50F85">
            <w:pPr>
              <w:rPr>
                <w:sz w:val="20"/>
                <w:szCs w:val="20"/>
              </w:rPr>
            </w:pPr>
          </w:p>
        </w:tc>
      </w:tr>
      <w:tr w:rsidR="00C50F85" w:rsidTr="00C50F85">
        <w:trPr>
          <w:trHeight w:val="225"/>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151,7</w:t>
            </w:r>
          </w:p>
        </w:tc>
      </w:tr>
      <w:tr w:rsidR="00C50F85" w:rsidTr="00C50F85">
        <w:trPr>
          <w:trHeight w:val="240"/>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0,0</w:t>
            </w:r>
          </w:p>
        </w:tc>
      </w:tr>
      <w:tr w:rsidR="00C50F85" w:rsidTr="00C50F85">
        <w:trPr>
          <w:trHeight w:val="225"/>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151,7</w:t>
            </w:r>
          </w:p>
        </w:tc>
      </w:tr>
      <w:tr w:rsidR="00C50F85" w:rsidTr="00C50F85">
        <w:trPr>
          <w:trHeight w:val="225"/>
        </w:trPr>
        <w:tc>
          <w:tcPr>
            <w:tcW w:w="534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00C50F85" w:rsidRDefault="00C50F85">
            <w:pPr>
              <w:rPr>
                <w:sz w:val="20"/>
                <w:szCs w:val="20"/>
              </w:rPr>
            </w:pPr>
          </w:p>
        </w:tc>
      </w:tr>
      <w:tr w:rsidR="00C50F85" w:rsidTr="00C50F85">
        <w:trPr>
          <w:trHeight w:val="300"/>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IIA STATEN-GENERAAL: NIET-BELASTINGONTVANGSTEN</w:t>
            </w:r>
          </w:p>
        </w:tc>
        <w:tc>
          <w:tcPr>
            <w:tcW w:w="1480" w:type="dxa"/>
            <w:tcBorders>
              <w:top w:val="nil"/>
              <w:left w:val="nil"/>
              <w:bottom w:val="nil"/>
              <w:right w:val="nil"/>
            </w:tcBorders>
            <w:shd w:val="clear" w:color="auto" w:fill="auto"/>
            <w:noWrap/>
            <w:vAlign w:val="bottom"/>
            <w:hideMark/>
          </w:tcPr>
          <w:p w:rsidR="00C50F85" w:rsidRDefault="00C50F85">
            <w:pPr>
              <w:rPr>
                <w:rFonts w:ascii="Verdana" w:hAnsi="Verdana"/>
                <w:color w:val="000000"/>
                <w:sz w:val="18"/>
                <w:szCs w:val="18"/>
              </w:rPr>
            </w:pPr>
          </w:p>
        </w:tc>
      </w:tr>
      <w:tr w:rsidR="00C50F85" w:rsidTr="00C50F85">
        <w:trPr>
          <w:trHeight w:val="240"/>
        </w:trPr>
        <w:tc>
          <w:tcPr>
            <w:tcW w:w="5340" w:type="dxa"/>
            <w:tcBorders>
              <w:top w:val="single" w:color="000000" w:sz="8" w:space="0"/>
              <w:left w:val="nil"/>
              <w:bottom w:val="single" w:color="000000" w:sz="8" w:space="0"/>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2018</w:t>
            </w:r>
          </w:p>
        </w:tc>
      </w:tr>
      <w:tr w:rsidR="00C50F85" w:rsidTr="00C50F85">
        <w:trPr>
          <w:trHeight w:val="225"/>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4,2</w:t>
            </w:r>
          </w:p>
        </w:tc>
      </w:tr>
      <w:tr w:rsidR="00C50F85" w:rsidTr="00C50F85">
        <w:trPr>
          <w:trHeight w:val="225"/>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0,0</w:t>
            </w:r>
          </w:p>
        </w:tc>
      </w:tr>
      <w:tr w:rsidR="00C50F85" w:rsidTr="00C50F85">
        <w:trPr>
          <w:trHeight w:val="315"/>
        </w:trPr>
        <w:tc>
          <w:tcPr>
            <w:tcW w:w="534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00C50F85" w:rsidRDefault="00C50F85">
            <w:pPr>
              <w:rPr>
                <w:sz w:val="20"/>
                <w:szCs w:val="20"/>
              </w:rPr>
            </w:pPr>
          </w:p>
        </w:tc>
      </w:tr>
      <w:tr w:rsidR="00C50F85" w:rsidTr="00C50F85">
        <w:trPr>
          <w:trHeight w:val="225"/>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4,2</w:t>
            </w:r>
          </w:p>
        </w:tc>
      </w:tr>
      <w:tr w:rsidR="00C50F85" w:rsidTr="00C50F85">
        <w:trPr>
          <w:trHeight w:val="240"/>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0,0</w:t>
            </w:r>
          </w:p>
        </w:tc>
      </w:tr>
      <w:tr w:rsidR="00C50F85" w:rsidTr="00C50F85">
        <w:trPr>
          <w:trHeight w:val="225"/>
        </w:trPr>
        <w:tc>
          <w:tcPr>
            <w:tcW w:w="5340" w:type="dxa"/>
            <w:tcBorders>
              <w:top w:val="nil"/>
              <w:left w:val="nil"/>
              <w:bottom w:val="nil"/>
              <w:right w:val="nil"/>
            </w:tcBorders>
            <w:shd w:val="clear" w:color="auto" w:fill="auto"/>
            <w:hideMark/>
          </w:tcPr>
          <w:p w:rsidR="00C50F85" w:rsidRDefault="00C50F85">
            <w:pPr>
              <w:rPr>
                <w:rFonts w:ascii="Verdana" w:hAnsi="Verdana"/>
                <w:color w:val="000000"/>
                <w:sz w:val="18"/>
                <w:szCs w:val="18"/>
              </w:rPr>
            </w:pPr>
            <w:r>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00C50F85" w:rsidRDefault="00C50F85">
            <w:pPr>
              <w:jc w:val="right"/>
              <w:rPr>
                <w:rFonts w:ascii="Verdana" w:hAnsi="Verdana"/>
                <w:color w:val="000000"/>
                <w:sz w:val="18"/>
                <w:szCs w:val="18"/>
              </w:rPr>
            </w:pPr>
            <w:r>
              <w:rPr>
                <w:rFonts w:ascii="Verdana" w:hAnsi="Verdana"/>
                <w:color w:val="000000"/>
                <w:sz w:val="18"/>
                <w:szCs w:val="18"/>
              </w:rPr>
              <w:t>4,2</w:t>
            </w:r>
          </w:p>
        </w:tc>
      </w:tr>
    </w:tbl>
    <w:p w:rsidR="00AD374F" w:rsidP="00C41D99" w:rsidRDefault="00AD374F">
      <w:pPr>
        <w:spacing w:line="240" w:lineRule="exact"/>
        <w:rPr>
          <w:rFonts w:ascii="Verdana" w:hAnsi="Verdana" w:cs="Verdana"/>
          <w:b/>
          <w:bCs/>
          <w:sz w:val="18"/>
          <w:szCs w:val="18"/>
        </w:rPr>
      </w:pPr>
    </w:p>
    <w:p w:rsidR="007263C3" w:rsidP="00C41D99" w:rsidRDefault="007263C3">
      <w:pPr>
        <w:spacing w:line="240" w:lineRule="exact"/>
        <w:rPr>
          <w:rFonts w:ascii="Verdana" w:hAnsi="Verdana" w:cs="Verdana"/>
          <w:b/>
          <w:bCs/>
          <w:sz w:val="18"/>
          <w:szCs w:val="18"/>
        </w:rPr>
      </w:pPr>
    </w:p>
    <w:p w:rsidRPr="00C50F85" w:rsidR="00C50F85" w:rsidP="00C41D99" w:rsidRDefault="00C50F85">
      <w:pPr>
        <w:spacing w:line="240" w:lineRule="exact"/>
        <w:rPr>
          <w:rFonts w:ascii="Verdana" w:hAnsi="Verdana" w:cs="Verdana"/>
          <w:bCs/>
          <w:i/>
          <w:sz w:val="18"/>
          <w:szCs w:val="18"/>
        </w:rPr>
      </w:pPr>
      <w:r w:rsidRPr="00C50F85">
        <w:rPr>
          <w:rFonts w:ascii="Verdana" w:hAnsi="Verdana" w:cs="Verdana"/>
          <w:bCs/>
          <w:i/>
          <w:sz w:val="18"/>
          <w:szCs w:val="18"/>
        </w:rPr>
        <w:t>Div</w:t>
      </w:r>
      <w:r>
        <w:rPr>
          <w:rFonts w:ascii="Verdana" w:hAnsi="Verdana" w:cs="Verdana"/>
          <w:bCs/>
          <w:i/>
          <w:sz w:val="18"/>
          <w:szCs w:val="18"/>
        </w:rPr>
        <w:t>ersen – beleidsmatige mutaties</w:t>
      </w:r>
    </w:p>
    <w:p w:rsidRPr="00C50F85" w:rsidR="00C50F85" w:rsidP="00C41D99" w:rsidRDefault="00C50F85">
      <w:pPr>
        <w:spacing w:line="240" w:lineRule="exact"/>
        <w:rPr>
          <w:rFonts w:ascii="Verdana" w:hAnsi="Verdana" w:cs="Verdana"/>
          <w:bCs/>
          <w:sz w:val="18"/>
          <w:szCs w:val="18"/>
        </w:rPr>
      </w:pPr>
      <w:r>
        <w:rPr>
          <w:rFonts w:ascii="Verdana" w:hAnsi="Verdana" w:cs="Verdana"/>
          <w:bCs/>
          <w:sz w:val="18"/>
          <w:szCs w:val="18"/>
        </w:rPr>
        <w:t xml:space="preserve">Deze post </w:t>
      </w:r>
      <w:r w:rsidR="007263C3">
        <w:rPr>
          <w:rFonts w:ascii="Verdana" w:hAnsi="Verdana" w:cs="Verdana"/>
          <w:bCs/>
          <w:sz w:val="18"/>
          <w:szCs w:val="18"/>
        </w:rPr>
        <w:t xml:space="preserve">betreft een overheveling van 2 mln. naar de begroting van de Staten-Generaal voor de </w:t>
      </w:r>
      <w:r w:rsidRPr="00C50F85">
        <w:rPr>
          <w:rFonts w:ascii="Verdana" w:hAnsi="Verdana" w:cs="Verdana"/>
          <w:bCs/>
          <w:sz w:val="18"/>
          <w:szCs w:val="18"/>
        </w:rPr>
        <w:t xml:space="preserve">informatiebeveiliging van de Tweede Kamer. </w:t>
      </w:r>
      <w:r w:rsidR="007263C3">
        <w:rPr>
          <w:rFonts w:ascii="Verdana" w:hAnsi="Verdana" w:cs="Verdana"/>
          <w:bCs/>
          <w:sz w:val="18"/>
          <w:szCs w:val="18"/>
        </w:rPr>
        <w:t xml:space="preserve">Dit bedrag is bestemd </w:t>
      </w:r>
      <w:r w:rsidRPr="00C50F85">
        <w:rPr>
          <w:rFonts w:ascii="Verdana" w:hAnsi="Verdana" w:cs="Verdana"/>
          <w:bCs/>
          <w:sz w:val="18"/>
          <w:szCs w:val="18"/>
        </w:rPr>
        <w:t>voor het uitvoer</w:t>
      </w:r>
      <w:r w:rsidR="007263C3">
        <w:rPr>
          <w:rFonts w:ascii="Verdana" w:hAnsi="Verdana" w:cs="Verdana"/>
          <w:bCs/>
          <w:sz w:val="18"/>
          <w:szCs w:val="18"/>
        </w:rPr>
        <w:t>en</w:t>
      </w:r>
      <w:r w:rsidRPr="00C50F85">
        <w:rPr>
          <w:rFonts w:ascii="Verdana" w:hAnsi="Verdana" w:cs="Verdana"/>
          <w:bCs/>
          <w:sz w:val="18"/>
          <w:szCs w:val="18"/>
        </w:rPr>
        <w:t xml:space="preserve"> van de maatregelen uit de baseline informatiebeveiliging, het verder beveiligen van de emailomgeving van de Tweede Kamer en het verder aanscherpen van de beveiliging van de financiële informatiesystem</w:t>
      </w:r>
      <w:r w:rsidR="007263C3">
        <w:rPr>
          <w:rFonts w:ascii="Verdana" w:hAnsi="Verdana" w:cs="Verdana"/>
          <w:bCs/>
          <w:sz w:val="18"/>
          <w:szCs w:val="18"/>
        </w:rPr>
        <w:t>en.</w:t>
      </w:r>
    </w:p>
    <w:p w:rsidR="00E9114E" w:rsidRDefault="00E9114E">
      <w:pPr>
        <w:rPr>
          <w:rFonts w:ascii="Verdana" w:hAnsi="Verdana" w:cs="Verdana"/>
          <w:b/>
          <w:bCs/>
          <w:sz w:val="18"/>
          <w:szCs w:val="18"/>
        </w:rPr>
      </w:pPr>
    </w:p>
    <w:p w:rsidRPr="00E9114E" w:rsidR="00E9114E" w:rsidP="00E9114E" w:rsidRDefault="00E9114E">
      <w:pPr>
        <w:rPr>
          <w:rFonts w:ascii="Verdana" w:hAnsi="Verdana" w:cs="Verdana"/>
          <w:bCs/>
          <w:i/>
          <w:sz w:val="18"/>
          <w:szCs w:val="18"/>
        </w:rPr>
      </w:pPr>
      <w:r>
        <w:rPr>
          <w:rFonts w:ascii="Verdana" w:hAnsi="Verdana" w:cs="Verdana"/>
          <w:bCs/>
          <w:i/>
          <w:sz w:val="18"/>
          <w:szCs w:val="18"/>
        </w:rPr>
        <w:t xml:space="preserve">Diversen - </w:t>
      </w:r>
      <w:r w:rsidRPr="00E9114E">
        <w:rPr>
          <w:rFonts w:ascii="Verdana" w:hAnsi="Verdana" w:cs="Verdana"/>
          <w:bCs/>
          <w:i/>
          <w:sz w:val="18"/>
          <w:szCs w:val="18"/>
        </w:rPr>
        <w:t>technische mutaties</w:t>
      </w:r>
    </w:p>
    <w:p w:rsidR="0091776E" w:rsidP="00E9114E" w:rsidRDefault="0091776E">
      <w:pPr>
        <w:rPr>
          <w:rFonts w:ascii="Verdana" w:hAnsi="Verdana" w:cs="Verdana"/>
          <w:bCs/>
          <w:sz w:val="18"/>
          <w:szCs w:val="18"/>
        </w:rPr>
      </w:pPr>
      <w:r w:rsidRPr="0091776E">
        <w:rPr>
          <w:rFonts w:ascii="Verdana" w:hAnsi="Verdana" w:cs="Verdana"/>
          <w:bCs/>
          <w:sz w:val="18"/>
          <w:szCs w:val="18"/>
        </w:rPr>
        <w:t>Deze post bestaat uit een overboeking van begroting</w:t>
      </w:r>
      <w:r w:rsidR="00D32582">
        <w:rPr>
          <w:rFonts w:ascii="Verdana" w:hAnsi="Verdana" w:cs="Verdana"/>
          <w:bCs/>
          <w:sz w:val="18"/>
          <w:szCs w:val="18"/>
        </w:rPr>
        <w:t>shoofdstuk</w:t>
      </w:r>
      <w:r w:rsidRPr="0091776E">
        <w:rPr>
          <w:rFonts w:ascii="Verdana" w:hAnsi="Verdana" w:cs="Verdana"/>
          <w:bCs/>
          <w:sz w:val="18"/>
          <w:szCs w:val="18"/>
        </w:rPr>
        <w:t xml:space="preserve"> 7 Binnenlandse Zaken en Koninkrijksrelaties voor de niet-huisvestigingskosten van de Eerste Kamer en de Tweede Kamer die samenhangen met de renovatie van het Binnenhof. Binnen de budgetverkrijging voor het binnenhofproject is hiermee rekening gehouden (Kamerstuk 2015-2016, 34 293, nr. </w:t>
      </w:r>
      <w:r>
        <w:rPr>
          <w:rFonts w:ascii="Verdana" w:hAnsi="Verdana" w:cs="Verdana"/>
          <w:bCs/>
          <w:sz w:val="18"/>
          <w:szCs w:val="18"/>
        </w:rPr>
        <w:t>3, factsheet 4 - kostenopbouw).</w:t>
      </w:r>
    </w:p>
    <w:p w:rsidR="0091776E" w:rsidRDefault="0091776E">
      <w:pPr>
        <w:rPr>
          <w:rFonts w:ascii="Verdana" w:hAnsi="Verdana" w:cs="Verdana"/>
          <w:bCs/>
          <w:sz w:val="18"/>
          <w:szCs w:val="18"/>
        </w:rPr>
      </w:pPr>
      <w:r>
        <w:rPr>
          <w:rFonts w:ascii="Verdana" w:hAnsi="Verdana" w:cs="Verdana"/>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00084CBC" w:rsidTr="00DC1DCB">
        <w:trPr>
          <w:trHeight w:val="450"/>
        </w:trPr>
        <w:tc>
          <w:tcPr>
            <w:tcW w:w="6820" w:type="dxa"/>
            <w:gridSpan w:val="2"/>
            <w:tcBorders>
              <w:top w:val="nil"/>
              <w:left w:val="nil"/>
              <w:bottom w:val="nil"/>
              <w:right w:val="nil"/>
            </w:tcBorders>
            <w:shd w:val="clear" w:color="auto" w:fill="auto"/>
            <w:hideMark/>
          </w:tcPr>
          <w:p w:rsidR="00084CBC" w:rsidRDefault="00084CBC">
            <w:pPr>
              <w:rPr>
                <w:rFonts w:ascii="Verdana" w:hAnsi="Verdana"/>
                <w:b/>
                <w:bCs/>
                <w:color w:val="000000"/>
                <w:sz w:val="18"/>
                <w:szCs w:val="18"/>
              </w:rPr>
            </w:pPr>
            <w:r>
              <w:rPr>
                <w:rFonts w:ascii="Verdana" w:hAnsi="Verdana"/>
                <w:b/>
                <w:bCs/>
                <w:color w:val="000000"/>
                <w:sz w:val="18"/>
                <w:szCs w:val="18"/>
              </w:rPr>
              <w:lastRenderedPageBreak/>
              <w:t>Overige Hoge Colleges van Staat, Kabinetten en de Kiesraad</w:t>
            </w:r>
          </w:p>
        </w:tc>
      </w:tr>
      <w:tr w:rsidR="00E9114E" w:rsidTr="00E9114E">
        <w:trPr>
          <w:trHeight w:val="465"/>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IIB OVERIGE HOGE COLLEGES VAN STAAT, KABINETTEN EN DE KIESRAAD: UITGAVEN</w:t>
            </w:r>
          </w:p>
        </w:tc>
        <w:tc>
          <w:tcPr>
            <w:tcW w:w="1480" w:type="dxa"/>
            <w:tcBorders>
              <w:top w:val="nil"/>
              <w:left w:val="nil"/>
              <w:bottom w:val="nil"/>
              <w:right w:val="nil"/>
            </w:tcBorders>
            <w:shd w:val="clear" w:color="auto" w:fill="auto"/>
            <w:noWrap/>
            <w:vAlign w:val="bottom"/>
            <w:hideMark/>
          </w:tcPr>
          <w:p w:rsidR="00E9114E" w:rsidRDefault="00E9114E">
            <w:pPr>
              <w:rPr>
                <w:rFonts w:ascii="Verdana" w:hAnsi="Verdana"/>
                <w:color w:val="000000"/>
                <w:sz w:val="18"/>
                <w:szCs w:val="18"/>
              </w:rPr>
            </w:pPr>
          </w:p>
        </w:tc>
      </w:tr>
      <w:tr w:rsidR="00E9114E" w:rsidTr="00E9114E">
        <w:trPr>
          <w:trHeight w:val="240"/>
        </w:trPr>
        <w:tc>
          <w:tcPr>
            <w:tcW w:w="5340" w:type="dxa"/>
            <w:tcBorders>
              <w:top w:val="single" w:color="000000" w:sz="8" w:space="0"/>
              <w:left w:val="nil"/>
              <w:bottom w:val="single" w:color="000000" w:sz="8" w:space="0"/>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2018</w:t>
            </w:r>
          </w:p>
        </w:tc>
      </w:tr>
      <w:tr w:rsidR="00E9114E" w:rsidTr="00E9114E">
        <w:trPr>
          <w:trHeight w:val="225"/>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127,9</w:t>
            </w:r>
          </w:p>
        </w:tc>
      </w:tr>
      <w:tr w:rsidR="00E9114E" w:rsidTr="00E9114E">
        <w:trPr>
          <w:trHeight w:val="300"/>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00E9114E" w:rsidRDefault="00E9114E">
            <w:pPr>
              <w:rPr>
                <w:rFonts w:ascii="Verdana" w:hAnsi="Verdana"/>
                <w:color w:val="000000"/>
                <w:sz w:val="18"/>
                <w:szCs w:val="18"/>
              </w:rPr>
            </w:pPr>
          </w:p>
        </w:tc>
      </w:tr>
      <w:tr w:rsidR="00E9114E" w:rsidTr="00E9114E">
        <w:trPr>
          <w:trHeight w:val="300"/>
        </w:trPr>
        <w:tc>
          <w:tcPr>
            <w:tcW w:w="5340" w:type="dxa"/>
            <w:tcBorders>
              <w:top w:val="nil"/>
              <w:left w:val="nil"/>
              <w:bottom w:val="nil"/>
              <w:right w:val="nil"/>
            </w:tcBorders>
            <w:shd w:val="clear" w:color="auto" w:fill="auto"/>
            <w:hideMark/>
          </w:tcPr>
          <w:p w:rsidR="00E9114E" w:rsidRDefault="00E9114E">
            <w:pPr>
              <w:ind w:firstLine="180" w:firstLineChars="100"/>
              <w:rPr>
                <w:rFonts w:ascii="Verdana" w:hAnsi="Verdana"/>
                <w:color w:val="000000"/>
                <w:sz w:val="18"/>
                <w:szCs w:val="18"/>
              </w:rPr>
            </w:pPr>
            <w:r>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00E9114E" w:rsidRDefault="00E9114E">
            <w:pPr>
              <w:ind w:firstLine="180" w:firstLineChars="100"/>
              <w:rPr>
                <w:rFonts w:ascii="Verdana" w:hAnsi="Verdana"/>
                <w:color w:val="000000"/>
                <w:sz w:val="18"/>
                <w:szCs w:val="18"/>
              </w:rPr>
            </w:pPr>
          </w:p>
        </w:tc>
      </w:tr>
      <w:tr w:rsidR="00E9114E" w:rsidTr="00E9114E">
        <w:trPr>
          <w:trHeight w:val="240"/>
        </w:trPr>
        <w:tc>
          <w:tcPr>
            <w:tcW w:w="5340" w:type="dxa"/>
            <w:tcBorders>
              <w:top w:val="nil"/>
              <w:left w:val="nil"/>
              <w:bottom w:val="nil"/>
              <w:right w:val="nil"/>
            </w:tcBorders>
            <w:shd w:val="clear" w:color="auto" w:fill="auto"/>
            <w:hideMark/>
          </w:tcPr>
          <w:p w:rsidR="00E9114E" w:rsidRDefault="00E9114E">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-0,8</w:t>
            </w:r>
          </w:p>
        </w:tc>
      </w:tr>
      <w:tr w:rsidR="00E9114E" w:rsidTr="00E9114E">
        <w:trPr>
          <w:trHeight w:val="225"/>
        </w:trPr>
        <w:tc>
          <w:tcPr>
            <w:tcW w:w="5340" w:type="dxa"/>
            <w:tcBorders>
              <w:top w:val="nil"/>
              <w:left w:val="nil"/>
              <w:bottom w:val="nil"/>
              <w:right w:val="nil"/>
            </w:tcBorders>
            <w:shd w:val="clear" w:color="auto" w:fill="auto"/>
            <w:hideMark/>
          </w:tcPr>
          <w:p w:rsidR="00E9114E" w:rsidRDefault="00E9114E">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-0,8</w:t>
            </w:r>
          </w:p>
        </w:tc>
      </w:tr>
      <w:tr w:rsidR="00E9114E" w:rsidTr="00E9114E">
        <w:trPr>
          <w:trHeight w:val="225"/>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-0,8</w:t>
            </w:r>
          </w:p>
        </w:tc>
      </w:tr>
      <w:tr w:rsidR="00E9114E" w:rsidTr="00E9114E">
        <w:trPr>
          <w:trHeight w:val="315"/>
        </w:trPr>
        <w:tc>
          <w:tcPr>
            <w:tcW w:w="5340" w:type="dxa"/>
            <w:tcBorders>
              <w:top w:val="nil"/>
              <w:left w:val="nil"/>
              <w:bottom w:val="nil"/>
              <w:right w:val="nil"/>
            </w:tcBorders>
            <w:shd w:val="clear" w:color="auto" w:fill="auto"/>
            <w:hideMark/>
          </w:tcPr>
          <w:p w:rsidR="00E9114E" w:rsidRDefault="00E9114E">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00E9114E" w:rsidRDefault="00E9114E">
            <w:pPr>
              <w:rPr>
                <w:sz w:val="20"/>
                <w:szCs w:val="20"/>
              </w:rPr>
            </w:pPr>
          </w:p>
        </w:tc>
      </w:tr>
      <w:tr w:rsidR="00E9114E" w:rsidTr="00E9114E">
        <w:trPr>
          <w:trHeight w:val="225"/>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127,2</w:t>
            </w:r>
          </w:p>
        </w:tc>
      </w:tr>
      <w:tr w:rsidR="00E9114E" w:rsidTr="00E9114E">
        <w:trPr>
          <w:trHeight w:val="240"/>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0,0</w:t>
            </w:r>
          </w:p>
        </w:tc>
      </w:tr>
      <w:tr w:rsidR="00E9114E" w:rsidTr="00E9114E">
        <w:trPr>
          <w:trHeight w:val="225"/>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127,2</w:t>
            </w:r>
          </w:p>
        </w:tc>
      </w:tr>
      <w:tr w:rsidR="00E9114E" w:rsidTr="00E9114E">
        <w:trPr>
          <w:trHeight w:val="225"/>
        </w:trPr>
        <w:tc>
          <w:tcPr>
            <w:tcW w:w="5340" w:type="dxa"/>
            <w:tcBorders>
              <w:top w:val="nil"/>
              <w:left w:val="nil"/>
              <w:bottom w:val="nil"/>
              <w:right w:val="nil"/>
            </w:tcBorders>
            <w:shd w:val="clear" w:color="auto" w:fill="auto"/>
            <w:hideMark/>
          </w:tcPr>
          <w:p w:rsidR="00E9114E" w:rsidRDefault="00E9114E">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00E9114E" w:rsidRDefault="00E9114E">
            <w:pPr>
              <w:rPr>
                <w:sz w:val="20"/>
                <w:szCs w:val="20"/>
              </w:rPr>
            </w:pPr>
          </w:p>
        </w:tc>
      </w:tr>
      <w:tr w:rsidR="00E9114E" w:rsidTr="00E9114E">
        <w:trPr>
          <w:trHeight w:val="555"/>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IIB OVERIGE HOGE COLLEGES VAN STAAT, KABINETTEN EN DE KIESRAAD: NIET-BELASTINGONTVANGSTEN</w:t>
            </w:r>
          </w:p>
        </w:tc>
        <w:tc>
          <w:tcPr>
            <w:tcW w:w="1480" w:type="dxa"/>
            <w:tcBorders>
              <w:top w:val="nil"/>
              <w:left w:val="nil"/>
              <w:bottom w:val="nil"/>
              <w:right w:val="nil"/>
            </w:tcBorders>
            <w:shd w:val="clear" w:color="auto" w:fill="auto"/>
            <w:noWrap/>
            <w:vAlign w:val="bottom"/>
            <w:hideMark/>
          </w:tcPr>
          <w:p w:rsidR="00E9114E" w:rsidRDefault="00E9114E">
            <w:pPr>
              <w:rPr>
                <w:rFonts w:ascii="Verdana" w:hAnsi="Verdana"/>
                <w:color w:val="000000"/>
                <w:sz w:val="18"/>
                <w:szCs w:val="18"/>
              </w:rPr>
            </w:pPr>
          </w:p>
        </w:tc>
      </w:tr>
      <w:tr w:rsidR="00E9114E" w:rsidTr="00E9114E">
        <w:trPr>
          <w:trHeight w:val="240"/>
        </w:trPr>
        <w:tc>
          <w:tcPr>
            <w:tcW w:w="5340" w:type="dxa"/>
            <w:tcBorders>
              <w:top w:val="single" w:color="000000" w:sz="8" w:space="0"/>
              <w:left w:val="nil"/>
              <w:bottom w:val="single" w:color="000000" w:sz="8" w:space="0"/>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2018</w:t>
            </w:r>
          </w:p>
        </w:tc>
      </w:tr>
      <w:tr w:rsidR="00E9114E" w:rsidTr="00E9114E">
        <w:trPr>
          <w:trHeight w:val="225"/>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5,9</w:t>
            </w:r>
          </w:p>
        </w:tc>
      </w:tr>
      <w:tr w:rsidR="00E9114E" w:rsidTr="00E9114E">
        <w:trPr>
          <w:trHeight w:val="225"/>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0,0</w:t>
            </w:r>
          </w:p>
        </w:tc>
      </w:tr>
      <w:tr w:rsidR="00E9114E" w:rsidTr="00E9114E">
        <w:trPr>
          <w:trHeight w:val="315"/>
        </w:trPr>
        <w:tc>
          <w:tcPr>
            <w:tcW w:w="5340" w:type="dxa"/>
            <w:tcBorders>
              <w:top w:val="nil"/>
              <w:left w:val="nil"/>
              <w:bottom w:val="nil"/>
              <w:right w:val="nil"/>
            </w:tcBorders>
            <w:shd w:val="clear" w:color="auto" w:fill="auto"/>
            <w:hideMark/>
          </w:tcPr>
          <w:p w:rsidR="00E9114E" w:rsidRDefault="00E9114E">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00E9114E" w:rsidRDefault="00E9114E">
            <w:pPr>
              <w:rPr>
                <w:sz w:val="20"/>
                <w:szCs w:val="20"/>
              </w:rPr>
            </w:pPr>
          </w:p>
        </w:tc>
      </w:tr>
      <w:tr w:rsidR="00E9114E" w:rsidTr="00E9114E">
        <w:trPr>
          <w:trHeight w:val="225"/>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5,9</w:t>
            </w:r>
          </w:p>
        </w:tc>
      </w:tr>
      <w:tr w:rsidR="00E9114E" w:rsidTr="00E9114E">
        <w:trPr>
          <w:trHeight w:val="240"/>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0,0</w:t>
            </w:r>
          </w:p>
        </w:tc>
      </w:tr>
      <w:tr w:rsidR="00E9114E" w:rsidTr="00E9114E">
        <w:trPr>
          <w:trHeight w:val="225"/>
        </w:trPr>
        <w:tc>
          <w:tcPr>
            <w:tcW w:w="5340" w:type="dxa"/>
            <w:tcBorders>
              <w:top w:val="nil"/>
              <w:left w:val="nil"/>
              <w:bottom w:val="nil"/>
              <w:right w:val="nil"/>
            </w:tcBorders>
            <w:shd w:val="clear" w:color="auto" w:fill="auto"/>
            <w:hideMark/>
          </w:tcPr>
          <w:p w:rsidR="00E9114E" w:rsidRDefault="00E9114E">
            <w:pPr>
              <w:rPr>
                <w:rFonts w:ascii="Verdana" w:hAnsi="Verdana"/>
                <w:color w:val="000000"/>
                <w:sz w:val="18"/>
                <w:szCs w:val="18"/>
              </w:rPr>
            </w:pPr>
            <w:r>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00E9114E" w:rsidRDefault="00E9114E">
            <w:pPr>
              <w:jc w:val="right"/>
              <w:rPr>
                <w:rFonts w:ascii="Verdana" w:hAnsi="Verdana"/>
                <w:color w:val="000000"/>
                <w:sz w:val="18"/>
                <w:szCs w:val="18"/>
              </w:rPr>
            </w:pPr>
            <w:r>
              <w:rPr>
                <w:rFonts w:ascii="Verdana" w:hAnsi="Verdana"/>
                <w:color w:val="000000"/>
                <w:sz w:val="18"/>
                <w:szCs w:val="18"/>
              </w:rPr>
              <w:t>5,9</w:t>
            </w:r>
          </w:p>
        </w:tc>
      </w:tr>
    </w:tbl>
    <w:p w:rsidR="00752578" w:rsidRDefault="00752578">
      <w:pPr>
        <w:rPr>
          <w:rFonts w:ascii="Verdana" w:hAnsi="Verdana" w:cs="Verdana"/>
          <w:bCs/>
          <w:sz w:val="18"/>
          <w:szCs w:val="18"/>
        </w:rPr>
      </w:pPr>
    </w:p>
    <w:p w:rsidRPr="00E9114E" w:rsidR="00E9114E" w:rsidRDefault="00E9114E">
      <w:pPr>
        <w:rPr>
          <w:rFonts w:ascii="Verdana" w:hAnsi="Verdana" w:cs="Verdana"/>
          <w:bCs/>
          <w:sz w:val="18"/>
          <w:szCs w:val="18"/>
        </w:rPr>
      </w:pPr>
    </w:p>
    <w:p w:rsidRPr="008A79DC" w:rsidR="00752578" w:rsidRDefault="00752578">
      <w:pPr>
        <w:rPr>
          <w:rFonts w:ascii="Verdana" w:hAnsi="Verdana" w:cs="Verdana"/>
          <w:b/>
          <w:bCs/>
          <w:sz w:val="18"/>
          <w:szCs w:val="18"/>
        </w:rPr>
      </w:pPr>
    </w:p>
    <w:p w:rsidRPr="008A79DC" w:rsidR="00752578" w:rsidRDefault="00752578">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Algemene Zaken</w:t>
            </w:r>
          </w:p>
          <w:p w:rsidRPr="008A79DC" w:rsidR="00752578" w:rsidRDefault="00752578">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III ALGEMENE ZAKEN: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68,0</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66,4</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66,4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III ALGEMENE ZAKEN: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7,0</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-0,5</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6,5</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6,5</w:t>
            </w:r>
          </w:p>
        </w:tc>
      </w:tr>
    </w:tbl>
    <w:p w:rsidRPr="008A79DC" w:rsidR="00412663" w:rsidP="00C41D99" w:rsidRDefault="00412663">
      <w:pPr>
        <w:spacing w:line="240" w:lineRule="exact"/>
        <w:rPr>
          <w:rFonts w:ascii="Verdana" w:hAnsi="Verdana" w:cs="Verdana"/>
          <w:b/>
          <w:bCs/>
          <w:sz w:val="18"/>
          <w:szCs w:val="18"/>
        </w:rPr>
      </w:pPr>
    </w:p>
    <w:p w:rsidRPr="008A79DC" w:rsidR="00752578" w:rsidP="00C41D99" w:rsidRDefault="00752578">
      <w:pPr>
        <w:spacing w:line="240" w:lineRule="exact"/>
        <w:rPr>
          <w:rFonts w:ascii="Verdana" w:hAnsi="Verdana" w:cs="Verdana"/>
          <w:b/>
          <w:bCs/>
          <w:sz w:val="18"/>
          <w:szCs w:val="18"/>
        </w:rPr>
      </w:pPr>
    </w:p>
    <w:p w:rsidRPr="008A79DC" w:rsidR="00752578" w:rsidP="00752578" w:rsidRDefault="00752578">
      <w:pPr>
        <w:rPr>
          <w:rFonts w:ascii="Verdana" w:hAnsi="Verdana"/>
          <w:i/>
          <w:sz w:val="18"/>
          <w:szCs w:val="18"/>
        </w:rPr>
      </w:pPr>
      <w:r w:rsidRPr="008A79DC">
        <w:rPr>
          <w:rFonts w:ascii="Verdana" w:hAnsi="Verdana"/>
          <w:i/>
          <w:sz w:val="18"/>
          <w:szCs w:val="18"/>
        </w:rPr>
        <w:t>Diversen, uitgaven</w:t>
      </w:r>
    </w:p>
    <w:p w:rsidRPr="008A79DC" w:rsidR="00752578" w:rsidP="00752578" w:rsidRDefault="00752578">
      <w:pPr>
        <w:rPr>
          <w:rFonts w:ascii="Verdana" w:hAnsi="Verdana"/>
          <w:sz w:val="18"/>
          <w:szCs w:val="18"/>
        </w:rPr>
      </w:pPr>
      <w:r w:rsidRPr="008A79DC">
        <w:rPr>
          <w:rFonts w:ascii="Verdana" w:hAnsi="Verdana"/>
          <w:sz w:val="18"/>
          <w:szCs w:val="18"/>
        </w:rPr>
        <w:t xml:space="preserve">Dit betreft een som van meerdere mutaties. Zo wordt de begroting neerwaarts bijgesteld met 1,2 mln. als gevolg van onder andere vacatureruimte en vertraging in ICT-projecten. Ook zijn er 0,3 mln. lagere uitgaven </w:t>
      </w:r>
      <w:r w:rsidR="00C66732">
        <w:rPr>
          <w:rFonts w:ascii="Verdana" w:hAnsi="Verdana"/>
          <w:sz w:val="18"/>
          <w:szCs w:val="18"/>
        </w:rPr>
        <w:t>van</w:t>
      </w:r>
      <w:r w:rsidRPr="008A79DC">
        <w:rPr>
          <w:rFonts w:ascii="Verdana" w:hAnsi="Verdana"/>
          <w:sz w:val="18"/>
          <w:szCs w:val="18"/>
        </w:rPr>
        <w:t xml:space="preserve"> de Commissie voor Toezicht op de Inlichtingen- en Veiligheidsdiensten in verband met latere inwerkingtreding van de Wet op de Inlichtingen- en Veiligheidsdiensten dan voorzien bij het opstellen van de begroting. </w:t>
      </w:r>
    </w:p>
    <w:p w:rsidRPr="008A79DC" w:rsidR="00752578" w:rsidP="00752578" w:rsidRDefault="00752578">
      <w:pPr>
        <w:rPr>
          <w:rFonts w:ascii="Verdana" w:hAnsi="Verdana"/>
          <w:i/>
          <w:sz w:val="18"/>
          <w:szCs w:val="18"/>
        </w:rPr>
      </w:pPr>
    </w:p>
    <w:p w:rsidRPr="008A79DC" w:rsidR="00752578" w:rsidP="00752578" w:rsidRDefault="00752578">
      <w:pPr>
        <w:rPr>
          <w:rFonts w:ascii="Verdana" w:hAnsi="Verdana"/>
          <w:i/>
          <w:sz w:val="18"/>
          <w:szCs w:val="18"/>
        </w:rPr>
      </w:pPr>
      <w:r w:rsidRPr="008A79DC">
        <w:rPr>
          <w:rFonts w:ascii="Verdana" w:hAnsi="Verdana"/>
          <w:i/>
          <w:sz w:val="18"/>
          <w:szCs w:val="18"/>
        </w:rPr>
        <w:t>Diversen, niet-belastingontvangsten</w:t>
      </w:r>
    </w:p>
    <w:p w:rsidRPr="008A79DC" w:rsidR="00752578" w:rsidP="00752578" w:rsidRDefault="00752578">
      <w:pPr>
        <w:rPr>
          <w:rFonts w:ascii="Verdana" w:hAnsi="Verdana"/>
          <w:sz w:val="18"/>
          <w:szCs w:val="18"/>
        </w:rPr>
      </w:pPr>
      <w:r w:rsidRPr="008A79DC">
        <w:rPr>
          <w:rFonts w:ascii="Verdana" w:hAnsi="Verdana"/>
          <w:sz w:val="18"/>
          <w:szCs w:val="18"/>
        </w:rPr>
        <w:t xml:space="preserve">Dit betreft een neerwaartse bijstelling van de ontvangsten van 0,5 mln. </w:t>
      </w:r>
    </w:p>
    <w:p w:rsidRPr="008A79DC" w:rsidR="00752578" w:rsidP="00C41D99" w:rsidRDefault="00752578">
      <w:pPr>
        <w:spacing w:line="240" w:lineRule="exact"/>
        <w:rPr>
          <w:rFonts w:ascii="Verdana" w:hAnsi="Verdana" w:cs="Verdana"/>
          <w:b/>
          <w:bCs/>
          <w:sz w:val="18"/>
          <w:szCs w:val="18"/>
        </w:rPr>
      </w:pP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Koninkrijksrelaties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IV KONINKRIJKSRELATIES: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488,7</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Directe steun activiteiten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Isb 2e tranche wereldbank</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150,0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Pensioenfonds caribisch nederland</w:t>
            </w:r>
          </w:p>
        </w:tc>
        <w:tc>
          <w:tcPr>
            <w:tcW w:w="1480" w:type="dxa"/>
            <w:tcBorders>
              <w:top w:val="nil"/>
              <w:left w:val="nil"/>
              <w:bottom w:val="nil"/>
              <w:right w:val="nil"/>
            </w:tcBorders>
            <w:shd w:val="clear" w:color="auto" w:fill="auto"/>
            <w:hideMark/>
          </w:tcPr>
          <w:p w:rsidRPr="00617FC9" w:rsidR="00412663" w:rsidRDefault="00412663">
            <w:pPr>
              <w:jc w:val="right"/>
              <w:rPr>
                <w:rFonts w:ascii="Verdana" w:hAnsi="Verdana"/>
                <w:color w:val="000000"/>
                <w:sz w:val="18"/>
                <w:szCs w:val="18"/>
              </w:rPr>
            </w:pPr>
            <w:r w:rsidRPr="00617FC9">
              <w:rPr>
                <w:rFonts w:ascii="Verdana" w:hAnsi="Verdana"/>
                <w:color w:val="000000"/>
                <w:sz w:val="18"/>
                <w:szCs w:val="18"/>
              </w:rPr>
              <w:t>19,1</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617FC9" w:rsidR="00412663" w:rsidRDefault="00412663">
            <w:pPr>
              <w:jc w:val="right"/>
              <w:rPr>
                <w:rFonts w:ascii="Verdana" w:hAnsi="Verdana"/>
                <w:color w:val="000000"/>
                <w:sz w:val="18"/>
                <w:szCs w:val="18"/>
              </w:rPr>
            </w:pPr>
            <w:r w:rsidRPr="00617FC9">
              <w:rPr>
                <w:rFonts w:ascii="Verdana" w:hAnsi="Verdana"/>
                <w:color w:val="000000"/>
                <w:sz w:val="18"/>
                <w:szCs w:val="18"/>
              </w:rPr>
              <w:t>9,4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168,1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168,1</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656,8</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656,8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46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IV KONINKRIJKSRELATIES: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48,1</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0,9</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49,0</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49,0</w:t>
            </w:r>
          </w:p>
        </w:tc>
      </w:tr>
    </w:tbl>
    <w:p w:rsidRPr="008A79DC" w:rsidR="00412663" w:rsidP="00C41D99" w:rsidRDefault="00412663">
      <w:pPr>
        <w:spacing w:line="240" w:lineRule="exact"/>
        <w:rPr>
          <w:rFonts w:ascii="Verdana" w:hAnsi="Verdana" w:cs="Verdana"/>
          <w:bCs/>
          <w:sz w:val="18"/>
          <w:szCs w:val="18"/>
        </w:rPr>
      </w:pPr>
    </w:p>
    <w:p w:rsidRPr="008A79DC" w:rsidR="00C80EFD" w:rsidP="00C41D99" w:rsidRDefault="00C80EFD">
      <w:pPr>
        <w:spacing w:line="240" w:lineRule="exact"/>
        <w:rPr>
          <w:rFonts w:ascii="Verdana" w:hAnsi="Verdana" w:cs="Verdana"/>
          <w:bCs/>
          <w:sz w:val="18"/>
          <w:szCs w:val="18"/>
        </w:rPr>
      </w:pPr>
    </w:p>
    <w:p w:rsidRPr="00D32582" w:rsidR="00D32582" w:rsidP="00D32582" w:rsidRDefault="00D32582">
      <w:pPr>
        <w:spacing w:line="240" w:lineRule="exact"/>
        <w:rPr>
          <w:rFonts w:ascii="Verdana" w:hAnsi="Verdana" w:cs="Verdana"/>
          <w:bCs/>
          <w:i/>
          <w:sz w:val="18"/>
          <w:szCs w:val="18"/>
        </w:rPr>
      </w:pPr>
      <w:r w:rsidRPr="00D32582">
        <w:rPr>
          <w:rFonts w:ascii="Verdana" w:hAnsi="Verdana" w:cs="Verdana"/>
          <w:bCs/>
          <w:i/>
          <w:sz w:val="18"/>
          <w:szCs w:val="18"/>
        </w:rPr>
        <w:t>Directe steun activiteiten</w:t>
      </w:r>
    </w:p>
    <w:p w:rsidRPr="00D32582" w:rsidR="00D32582" w:rsidP="00D32582" w:rsidRDefault="00D32582">
      <w:pPr>
        <w:spacing w:line="240" w:lineRule="exact"/>
        <w:rPr>
          <w:rFonts w:ascii="Verdana" w:hAnsi="Verdana" w:cs="Verdana"/>
          <w:bCs/>
          <w:sz w:val="18"/>
          <w:szCs w:val="18"/>
        </w:rPr>
      </w:pPr>
      <w:r w:rsidRPr="00D32582">
        <w:rPr>
          <w:rFonts w:ascii="Verdana" w:hAnsi="Verdana" w:cs="Verdana"/>
          <w:bCs/>
          <w:sz w:val="18"/>
          <w:szCs w:val="18"/>
        </w:rPr>
        <w:t>BZK levert een bijdrage aan het ministerie van Justitie en Veiligheid voor Directe Steun activiteiten aan Sint-Maarten. De Directe Steun activiteiten zijn onderdeel van de wederopbouw bedoeld voor de instelling, de versterking en het herstel van de Integriteitskamer, Politie, Detentie, Technische assistentie en Kustwacht.</w:t>
      </w:r>
    </w:p>
    <w:p w:rsidRPr="00D32582" w:rsidR="00D32582" w:rsidP="00D32582" w:rsidRDefault="00D32582">
      <w:pPr>
        <w:spacing w:line="240" w:lineRule="exact"/>
        <w:rPr>
          <w:rFonts w:ascii="Verdana" w:hAnsi="Verdana" w:cs="Verdana"/>
          <w:bCs/>
          <w:i/>
          <w:sz w:val="18"/>
          <w:szCs w:val="18"/>
        </w:rPr>
      </w:pPr>
    </w:p>
    <w:p w:rsidRPr="00D32582" w:rsidR="00D32582" w:rsidP="00D32582" w:rsidRDefault="00D32582">
      <w:pPr>
        <w:spacing w:line="240" w:lineRule="exact"/>
        <w:rPr>
          <w:rFonts w:ascii="Verdana" w:hAnsi="Verdana" w:cs="Verdana"/>
          <w:bCs/>
          <w:i/>
          <w:sz w:val="18"/>
          <w:szCs w:val="18"/>
        </w:rPr>
      </w:pPr>
      <w:r w:rsidRPr="00D32582">
        <w:rPr>
          <w:rFonts w:ascii="Verdana" w:hAnsi="Verdana" w:cs="Verdana"/>
          <w:bCs/>
          <w:i/>
          <w:sz w:val="18"/>
          <w:szCs w:val="18"/>
        </w:rPr>
        <w:t>2e tranche Wereldbank</w:t>
      </w:r>
    </w:p>
    <w:p w:rsidRPr="00D32582" w:rsidR="00D32582" w:rsidP="00D32582" w:rsidRDefault="00D32582">
      <w:pPr>
        <w:spacing w:line="240" w:lineRule="exact"/>
        <w:rPr>
          <w:rFonts w:ascii="Verdana" w:hAnsi="Verdana" w:cs="Verdana"/>
          <w:bCs/>
          <w:sz w:val="18"/>
          <w:szCs w:val="18"/>
        </w:rPr>
      </w:pPr>
      <w:r w:rsidRPr="00D32582">
        <w:rPr>
          <w:rFonts w:ascii="Verdana" w:hAnsi="Verdana" w:cs="Verdana"/>
          <w:bCs/>
          <w:sz w:val="18"/>
          <w:szCs w:val="18"/>
        </w:rPr>
        <w:t>Na de verwoestingen die orkaan Irma heeft veroorzaakt zijn er middelen vrijgemaakt voor de wederopbouw van Sint Maarten. Het grootste deel van deze middelen komt in een fonds dat wordt beheerd door de Wereldbank. De tweede storting in dat fonds is via een incidentele suppletoire begroting verwerkt.</w:t>
      </w:r>
    </w:p>
    <w:p w:rsidRPr="00D32582" w:rsidR="00D32582" w:rsidP="00D32582" w:rsidRDefault="00D32582">
      <w:pPr>
        <w:spacing w:line="240" w:lineRule="exact"/>
        <w:rPr>
          <w:rFonts w:ascii="Verdana" w:hAnsi="Verdana" w:cs="Verdana"/>
          <w:bCs/>
          <w:i/>
          <w:sz w:val="18"/>
          <w:szCs w:val="18"/>
        </w:rPr>
      </w:pPr>
    </w:p>
    <w:p w:rsidRPr="00D32582" w:rsidR="00D32582" w:rsidP="00D32582" w:rsidRDefault="00D32582">
      <w:pPr>
        <w:spacing w:line="240" w:lineRule="exact"/>
        <w:rPr>
          <w:rFonts w:ascii="Verdana" w:hAnsi="Verdana" w:cs="Verdana"/>
          <w:bCs/>
          <w:i/>
          <w:sz w:val="18"/>
          <w:szCs w:val="18"/>
        </w:rPr>
      </w:pPr>
      <w:r w:rsidRPr="00D32582">
        <w:rPr>
          <w:rFonts w:ascii="Verdana" w:hAnsi="Verdana" w:cs="Verdana"/>
          <w:bCs/>
          <w:i/>
          <w:sz w:val="18"/>
          <w:szCs w:val="18"/>
        </w:rPr>
        <w:t>Pensioenfonds Caribisch Nederland</w:t>
      </w:r>
    </w:p>
    <w:p w:rsidRPr="00D32582" w:rsidR="00D32582" w:rsidP="00D32582" w:rsidRDefault="00D32582">
      <w:pPr>
        <w:spacing w:line="240" w:lineRule="exact"/>
        <w:rPr>
          <w:rFonts w:ascii="Verdana" w:hAnsi="Verdana" w:cs="Verdana"/>
          <w:bCs/>
          <w:sz w:val="18"/>
          <w:szCs w:val="18"/>
        </w:rPr>
      </w:pPr>
      <w:r w:rsidRPr="00D32582">
        <w:rPr>
          <w:rFonts w:ascii="Verdana" w:hAnsi="Verdana" w:cs="Verdana"/>
          <w:bCs/>
          <w:sz w:val="18"/>
          <w:szCs w:val="18"/>
        </w:rPr>
        <w:t>In de Ministerraad van 13 april 2017 is voor het Pensioenfonds Caribisch Nederland een incidentele herstelpremie afgesproken met een verdeelsleutel over departementen. Ook brengen de gezamenlijke werkgevers vanaf 2018 voor een periode van zes jaar een herstelpremie op.</w:t>
      </w:r>
    </w:p>
    <w:p w:rsidRPr="00D32582" w:rsidR="00D32582" w:rsidP="00D32582" w:rsidRDefault="00D32582">
      <w:pPr>
        <w:spacing w:line="240" w:lineRule="exact"/>
        <w:rPr>
          <w:rFonts w:ascii="Verdana" w:hAnsi="Verdana" w:cs="Verdana"/>
          <w:bCs/>
          <w:i/>
          <w:sz w:val="18"/>
          <w:szCs w:val="18"/>
        </w:rPr>
      </w:pPr>
    </w:p>
    <w:p w:rsidRPr="00D32582" w:rsidR="00D32582" w:rsidP="00D32582" w:rsidRDefault="00D32582">
      <w:pPr>
        <w:spacing w:line="240" w:lineRule="exact"/>
        <w:rPr>
          <w:rFonts w:ascii="Verdana" w:hAnsi="Verdana" w:cs="Verdana"/>
          <w:bCs/>
          <w:i/>
          <w:sz w:val="18"/>
          <w:szCs w:val="18"/>
        </w:rPr>
      </w:pPr>
      <w:r w:rsidRPr="00D32582">
        <w:rPr>
          <w:rFonts w:ascii="Verdana" w:hAnsi="Verdana" w:cs="Verdana"/>
          <w:bCs/>
          <w:i/>
          <w:sz w:val="18"/>
          <w:szCs w:val="18"/>
        </w:rPr>
        <w:t>Diversen - technische mutaties, uitgaven</w:t>
      </w:r>
    </w:p>
    <w:p w:rsidRPr="00D32582" w:rsidR="00D32582" w:rsidP="00D32582" w:rsidRDefault="00D32582">
      <w:pPr>
        <w:spacing w:line="240" w:lineRule="exact"/>
        <w:rPr>
          <w:rFonts w:ascii="Verdana" w:hAnsi="Verdana" w:cs="Verdana"/>
          <w:bCs/>
          <w:sz w:val="18"/>
          <w:szCs w:val="18"/>
        </w:rPr>
      </w:pPr>
      <w:r w:rsidRPr="00D32582">
        <w:rPr>
          <w:rFonts w:ascii="Verdana" w:hAnsi="Verdana" w:cs="Verdana"/>
          <w:bCs/>
          <w:sz w:val="18"/>
          <w:szCs w:val="18"/>
        </w:rPr>
        <w:t xml:space="preserve">Om de onvolkomenheid op de informatiebeveiliging bij Rijksdienst Caribisch Nederland (RCN) op te lossen is een plan van aanpak opgesteld. Bij de uitvoering is gebleken dat voor het vervangen van oude hardware 2,1 mln nodig is in 2018. Daarnaast is Nederland 2,3 mln. verschuldigd aan Curaçao en Sint-Maarten vanwege vorderingen uit het solidariteitsfonds. Zoals afgesproken in het </w:t>
      </w:r>
      <w:r w:rsidRPr="00D32582">
        <w:rPr>
          <w:rFonts w:ascii="Verdana" w:hAnsi="Verdana" w:cs="Verdana"/>
          <w:bCs/>
          <w:sz w:val="18"/>
          <w:szCs w:val="18"/>
        </w:rPr>
        <w:lastRenderedPageBreak/>
        <w:t>vereffeningsakkoord wordt deze schuld nu vereffend. Verder worden SVB-middelen uit de boedelscheiding na 10 oktober 2010 overgeboekt van de SZW-begroting voor sociaaleconomische initiatieven in Caribisch Nederland.</w:t>
      </w:r>
    </w:p>
    <w:p w:rsidRPr="00D32582" w:rsidR="00D32582" w:rsidP="00D32582" w:rsidRDefault="00D32582">
      <w:pPr>
        <w:spacing w:line="240" w:lineRule="exact"/>
        <w:rPr>
          <w:rFonts w:ascii="Verdana" w:hAnsi="Verdana" w:cs="Verdana"/>
          <w:bCs/>
          <w:i/>
          <w:sz w:val="18"/>
          <w:szCs w:val="18"/>
        </w:rPr>
      </w:pPr>
    </w:p>
    <w:p w:rsidRPr="00D32582" w:rsidR="00D32582" w:rsidP="00D32582" w:rsidRDefault="00D32582">
      <w:pPr>
        <w:spacing w:line="240" w:lineRule="exact"/>
        <w:rPr>
          <w:rFonts w:ascii="Verdana" w:hAnsi="Verdana" w:cs="Verdana"/>
          <w:bCs/>
          <w:i/>
          <w:sz w:val="18"/>
          <w:szCs w:val="18"/>
        </w:rPr>
      </w:pPr>
      <w:r w:rsidRPr="00D32582">
        <w:rPr>
          <w:rFonts w:ascii="Verdana" w:hAnsi="Verdana" w:cs="Verdana"/>
          <w:bCs/>
          <w:i/>
          <w:sz w:val="18"/>
          <w:szCs w:val="18"/>
        </w:rPr>
        <w:t>Diversen - beleidsmatige mutaties, niet-belastingontvangsten</w:t>
      </w:r>
    </w:p>
    <w:p w:rsidRPr="00D32582" w:rsidR="00C80EFD" w:rsidP="00D32582" w:rsidRDefault="00D32582">
      <w:pPr>
        <w:spacing w:line="240" w:lineRule="exact"/>
        <w:rPr>
          <w:rFonts w:ascii="Verdana" w:hAnsi="Verdana" w:cs="Verdana"/>
          <w:bCs/>
          <w:sz w:val="18"/>
          <w:szCs w:val="18"/>
        </w:rPr>
      </w:pPr>
      <w:r w:rsidRPr="00D32582">
        <w:rPr>
          <w:rFonts w:ascii="Verdana" w:hAnsi="Verdana" w:cs="Verdana"/>
          <w:bCs/>
          <w:sz w:val="18"/>
          <w:szCs w:val="18"/>
        </w:rPr>
        <w:t>Dit betreft de ontvangsten van de EU-middelen die beschikbaar zijn gesteld voor de noodhulp aan Sint-Maarten in 2017</w:t>
      </w:r>
      <w:r w:rsidRPr="00D32582" w:rsidR="00C80EFD">
        <w:rPr>
          <w:rFonts w:ascii="Verdana" w:hAnsi="Verdana" w:cs="Verdana"/>
          <w:bCs/>
          <w:sz w:val="18"/>
          <w:szCs w:val="18"/>
        </w:rPr>
        <w:t>.</w:t>
      </w: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Buitenlandse Zaken</w:t>
            </w:r>
          </w:p>
          <w:p w:rsidRPr="008A79DC" w:rsidR="00752578" w:rsidRDefault="00752578">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V BUITENLANDSE ZAKEN: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7.807,3</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Dab 6: herziening invoerrechten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-51,0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-51,0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-51,0</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7.756,3</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1.482,7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9.239,0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46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V BUITENLANDSE ZAKEN: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1.083,3</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-10,2</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1.073,1</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104,3</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1.177,5</w:t>
            </w:r>
          </w:p>
        </w:tc>
      </w:tr>
    </w:tbl>
    <w:p w:rsidRPr="008A79DC" w:rsidR="00412663" w:rsidP="00C41D99" w:rsidRDefault="00412663">
      <w:pPr>
        <w:spacing w:line="240" w:lineRule="exact"/>
        <w:rPr>
          <w:rFonts w:ascii="Verdana" w:hAnsi="Verdana" w:cs="Verdana"/>
          <w:b/>
          <w:bCs/>
          <w:sz w:val="18"/>
          <w:szCs w:val="18"/>
        </w:rPr>
      </w:pPr>
    </w:p>
    <w:p w:rsidR="00B20BB2" w:rsidP="00B20BB2" w:rsidRDefault="00B20BB2">
      <w:pPr>
        <w:spacing w:line="240" w:lineRule="exact"/>
        <w:rPr>
          <w:rFonts w:ascii="Verdana" w:hAnsi="Verdana" w:cs="Verdana"/>
          <w:bCs/>
          <w:sz w:val="18"/>
          <w:szCs w:val="18"/>
        </w:rPr>
      </w:pPr>
    </w:p>
    <w:p w:rsidRPr="00B20BB2" w:rsidR="00B20BB2" w:rsidP="00B20BB2" w:rsidRDefault="00B20BB2">
      <w:pPr>
        <w:spacing w:line="240" w:lineRule="exact"/>
        <w:rPr>
          <w:rFonts w:ascii="Verdana" w:hAnsi="Verdana" w:cs="Verdana"/>
          <w:bCs/>
          <w:i/>
          <w:sz w:val="18"/>
          <w:szCs w:val="18"/>
        </w:rPr>
      </w:pPr>
      <w:r w:rsidRPr="00B20BB2">
        <w:rPr>
          <w:rFonts w:ascii="Verdana" w:hAnsi="Verdana" w:cs="Verdana"/>
          <w:bCs/>
          <w:i/>
          <w:sz w:val="18"/>
          <w:szCs w:val="18"/>
        </w:rPr>
        <w:t>D</w:t>
      </w:r>
      <w:r>
        <w:rPr>
          <w:rFonts w:ascii="Verdana" w:hAnsi="Verdana" w:cs="Verdana"/>
          <w:bCs/>
          <w:i/>
          <w:sz w:val="18"/>
          <w:szCs w:val="18"/>
        </w:rPr>
        <w:t xml:space="preserve">AB 6: </w:t>
      </w:r>
      <w:r w:rsidR="00AD7821">
        <w:rPr>
          <w:rFonts w:ascii="Verdana" w:hAnsi="Verdana" w:cs="Verdana"/>
          <w:bCs/>
          <w:i/>
          <w:sz w:val="18"/>
          <w:szCs w:val="18"/>
        </w:rPr>
        <w:t>h</w:t>
      </w:r>
      <w:r>
        <w:rPr>
          <w:rFonts w:ascii="Verdana" w:hAnsi="Verdana" w:cs="Verdana"/>
          <w:bCs/>
          <w:i/>
          <w:sz w:val="18"/>
          <w:szCs w:val="18"/>
        </w:rPr>
        <w:t xml:space="preserve">erziening invoerrechten - </w:t>
      </w:r>
      <w:r w:rsidRPr="00B20BB2">
        <w:rPr>
          <w:rFonts w:ascii="Verdana" w:hAnsi="Verdana" w:cs="Verdana"/>
          <w:bCs/>
          <w:i/>
          <w:sz w:val="18"/>
          <w:szCs w:val="18"/>
        </w:rPr>
        <w:t>uitgaven</w:t>
      </w:r>
    </w:p>
    <w:p w:rsidRPr="00B20BB2" w:rsidR="00B20BB2" w:rsidP="00B20BB2" w:rsidRDefault="00B20BB2">
      <w:pPr>
        <w:spacing w:line="240" w:lineRule="exact"/>
        <w:rPr>
          <w:rFonts w:ascii="Verdana" w:hAnsi="Verdana" w:cs="Verdana"/>
          <w:bCs/>
          <w:sz w:val="18"/>
          <w:szCs w:val="18"/>
        </w:rPr>
      </w:pPr>
      <w:r w:rsidRPr="00B20BB2">
        <w:rPr>
          <w:rFonts w:ascii="Verdana" w:hAnsi="Verdana" w:cs="Verdana"/>
          <w:bCs/>
          <w:sz w:val="18"/>
          <w:szCs w:val="18"/>
        </w:rPr>
        <w:t>De Europese Commissie heeft de raming voor de invoerrechten voor 2018 geactualiseerd op basis van recente realisatiecijfers. Dit leidt tot een verlaging van de Nederlandse afdracht van invoerrechten aan de EU met 51 mln.</w:t>
      </w:r>
    </w:p>
    <w:p w:rsidRPr="00B20BB2" w:rsidR="00B20BB2" w:rsidP="00B20BB2" w:rsidRDefault="00B20BB2">
      <w:pPr>
        <w:spacing w:line="240" w:lineRule="exact"/>
        <w:rPr>
          <w:rFonts w:ascii="Verdana" w:hAnsi="Verdana" w:cs="Verdana"/>
          <w:bCs/>
          <w:sz w:val="18"/>
          <w:szCs w:val="18"/>
        </w:rPr>
      </w:pPr>
    </w:p>
    <w:p w:rsidRPr="00AD7821" w:rsidR="00B20BB2" w:rsidP="00B20BB2" w:rsidRDefault="00B20BB2">
      <w:pPr>
        <w:spacing w:line="240" w:lineRule="exact"/>
        <w:rPr>
          <w:rFonts w:ascii="Verdana" w:hAnsi="Verdana" w:cs="Verdana"/>
          <w:bCs/>
          <w:i/>
          <w:sz w:val="18"/>
          <w:szCs w:val="18"/>
        </w:rPr>
      </w:pPr>
      <w:r w:rsidRPr="00AD7821">
        <w:rPr>
          <w:rFonts w:ascii="Verdana" w:hAnsi="Verdana" w:cs="Verdana"/>
          <w:bCs/>
          <w:i/>
          <w:sz w:val="18"/>
          <w:szCs w:val="18"/>
        </w:rPr>
        <w:t>Diversen – niet-belastingontvangsten</w:t>
      </w:r>
    </w:p>
    <w:p w:rsidRPr="00AA215A" w:rsidR="00752578" w:rsidP="00B20BB2" w:rsidRDefault="00B20BB2">
      <w:pPr>
        <w:spacing w:line="240" w:lineRule="exact"/>
        <w:rPr>
          <w:rFonts w:ascii="Verdana" w:hAnsi="Verdana" w:cs="Verdana"/>
          <w:bCs/>
          <w:sz w:val="18"/>
          <w:szCs w:val="18"/>
        </w:rPr>
      </w:pPr>
      <w:r w:rsidRPr="00B20BB2">
        <w:rPr>
          <w:rFonts w:ascii="Verdana" w:hAnsi="Verdana" w:cs="Verdana"/>
          <w:bCs/>
          <w:sz w:val="18"/>
          <w:szCs w:val="18"/>
        </w:rPr>
        <w:t>De perceptiekostenvergoeding voor het heffen van de invoerrechten bedraagt een vast percentage (20%) van de invoerrechtenheffing. De herziening van de invoerrechtenraming leidt daarom ook tot neerwaartse aanpassing van de raming van de perceptiekostenvergoeding met 10 mln.</w:t>
      </w: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Justitie en Veiligheid</w:t>
            </w:r>
          </w:p>
          <w:p w:rsidRPr="008A79DC" w:rsidR="00752578" w:rsidRDefault="00752578">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VI JUSTITIE EN VEILIGHEID: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12.678,5</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Dji forensische zorg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18,2</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8,2</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Asiel: oda-toerekening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42,0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Cybersecurity: verdeling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-18,7</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18,6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41,9</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C80EFD">
        <w:trPr>
          <w:trHeight w:val="260"/>
        </w:trPr>
        <w:tc>
          <w:tcPr>
            <w:tcW w:w="5340" w:type="dxa"/>
            <w:tcBorders>
              <w:top w:val="nil"/>
              <w:left w:val="nil"/>
              <w:bottom w:val="nil"/>
              <w:right w:val="nil"/>
            </w:tcBorders>
            <w:shd w:val="clear" w:color="auto" w:fill="auto"/>
            <w:hideMark/>
          </w:tcPr>
          <w:p w:rsidRPr="008A79DC" w:rsidR="00412663" w:rsidP="00C80EFD" w:rsidRDefault="00412663">
            <w:pPr>
              <w:ind w:firstLine="360" w:firstLineChars="200"/>
              <w:rPr>
                <w:rFonts w:ascii="Verdana" w:hAnsi="Verdana"/>
                <w:color w:val="000000"/>
                <w:sz w:val="18"/>
                <w:szCs w:val="18"/>
              </w:rPr>
            </w:pPr>
            <w:r w:rsidRPr="008A79DC">
              <w:rPr>
                <w:rFonts w:ascii="Verdana" w:hAnsi="Verdana"/>
                <w:color w:val="000000"/>
                <w:sz w:val="18"/>
                <w:szCs w:val="18"/>
              </w:rPr>
              <w:t>Ra-middelen 2018 voor politie (b5)</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52,0</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35,4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87,4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137,5</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12.816,0</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30,3</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12.846,3</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46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VI JUSTITIE EN VEILIGHEID: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2.275,7</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Minder griffierechten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-15,0</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23,2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8,2</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Tegenvaller afpakken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-50,0</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Tegenvaller boeten en transacties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-47,2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-97,2</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29,4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29,4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-59,6</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2.216,1</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2.216,1</w:t>
            </w:r>
          </w:p>
        </w:tc>
      </w:tr>
    </w:tbl>
    <w:p w:rsidRPr="008A79DC" w:rsidR="00412663" w:rsidP="00C41D99" w:rsidRDefault="00412663">
      <w:pPr>
        <w:spacing w:line="240" w:lineRule="exact"/>
        <w:rPr>
          <w:rFonts w:ascii="Verdana" w:hAnsi="Verdana" w:cs="Verdana"/>
          <w:b/>
          <w:bCs/>
          <w:sz w:val="18"/>
          <w:szCs w:val="18"/>
        </w:rPr>
      </w:pPr>
    </w:p>
    <w:p w:rsidRPr="008A79DC" w:rsidR="00752578" w:rsidP="00C41D99" w:rsidRDefault="00752578">
      <w:pPr>
        <w:spacing w:line="240" w:lineRule="exact"/>
        <w:rPr>
          <w:rFonts w:ascii="Verdana" w:hAnsi="Verdana" w:cs="Verdana"/>
          <w:b/>
          <w:bCs/>
          <w:sz w:val="18"/>
          <w:szCs w:val="18"/>
        </w:rPr>
      </w:pPr>
    </w:p>
    <w:p w:rsidRPr="008A79DC" w:rsidR="00C80EFD" w:rsidP="00C41D99" w:rsidRDefault="00C80EFD">
      <w:pPr>
        <w:spacing w:line="240" w:lineRule="exact"/>
        <w:rPr>
          <w:rFonts w:ascii="Verdana" w:hAnsi="Verdana" w:cs="Verdana"/>
          <w:b/>
          <w:bCs/>
          <w:sz w:val="18"/>
          <w:szCs w:val="18"/>
        </w:rPr>
      </w:pPr>
    </w:p>
    <w:p w:rsidRPr="00626CAF" w:rsidR="00626CAF" w:rsidP="00626CAF" w:rsidRDefault="00626CAF">
      <w:pPr>
        <w:rPr>
          <w:rFonts w:ascii="Verdana" w:hAnsi="Verdana"/>
          <w:i/>
          <w:sz w:val="18"/>
          <w:szCs w:val="18"/>
        </w:rPr>
      </w:pPr>
      <w:r w:rsidRPr="00626CAF">
        <w:rPr>
          <w:rFonts w:ascii="Verdana" w:hAnsi="Verdana"/>
          <w:i/>
          <w:sz w:val="18"/>
          <w:szCs w:val="18"/>
        </w:rPr>
        <w:t>DJI forensische zorg</w:t>
      </w:r>
    </w:p>
    <w:p w:rsidRPr="00626CAF" w:rsidR="00626CAF" w:rsidP="00626CAF" w:rsidRDefault="00626CAF">
      <w:pPr>
        <w:rPr>
          <w:rFonts w:ascii="Verdana" w:hAnsi="Verdana"/>
          <w:sz w:val="18"/>
          <w:szCs w:val="18"/>
        </w:rPr>
      </w:pPr>
      <w:r w:rsidRPr="00626CAF">
        <w:rPr>
          <w:rFonts w:ascii="Verdana" w:hAnsi="Verdana"/>
          <w:sz w:val="18"/>
          <w:szCs w:val="18"/>
        </w:rPr>
        <w:t>Bij de forensische zorg van de Dienst Justitiële Instellingen (DJI) is er een hogere instroom en een langere verblijfsduur in de instellingen dan geraamd.</w:t>
      </w:r>
    </w:p>
    <w:p w:rsidRPr="00626CAF" w:rsidR="00626CAF" w:rsidP="00626CAF" w:rsidRDefault="00626CAF">
      <w:pPr>
        <w:rPr>
          <w:rFonts w:ascii="Verdana" w:hAnsi="Verdana"/>
          <w:i/>
          <w:sz w:val="18"/>
          <w:szCs w:val="18"/>
        </w:rPr>
      </w:pPr>
    </w:p>
    <w:p w:rsidRPr="00626CAF" w:rsidR="00626CAF" w:rsidP="00626CAF" w:rsidRDefault="00626CAF">
      <w:pPr>
        <w:rPr>
          <w:rFonts w:ascii="Verdana" w:hAnsi="Verdana"/>
          <w:i/>
          <w:sz w:val="18"/>
          <w:szCs w:val="18"/>
        </w:rPr>
      </w:pPr>
      <w:r w:rsidRPr="00626CAF">
        <w:rPr>
          <w:rFonts w:ascii="Verdana" w:hAnsi="Verdana"/>
          <w:i/>
          <w:sz w:val="18"/>
          <w:szCs w:val="18"/>
        </w:rPr>
        <w:t>Diversen – uitgaven, mee- en tegenvallers</w:t>
      </w:r>
    </w:p>
    <w:p w:rsidRPr="00626CAF" w:rsidR="00626CAF" w:rsidP="00626CAF" w:rsidRDefault="00626CAF">
      <w:pPr>
        <w:rPr>
          <w:rFonts w:ascii="Verdana" w:hAnsi="Verdana"/>
          <w:sz w:val="18"/>
          <w:szCs w:val="18"/>
        </w:rPr>
      </w:pPr>
      <w:r w:rsidRPr="00626CAF">
        <w:rPr>
          <w:rFonts w:ascii="Verdana" w:hAnsi="Verdana"/>
          <w:sz w:val="18"/>
          <w:szCs w:val="18"/>
        </w:rPr>
        <w:t xml:space="preserve">Deze post bestaat uit een aantal mee- en tegenvallers. Zo is er een tegenvaller bij het Openbaar Ministerie op het gebied van ICT (10 mln.) en een meevaller door een lager aantal toevoegingen bij de Rechtsbijstand (12 mln.). </w:t>
      </w:r>
    </w:p>
    <w:p w:rsidRPr="00626CAF" w:rsidR="00626CAF" w:rsidP="00626CAF" w:rsidRDefault="00626CAF">
      <w:pPr>
        <w:rPr>
          <w:rFonts w:ascii="Verdana" w:hAnsi="Verdana"/>
          <w:i/>
          <w:sz w:val="18"/>
          <w:szCs w:val="18"/>
        </w:rPr>
      </w:pPr>
    </w:p>
    <w:p w:rsidRPr="00626CAF" w:rsidR="00626CAF" w:rsidP="00626CAF" w:rsidRDefault="00626CAF">
      <w:pPr>
        <w:rPr>
          <w:rFonts w:ascii="Verdana" w:hAnsi="Verdana"/>
          <w:i/>
          <w:sz w:val="18"/>
          <w:szCs w:val="18"/>
        </w:rPr>
      </w:pPr>
      <w:r w:rsidRPr="00626CAF">
        <w:rPr>
          <w:rFonts w:ascii="Verdana" w:hAnsi="Verdana"/>
          <w:i/>
          <w:sz w:val="18"/>
          <w:szCs w:val="18"/>
        </w:rPr>
        <w:t>Asiel: ODA-toerekening</w:t>
      </w:r>
    </w:p>
    <w:p w:rsidRPr="00626CAF" w:rsidR="00626CAF" w:rsidP="00626CAF" w:rsidRDefault="00626CAF">
      <w:pPr>
        <w:rPr>
          <w:rFonts w:ascii="Verdana" w:hAnsi="Verdana"/>
          <w:sz w:val="18"/>
          <w:szCs w:val="18"/>
        </w:rPr>
      </w:pPr>
      <w:r w:rsidRPr="00626CAF">
        <w:rPr>
          <w:rFonts w:ascii="Verdana" w:hAnsi="Verdana"/>
          <w:sz w:val="18"/>
          <w:szCs w:val="18"/>
        </w:rPr>
        <w:t>Kosten voor de eerstejaarsopvang van asielzoekers worden volgens afspraken binnen OESO-DAC toegerekend aan official development assistance (ODA). Op basis van de reguliere herijking van de raming is de instroomraming voor COA voor 2018 bijgesteld van 30.000 naar 37.000 personen. De ODA-toerekening wordt daarom naar boven bijgesteld, JenV ontvangt 42 mln. van de begroting van Buitenlandse Handel en Ontwikkelingssamenwerking.</w:t>
      </w:r>
    </w:p>
    <w:p w:rsidRPr="00626CAF" w:rsidR="00626CAF" w:rsidP="00626CAF" w:rsidRDefault="00626CAF">
      <w:pPr>
        <w:rPr>
          <w:rFonts w:ascii="Verdana" w:hAnsi="Verdana"/>
          <w:i/>
          <w:sz w:val="18"/>
          <w:szCs w:val="18"/>
        </w:rPr>
      </w:pPr>
    </w:p>
    <w:p w:rsidRPr="00626CAF" w:rsidR="00626CAF" w:rsidP="00626CAF" w:rsidRDefault="00626CAF">
      <w:pPr>
        <w:rPr>
          <w:rFonts w:ascii="Verdana" w:hAnsi="Verdana"/>
          <w:i/>
          <w:sz w:val="18"/>
          <w:szCs w:val="18"/>
        </w:rPr>
      </w:pPr>
      <w:r w:rsidRPr="00626CAF">
        <w:rPr>
          <w:rFonts w:ascii="Verdana" w:hAnsi="Verdana"/>
          <w:i/>
          <w:sz w:val="18"/>
          <w:szCs w:val="18"/>
        </w:rPr>
        <w:t>Cybersecurity: verdeling</w:t>
      </w:r>
    </w:p>
    <w:p w:rsidRPr="00626CAF" w:rsidR="00626CAF" w:rsidP="00626CAF" w:rsidRDefault="00626CAF">
      <w:pPr>
        <w:rPr>
          <w:rFonts w:ascii="Verdana" w:hAnsi="Verdana"/>
          <w:sz w:val="18"/>
          <w:szCs w:val="18"/>
        </w:rPr>
      </w:pPr>
      <w:r w:rsidRPr="00626CAF">
        <w:rPr>
          <w:rFonts w:ascii="Verdana" w:hAnsi="Verdana"/>
          <w:sz w:val="18"/>
          <w:szCs w:val="18"/>
        </w:rPr>
        <w:t>Dit betreft een interne verdeling van een deel van de bij Miljoenennota 2019 aangekondigde intensivering in cybersecurity. Het gaat o.a. om middelen voor de detectie van criminele geldstromen (2 mln.) en een project dat zich focust op wapenhandel via darkweb (1,4 mln.).</w:t>
      </w:r>
    </w:p>
    <w:p w:rsidRPr="00626CAF" w:rsidR="00626CAF" w:rsidP="00626CAF" w:rsidRDefault="00626CAF">
      <w:pPr>
        <w:rPr>
          <w:rFonts w:ascii="Verdana" w:hAnsi="Verdana"/>
          <w:i/>
          <w:sz w:val="18"/>
          <w:szCs w:val="18"/>
        </w:rPr>
      </w:pPr>
    </w:p>
    <w:p w:rsidRPr="00626CAF" w:rsidR="00626CAF" w:rsidP="00626CAF" w:rsidRDefault="00626CAF">
      <w:pPr>
        <w:rPr>
          <w:rFonts w:ascii="Verdana" w:hAnsi="Verdana"/>
          <w:i/>
          <w:sz w:val="18"/>
          <w:szCs w:val="18"/>
        </w:rPr>
      </w:pPr>
      <w:r w:rsidRPr="00626CAF">
        <w:rPr>
          <w:rFonts w:ascii="Verdana" w:hAnsi="Verdana"/>
          <w:i/>
          <w:sz w:val="18"/>
          <w:szCs w:val="18"/>
        </w:rPr>
        <w:t>Diversen – uitgaven, beleidsmatige mutaties</w:t>
      </w:r>
    </w:p>
    <w:p w:rsidRPr="00626CAF" w:rsidR="00626CAF" w:rsidP="00626CAF" w:rsidRDefault="00626CAF">
      <w:pPr>
        <w:rPr>
          <w:rFonts w:ascii="Verdana" w:hAnsi="Verdana"/>
          <w:sz w:val="18"/>
          <w:szCs w:val="18"/>
        </w:rPr>
      </w:pPr>
      <w:r w:rsidRPr="00626CAF">
        <w:rPr>
          <w:rFonts w:ascii="Verdana" w:hAnsi="Verdana"/>
          <w:sz w:val="18"/>
          <w:szCs w:val="18"/>
        </w:rPr>
        <w:t>Hieronder valt een aantal kleine mee- en tegenvallers, o.a. extra uitgaven in het kader van de meerjarenagenda forensische zorg (2,5 mln.) en vreemdelingenbewaring op Bonaire (2,4 mln.).</w:t>
      </w:r>
    </w:p>
    <w:p w:rsidRPr="00626CAF" w:rsidR="00626CAF" w:rsidP="00626CAF" w:rsidRDefault="00626CAF">
      <w:pPr>
        <w:rPr>
          <w:rFonts w:ascii="Verdana" w:hAnsi="Verdana"/>
          <w:i/>
          <w:sz w:val="18"/>
          <w:szCs w:val="18"/>
        </w:rPr>
      </w:pPr>
    </w:p>
    <w:p w:rsidRPr="00626CAF" w:rsidR="00626CAF" w:rsidP="00626CAF" w:rsidRDefault="00626CAF">
      <w:pPr>
        <w:rPr>
          <w:rFonts w:ascii="Verdana" w:hAnsi="Verdana"/>
          <w:i/>
          <w:sz w:val="18"/>
          <w:szCs w:val="18"/>
        </w:rPr>
      </w:pPr>
      <w:r>
        <w:rPr>
          <w:rFonts w:ascii="Verdana" w:hAnsi="Verdana"/>
          <w:i/>
          <w:sz w:val="18"/>
          <w:szCs w:val="18"/>
        </w:rPr>
        <w:t>Ra-middelen 2018 voor politie (b</w:t>
      </w:r>
      <w:r w:rsidRPr="00626CAF">
        <w:rPr>
          <w:rFonts w:ascii="Verdana" w:hAnsi="Verdana"/>
          <w:i/>
          <w:sz w:val="18"/>
          <w:szCs w:val="18"/>
        </w:rPr>
        <w:t>5)</w:t>
      </w:r>
    </w:p>
    <w:p w:rsidRPr="00626CAF" w:rsidR="00626CAF" w:rsidP="00626CAF" w:rsidRDefault="00626CAF">
      <w:pPr>
        <w:rPr>
          <w:rFonts w:ascii="Verdana" w:hAnsi="Verdana"/>
          <w:sz w:val="18"/>
          <w:szCs w:val="18"/>
        </w:rPr>
      </w:pPr>
      <w:r w:rsidRPr="00626CAF">
        <w:rPr>
          <w:rFonts w:ascii="Verdana" w:hAnsi="Verdana"/>
          <w:sz w:val="18"/>
          <w:szCs w:val="18"/>
        </w:rPr>
        <w:t>De resterende Regeerakkoordmiddelen voor de politie (reeks B5) voor 2018 zijn overgeheveld naar de begrotingen van JenV. De middelen worden onder andere ingezet voor een eenmalige impuls in lokale capaciteit (33 mln.) en voor de implementatie van een toekomstbestendige toegangsbeveiliging van de politie (19 mln.).</w:t>
      </w:r>
    </w:p>
    <w:p w:rsidRPr="00626CAF" w:rsidR="00626CAF" w:rsidP="00626CAF" w:rsidRDefault="00626CAF">
      <w:pPr>
        <w:rPr>
          <w:rFonts w:ascii="Verdana" w:hAnsi="Verdana"/>
          <w:i/>
          <w:sz w:val="18"/>
          <w:szCs w:val="18"/>
        </w:rPr>
      </w:pPr>
    </w:p>
    <w:p w:rsidRPr="00626CAF" w:rsidR="00626CAF" w:rsidP="00626CAF" w:rsidRDefault="00626CAF">
      <w:pPr>
        <w:rPr>
          <w:rFonts w:ascii="Verdana" w:hAnsi="Verdana"/>
          <w:i/>
          <w:sz w:val="18"/>
          <w:szCs w:val="18"/>
        </w:rPr>
      </w:pPr>
      <w:r w:rsidRPr="00626CAF">
        <w:rPr>
          <w:rFonts w:ascii="Verdana" w:hAnsi="Verdana"/>
          <w:i/>
          <w:sz w:val="18"/>
          <w:szCs w:val="18"/>
        </w:rPr>
        <w:t>Diversen – uitgaven, technische mutaties</w:t>
      </w:r>
    </w:p>
    <w:p w:rsidRPr="00626CAF" w:rsidR="00626CAF" w:rsidP="00626CAF" w:rsidRDefault="00626CAF">
      <w:pPr>
        <w:rPr>
          <w:rFonts w:ascii="Verdana" w:hAnsi="Verdana"/>
          <w:sz w:val="18"/>
          <w:szCs w:val="18"/>
        </w:rPr>
      </w:pPr>
      <w:r w:rsidRPr="00626CAF">
        <w:rPr>
          <w:rFonts w:ascii="Verdana" w:hAnsi="Verdana"/>
          <w:sz w:val="18"/>
          <w:szCs w:val="18"/>
        </w:rPr>
        <w:t>Deze post betreft verschillende overboekingen met andere departementen, zoals een overboeking van BZK in het kader van Directe Steun activiteiten t.b.v. Sint Maarten (ca. 10 mln.). Daarnaast betreft een deel van de overboekingen de doorverdeling van de bij Miljoenennota aangekondigde intensivering in cybersecurity, waaronder naar IenW voor versterking van de detectie- en responscapaciteit in de watersector (3,5 mln.) en naar Defensie voor cyberonderzoek bij TNO (1 mln.).</w:t>
      </w:r>
    </w:p>
    <w:p w:rsidRPr="00626CAF" w:rsidR="00626CAF" w:rsidP="00626CAF" w:rsidRDefault="00626CAF">
      <w:pPr>
        <w:rPr>
          <w:rFonts w:ascii="Verdana" w:hAnsi="Verdana"/>
          <w:i/>
          <w:sz w:val="18"/>
          <w:szCs w:val="18"/>
        </w:rPr>
      </w:pPr>
    </w:p>
    <w:p w:rsidRPr="00626CAF" w:rsidR="00626CAF" w:rsidP="00626CAF" w:rsidRDefault="00626CAF">
      <w:pPr>
        <w:rPr>
          <w:rFonts w:ascii="Verdana" w:hAnsi="Verdana"/>
          <w:i/>
          <w:sz w:val="18"/>
          <w:szCs w:val="18"/>
        </w:rPr>
      </w:pPr>
      <w:r w:rsidRPr="00626CAF">
        <w:rPr>
          <w:rFonts w:ascii="Verdana" w:hAnsi="Verdana"/>
          <w:i/>
          <w:sz w:val="18"/>
          <w:szCs w:val="18"/>
        </w:rPr>
        <w:t>Minder griffierechten</w:t>
      </w:r>
    </w:p>
    <w:p w:rsidRPr="00626CAF" w:rsidR="00626CAF" w:rsidP="00626CAF" w:rsidRDefault="00626CAF">
      <w:pPr>
        <w:rPr>
          <w:rFonts w:ascii="Verdana" w:hAnsi="Verdana"/>
          <w:sz w:val="18"/>
          <w:szCs w:val="18"/>
        </w:rPr>
      </w:pPr>
      <w:r w:rsidRPr="00626CAF">
        <w:rPr>
          <w:rFonts w:ascii="Verdana" w:hAnsi="Verdana"/>
          <w:sz w:val="18"/>
          <w:szCs w:val="18"/>
        </w:rPr>
        <w:t>Door een lagere instroom aan zaken bij de rechtspraak dan geraamd vallen de ontvangsten uit griffierechten lager uit.</w:t>
      </w:r>
    </w:p>
    <w:p w:rsidRPr="00626CAF" w:rsidR="00626CAF" w:rsidP="00626CAF" w:rsidRDefault="00626CAF">
      <w:pPr>
        <w:rPr>
          <w:rFonts w:ascii="Verdana" w:hAnsi="Verdana"/>
          <w:i/>
          <w:sz w:val="18"/>
          <w:szCs w:val="18"/>
        </w:rPr>
      </w:pPr>
    </w:p>
    <w:p w:rsidRPr="00626CAF" w:rsidR="00626CAF" w:rsidP="00626CAF" w:rsidRDefault="00626CAF">
      <w:pPr>
        <w:rPr>
          <w:rFonts w:ascii="Verdana" w:hAnsi="Verdana"/>
          <w:i/>
          <w:sz w:val="18"/>
          <w:szCs w:val="18"/>
        </w:rPr>
      </w:pPr>
      <w:r w:rsidRPr="00626CAF">
        <w:rPr>
          <w:rFonts w:ascii="Verdana" w:hAnsi="Verdana"/>
          <w:i/>
          <w:sz w:val="18"/>
          <w:szCs w:val="18"/>
        </w:rPr>
        <w:t>Diversen – niet-belastingontvangsten, mee- en tegenvallers</w:t>
      </w:r>
    </w:p>
    <w:p w:rsidRPr="00626CAF" w:rsidR="00626CAF" w:rsidP="00626CAF" w:rsidRDefault="00626CAF">
      <w:pPr>
        <w:rPr>
          <w:rFonts w:ascii="Verdana" w:hAnsi="Verdana"/>
          <w:sz w:val="18"/>
          <w:szCs w:val="18"/>
        </w:rPr>
      </w:pPr>
      <w:r w:rsidRPr="00626CAF">
        <w:rPr>
          <w:rFonts w:ascii="Verdana" w:hAnsi="Verdana"/>
          <w:sz w:val="18"/>
          <w:szCs w:val="18"/>
        </w:rPr>
        <w:t>Deze post bestaat uit kleinere mee- en tegenvallers, waaronder een meevaller door een positief financieringsresultaat bij screeningsautoriteit Justis (8 mln.).</w:t>
      </w:r>
    </w:p>
    <w:p w:rsidRPr="00626CAF" w:rsidR="00626CAF" w:rsidP="00626CAF" w:rsidRDefault="00626CAF">
      <w:pPr>
        <w:rPr>
          <w:rFonts w:ascii="Verdana" w:hAnsi="Verdana"/>
          <w:i/>
          <w:sz w:val="18"/>
          <w:szCs w:val="18"/>
        </w:rPr>
      </w:pPr>
    </w:p>
    <w:p w:rsidRPr="00626CAF" w:rsidR="00626CAF" w:rsidP="00626CAF" w:rsidRDefault="00626CAF">
      <w:pPr>
        <w:rPr>
          <w:rFonts w:ascii="Verdana" w:hAnsi="Verdana"/>
          <w:i/>
          <w:sz w:val="18"/>
          <w:szCs w:val="18"/>
        </w:rPr>
      </w:pPr>
      <w:r w:rsidRPr="00626CAF">
        <w:rPr>
          <w:rFonts w:ascii="Verdana" w:hAnsi="Verdana"/>
          <w:i/>
          <w:sz w:val="18"/>
          <w:szCs w:val="18"/>
        </w:rPr>
        <w:t>Tegenvaller afpakken</w:t>
      </w:r>
    </w:p>
    <w:p w:rsidRPr="00626CAF" w:rsidR="00626CAF" w:rsidP="00626CAF" w:rsidRDefault="00626CAF">
      <w:pPr>
        <w:rPr>
          <w:rFonts w:ascii="Verdana" w:hAnsi="Verdana"/>
          <w:sz w:val="18"/>
          <w:szCs w:val="18"/>
        </w:rPr>
      </w:pPr>
      <w:r w:rsidRPr="00626CAF">
        <w:rPr>
          <w:rFonts w:ascii="Verdana" w:hAnsi="Verdana"/>
          <w:sz w:val="18"/>
          <w:szCs w:val="18"/>
        </w:rPr>
        <w:t>Bij de opbrengsten uit afpakken is sprake van een tegenvaller op de zogenaamde ‘kleine afpakopbrengsten’. Dit betreft zaken waarbij minder dan 10 mln. wordt afgepakt. Omdat de meevaller uit de schikking met ING reeds verwerkt is bij Miljoenennota 2019, leidt dit tot een tegenvaller van ca. 50 mln.</w:t>
      </w:r>
    </w:p>
    <w:p w:rsidRPr="00626CAF" w:rsidR="00626CAF" w:rsidP="00626CAF" w:rsidRDefault="00626CAF">
      <w:pPr>
        <w:rPr>
          <w:rFonts w:ascii="Verdana" w:hAnsi="Verdana"/>
          <w:i/>
          <w:sz w:val="18"/>
          <w:szCs w:val="18"/>
        </w:rPr>
      </w:pPr>
    </w:p>
    <w:p w:rsidRPr="00626CAF" w:rsidR="00626CAF" w:rsidP="00626CAF" w:rsidRDefault="00626CAF">
      <w:pPr>
        <w:rPr>
          <w:rFonts w:ascii="Verdana" w:hAnsi="Verdana"/>
          <w:i/>
          <w:sz w:val="18"/>
          <w:szCs w:val="18"/>
        </w:rPr>
      </w:pPr>
      <w:r w:rsidRPr="00626CAF">
        <w:rPr>
          <w:rFonts w:ascii="Verdana" w:hAnsi="Verdana"/>
          <w:i/>
          <w:sz w:val="18"/>
          <w:szCs w:val="18"/>
        </w:rPr>
        <w:t>Tegenvaller boeten en transacties</w:t>
      </w:r>
    </w:p>
    <w:p w:rsidRPr="00626CAF" w:rsidR="00626CAF" w:rsidP="00626CAF" w:rsidRDefault="00626CAF">
      <w:pPr>
        <w:rPr>
          <w:rFonts w:ascii="Verdana" w:hAnsi="Verdana"/>
          <w:sz w:val="18"/>
          <w:szCs w:val="18"/>
        </w:rPr>
      </w:pPr>
      <w:r w:rsidRPr="00626CAF">
        <w:rPr>
          <w:rFonts w:ascii="Verdana" w:hAnsi="Verdana"/>
          <w:sz w:val="18"/>
          <w:szCs w:val="18"/>
        </w:rPr>
        <w:t xml:space="preserve">Er zijn minder ontvangsten uit boeten en transacties, voornamelijk door acties in aanloop naar het sluiten van de nieuwe CAO politie. </w:t>
      </w:r>
    </w:p>
    <w:p w:rsidRPr="00626CAF" w:rsidR="00626CAF" w:rsidP="00626CAF" w:rsidRDefault="00626CAF">
      <w:pPr>
        <w:rPr>
          <w:rFonts w:ascii="Verdana" w:hAnsi="Verdana"/>
          <w:i/>
          <w:sz w:val="18"/>
          <w:szCs w:val="18"/>
        </w:rPr>
      </w:pPr>
    </w:p>
    <w:p w:rsidRPr="00626CAF" w:rsidR="00626CAF" w:rsidP="00626CAF" w:rsidRDefault="00626CAF">
      <w:pPr>
        <w:rPr>
          <w:rFonts w:ascii="Verdana" w:hAnsi="Verdana"/>
          <w:i/>
          <w:sz w:val="18"/>
          <w:szCs w:val="18"/>
        </w:rPr>
      </w:pPr>
      <w:r w:rsidRPr="00626CAF">
        <w:rPr>
          <w:rFonts w:ascii="Verdana" w:hAnsi="Verdana"/>
          <w:i/>
          <w:sz w:val="18"/>
          <w:szCs w:val="18"/>
        </w:rPr>
        <w:t>Diversen – niet-belastingontvangsten, technische mutaties</w:t>
      </w:r>
    </w:p>
    <w:p w:rsidRPr="00626CAF" w:rsidR="00412663" w:rsidP="00626CAF" w:rsidRDefault="00626CAF">
      <w:pPr>
        <w:rPr>
          <w:rFonts w:ascii="Verdana" w:hAnsi="Verdana" w:cs="Verdana"/>
          <w:b/>
          <w:bCs/>
          <w:sz w:val="18"/>
          <w:szCs w:val="18"/>
        </w:rPr>
      </w:pPr>
      <w:r w:rsidRPr="00626CAF">
        <w:rPr>
          <w:rFonts w:ascii="Verdana" w:hAnsi="Verdana"/>
          <w:sz w:val="18"/>
          <w:szCs w:val="18"/>
        </w:rPr>
        <w:t>Dit betreft o.a. teruggeboekte bijzondere bijdragen politie (3 mln.).</w:t>
      </w:r>
      <w:r w:rsidRPr="00626CAF" w:rsidR="00412663">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Binnenlandse Zaken en Koninkrijksrelaties</w:t>
            </w:r>
          </w:p>
          <w:p w:rsidRPr="008A79DC" w:rsidR="001737F1" w:rsidRDefault="001737F1">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46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VII BINNENLANDSE ZAKEN EN KONINKRIJKSRELATIES: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5.702,7</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0,2</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Aardgasvrije wijken (proeftuinen)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-91,6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Saneringsbijdrage wsg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385,7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Saneringsheffing corporaties 2018</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159,4</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-22,4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431,1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431,5</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6.134,2</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6.134,6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46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VII BINNENLANDSE ZAKEN EN KONINKRIJKSRELATIES: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840,8</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P="0095662A" w:rsidRDefault="0095662A">
            <w:pPr>
              <w:ind w:firstLine="360" w:firstLineChars="200"/>
              <w:rPr>
                <w:rFonts w:ascii="Verdana" w:hAnsi="Verdana"/>
                <w:color w:val="000000"/>
                <w:sz w:val="18"/>
                <w:szCs w:val="18"/>
              </w:rPr>
            </w:pPr>
            <w:r>
              <w:rPr>
                <w:rFonts w:ascii="Verdana" w:hAnsi="Verdana"/>
                <w:color w:val="000000"/>
                <w:sz w:val="18"/>
                <w:szCs w:val="18"/>
              </w:rPr>
              <w:t>Veiling locaties b</w:t>
            </w:r>
            <w:r w:rsidRPr="008A79DC" w:rsidR="00412663">
              <w:rPr>
                <w:rFonts w:ascii="Verdana" w:hAnsi="Verdana"/>
                <w:color w:val="000000"/>
                <w:sz w:val="18"/>
                <w:szCs w:val="18"/>
              </w:rPr>
              <w:t>enzine</w:t>
            </w:r>
            <w:r>
              <w:rPr>
                <w:rFonts w:ascii="Verdana" w:hAnsi="Verdana"/>
                <w:color w:val="000000"/>
                <w:sz w:val="18"/>
                <w:szCs w:val="18"/>
              </w:rPr>
              <w:t>stations</w:t>
            </w:r>
            <w:r w:rsidRPr="008A79DC" w:rsidR="00412663">
              <w:rPr>
                <w:rFonts w:ascii="Verdana" w:hAnsi="Verdana"/>
                <w:color w:val="000000"/>
                <w:sz w:val="18"/>
                <w:szCs w:val="18"/>
              </w:rPr>
              <w:t xml:space="preserve"> 2018</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44,0</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50,2</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Saneringsbijdrage wsg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385,7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Saneringsheffing corporaties 2018</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159,4</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23,4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568,5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618,7</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1.459,5</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1.459,5</w:t>
            </w:r>
          </w:p>
        </w:tc>
      </w:tr>
    </w:tbl>
    <w:p w:rsidRPr="008A79DC" w:rsidR="00412663" w:rsidP="00C41D99" w:rsidRDefault="00412663">
      <w:pPr>
        <w:spacing w:line="240" w:lineRule="exact"/>
        <w:rPr>
          <w:rFonts w:ascii="Verdana" w:hAnsi="Verdana" w:cs="Verdana"/>
          <w:b/>
          <w:bCs/>
          <w:sz w:val="18"/>
          <w:szCs w:val="18"/>
        </w:rPr>
      </w:pPr>
    </w:p>
    <w:p w:rsidR="001737F1" w:rsidP="00C41D99" w:rsidRDefault="001737F1">
      <w:pPr>
        <w:spacing w:line="240" w:lineRule="exact"/>
        <w:rPr>
          <w:rFonts w:ascii="Verdana" w:hAnsi="Verdana" w:cs="Verdana"/>
          <w:b/>
          <w:bCs/>
          <w:sz w:val="18"/>
          <w:szCs w:val="18"/>
        </w:rPr>
      </w:pPr>
    </w:p>
    <w:p w:rsidRPr="0091776E" w:rsidR="0091776E" w:rsidP="0091776E" w:rsidRDefault="0091776E">
      <w:pPr>
        <w:spacing w:line="240" w:lineRule="exact"/>
        <w:rPr>
          <w:rFonts w:ascii="Verdana" w:hAnsi="Verdana" w:cs="Verdana"/>
          <w:bCs/>
          <w:i/>
          <w:sz w:val="18"/>
          <w:szCs w:val="18"/>
        </w:rPr>
      </w:pPr>
      <w:r w:rsidRPr="0091776E">
        <w:rPr>
          <w:rFonts w:ascii="Verdana" w:hAnsi="Verdana" w:cs="Verdana"/>
          <w:bCs/>
          <w:i/>
          <w:sz w:val="18"/>
          <w:szCs w:val="18"/>
        </w:rPr>
        <w:t xml:space="preserve">Aardgasvrije wijken (proeftuinen) </w:t>
      </w:r>
    </w:p>
    <w:p w:rsidRPr="0091776E" w:rsidR="0091776E" w:rsidP="0091776E" w:rsidRDefault="0091776E">
      <w:pPr>
        <w:spacing w:line="240" w:lineRule="exact"/>
        <w:rPr>
          <w:rFonts w:ascii="Verdana" w:hAnsi="Verdana" w:cs="Verdana"/>
          <w:bCs/>
          <w:sz w:val="18"/>
          <w:szCs w:val="18"/>
        </w:rPr>
      </w:pPr>
      <w:r w:rsidRPr="0091776E">
        <w:rPr>
          <w:rFonts w:ascii="Verdana" w:hAnsi="Verdana" w:cs="Verdana"/>
          <w:bCs/>
          <w:sz w:val="18"/>
          <w:szCs w:val="18"/>
        </w:rPr>
        <w:t xml:space="preserve">BZK maakt via het gemeentefonds een bedrag over aan gemeenten voor de eerste proeftuinen voor het aardgasvrij maken van wijken. Hiervoor is binnen de klimaatenvelop 2018 85 mln. beschikbaar gesteld. Het resterende bedrag heeft BZK binnen de eigen begroting vrijgemaakt. </w:t>
      </w:r>
    </w:p>
    <w:p w:rsidRPr="0091776E" w:rsidR="0091776E" w:rsidP="0091776E" w:rsidRDefault="0091776E">
      <w:pPr>
        <w:spacing w:line="240" w:lineRule="exact"/>
        <w:rPr>
          <w:rFonts w:ascii="Verdana" w:hAnsi="Verdana" w:cs="Verdana"/>
          <w:bCs/>
          <w:sz w:val="18"/>
          <w:szCs w:val="18"/>
        </w:rPr>
      </w:pPr>
    </w:p>
    <w:p w:rsidRPr="0091776E" w:rsidR="0091776E" w:rsidP="0091776E" w:rsidRDefault="0091776E">
      <w:pPr>
        <w:spacing w:line="240" w:lineRule="exact"/>
        <w:rPr>
          <w:rFonts w:ascii="Verdana" w:hAnsi="Verdana" w:cs="Verdana"/>
          <w:bCs/>
          <w:i/>
          <w:sz w:val="18"/>
          <w:szCs w:val="18"/>
        </w:rPr>
      </w:pPr>
      <w:r w:rsidRPr="0091776E">
        <w:rPr>
          <w:rFonts w:ascii="Verdana" w:hAnsi="Verdana" w:cs="Verdana"/>
          <w:bCs/>
          <w:i/>
          <w:sz w:val="18"/>
          <w:szCs w:val="18"/>
        </w:rPr>
        <w:t>Saneringsbijdrage WSG - technische mutaties, uitgaven en niet-belastingontvangsten</w:t>
      </w:r>
    </w:p>
    <w:p w:rsidRPr="0091776E" w:rsidR="0091776E" w:rsidP="0091776E" w:rsidRDefault="0091776E">
      <w:pPr>
        <w:spacing w:line="240" w:lineRule="exact"/>
        <w:rPr>
          <w:rFonts w:ascii="Verdana" w:hAnsi="Verdana" w:cs="Verdana"/>
          <w:bCs/>
          <w:sz w:val="18"/>
          <w:szCs w:val="18"/>
        </w:rPr>
      </w:pPr>
      <w:r w:rsidRPr="0091776E">
        <w:rPr>
          <w:rFonts w:ascii="Verdana" w:hAnsi="Verdana" w:cs="Verdana"/>
          <w:bCs/>
          <w:sz w:val="18"/>
          <w:szCs w:val="18"/>
        </w:rPr>
        <w:t xml:space="preserve">Op 29 juni heeft de minister besloten om voor de financiële problemen bij woningcorporatie Woonstichting Geertruidenberg (WSG) een saneringssubsidie toe te kennen. Deze bijdrage wordt </w:t>
      </w:r>
      <w:r w:rsidRPr="0091776E">
        <w:rPr>
          <w:rFonts w:ascii="Verdana" w:hAnsi="Verdana" w:cs="Verdana"/>
          <w:bCs/>
          <w:sz w:val="18"/>
          <w:szCs w:val="18"/>
        </w:rPr>
        <w:lastRenderedPageBreak/>
        <w:t>betaald uit het saneringsfonds, dat aangezuiverd wordt met een heffing bij woningcorporaties (toegelaten instellingen).</w:t>
      </w:r>
    </w:p>
    <w:p w:rsidRPr="0091776E" w:rsidR="0091776E" w:rsidP="0091776E" w:rsidRDefault="0091776E">
      <w:pPr>
        <w:spacing w:line="240" w:lineRule="exact"/>
        <w:rPr>
          <w:rFonts w:ascii="Verdana" w:hAnsi="Verdana" w:cs="Verdana"/>
          <w:bCs/>
          <w:sz w:val="18"/>
          <w:szCs w:val="18"/>
        </w:rPr>
      </w:pPr>
    </w:p>
    <w:p w:rsidRPr="0091776E" w:rsidR="0091776E" w:rsidP="0091776E" w:rsidRDefault="0091776E">
      <w:pPr>
        <w:spacing w:line="240" w:lineRule="exact"/>
        <w:rPr>
          <w:rFonts w:ascii="Verdana" w:hAnsi="Verdana" w:cs="Verdana"/>
          <w:bCs/>
          <w:i/>
          <w:sz w:val="18"/>
          <w:szCs w:val="18"/>
        </w:rPr>
      </w:pPr>
      <w:r w:rsidRPr="0091776E">
        <w:rPr>
          <w:rFonts w:ascii="Verdana" w:hAnsi="Verdana" w:cs="Verdana"/>
          <w:bCs/>
          <w:i/>
          <w:sz w:val="18"/>
          <w:szCs w:val="18"/>
        </w:rPr>
        <w:t>Saneringsheffing woningcorporaties 2018 - technische mutaties, uitgaven en niet-belastingontvangsten</w:t>
      </w:r>
    </w:p>
    <w:p w:rsidRPr="0091776E" w:rsidR="0091776E" w:rsidP="0091776E" w:rsidRDefault="0091776E">
      <w:pPr>
        <w:spacing w:line="240" w:lineRule="exact"/>
        <w:rPr>
          <w:rFonts w:ascii="Verdana" w:hAnsi="Verdana" w:cs="Verdana"/>
          <w:bCs/>
          <w:sz w:val="18"/>
          <w:szCs w:val="18"/>
        </w:rPr>
      </w:pPr>
      <w:r w:rsidRPr="0091776E">
        <w:rPr>
          <w:rFonts w:ascii="Verdana" w:hAnsi="Verdana" w:cs="Verdana"/>
          <w:bCs/>
          <w:sz w:val="18"/>
          <w:szCs w:val="18"/>
        </w:rPr>
        <w:t>Er wordt een heffing opgelegd aan de woningcorporaties (toegelaten instellingen) voor de aanzuivering van het saneringsfonds om de kosten, zoals de bovengenoemde saneringssubsidie, te kunnen bekostigen. Deze heffing wordt opgebracht door de corporatiesector zelf en loopt via de begroting van BZK.</w:t>
      </w:r>
    </w:p>
    <w:p w:rsidRPr="0091776E" w:rsidR="0091776E" w:rsidP="0091776E" w:rsidRDefault="0091776E">
      <w:pPr>
        <w:spacing w:line="240" w:lineRule="exact"/>
        <w:rPr>
          <w:rFonts w:ascii="Verdana" w:hAnsi="Verdana" w:cs="Verdana"/>
          <w:bCs/>
          <w:sz w:val="18"/>
          <w:szCs w:val="18"/>
        </w:rPr>
      </w:pPr>
    </w:p>
    <w:p w:rsidRPr="0091776E" w:rsidR="0091776E" w:rsidP="0091776E" w:rsidRDefault="0091776E">
      <w:pPr>
        <w:spacing w:line="240" w:lineRule="exact"/>
        <w:rPr>
          <w:rFonts w:ascii="Verdana" w:hAnsi="Verdana" w:cs="Verdana"/>
          <w:bCs/>
          <w:i/>
          <w:sz w:val="18"/>
          <w:szCs w:val="18"/>
        </w:rPr>
      </w:pPr>
      <w:r w:rsidRPr="0091776E">
        <w:rPr>
          <w:rFonts w:ascii="Verdana" w:hAnsi="Verdana" w:cs="Verdana"/>
          <w:bCs/>
          <w:i/>
          <w:sz w:val="18"/>
          <w:szCs w:val="18"/>
        </w:rPr>
        <w:t>Diversen - technische mutaties, uitgaven en niet-belastingontvangsten</w:t>
      </w:r>
    </w:p>
    <w:p w:rsidRPr="0091776E" w:rsidR="0091776E" w:rsidP="0091776E" w:rsidRDefault="0091776E">
      <w:pPr>
        <w:spacing w:line="240" w:lineRule="exact"/>
        <w:rPr>
          <w:rFonts w:ascii="Verdana" w:hAnsi="Verdana" w:cs="Verdana"/>
          <w:bCs/>
          <w:sz w:val="18"/>
          <w:szCs w:val="18"/>
        </w:rPr>
      </w:pPr>
      <w:r w:rsidRPr="0091776E">
        <w:rPr>
          <w:rFonts w:ascii="Verdana" w:hAnsi="Verdana" w:cs="Verdana"/>
          <w:bCs/>
          <w:sz w:val="18"/>
          <w:szCs w:val="18"/>
        </w:rPr>
        <w:t xml:space="preserve">BZK maakt o.a. eenmalig een bedrag over aan het Gemeentefonds voor de verhoging van de vergoeding van raadsleden in kleine gemeenten. Daarnaast draagt BZK bij aan regionale woningmarktpilots om de Nationale Woonagenda uit te voeren en aan initiatieven voor het versterken van de integriteit en veiligheid van politieke ambtsdragers. Om doorstroming en de flexibiliteit van statushouders naar huisvesting te stimuleren maakt BZK middelen over naar J&amp;V voor pilots voor flexwonen, die gemeenten onder regie van het COA uitvoeren. Ook maakt BZK eenmalig een eigenaarsbijdrage over aan SSC-ICT voor de afwikkeling van ongedekte oude problematiek. BZK heeft concrete afspraken gemaakt ter verbetering en aanpak van de onderliggende problematiek. De onderuitputting op de budgetten voor digitale overheidsdienstverlening (GDI) in 2017 en 2018 worden eenmalig teruggeboekt naar de oorspronkelijke inleggers. Tot slot ontvangt BZK van Defensie een bijdrage voor de Joint Sigint Cyber Unit. </w:t>
      </w:r>
    </w:p>
    <w:p w:rsidRPr="0091776E" w:rsidR="0091776E" w:rsidP="0091776E" w:rsidRDefault="0091776E">
      <w:pPr>
        <w:spacing w:line="240" w:lineRule="exact"/>
        <w:rPr>
          <w:rFonts w:ascii="Verdana" w:hAnsi="Verdana" w:cs="Verdana"/>
          <w:bCs/>
          <w:sz w:val="18"/>
          <w:szCs w:val="18"/>
        </w:rPr>
      </w:pPr>
    </w:p>
    <w:p w:rsidRPr="0091776E" w:rsidR="0091776E" w:rsidP="0091776E" w:rsidRDefault="0091776E">
      <w:pPr>
        <w:spacing w:line="240" w:lineRule="exact"/>
        <w:rPr>
          <w:rFonts w:ascii="Verdana" w:hAnsi="Verdana" w:cs="Verdana"/>
          <w:bCs/>
          <w:i/>
          <w:sz w:val="18"/>
          <w:szCs w:val="18"/>
        </w:rPr>
      </w:pPr>
      <w:r w:rsidRPr="0091776E">
        <w:rPr>
          <w:rFonts w:ascii="Verdana" w:hAnsi="Verdana" w:cs="Verdana"/>
          <w:bCs/>
          <w:i/>
          <w:sz w:val="18"/>
          <w:szCs w:val="18"/>
        </w:rPr>
        <w:t>Veiling locaties benzinestations 2018</w:t>
      </w:r>
    </w:p>
    <w:p w:rsidRPr="00957BDF" w:rsidR="00957BDF" w:rsidP="0091776E" w:rsidRDefault="0091776E">
      <w:pPr>
        <w:spacing w:line="240" w:lineRule="exact"/>
        <w:rPr>
          <w:rFonts w:ascii="Verdana" w:hAnsi="Verdana" w:cs="Verdana"/>
          <w:bCs/>
          <w:sz w:val="18"/>
          <w:szCs w:val="18"/>
        </w:rPr>
      </w:pPr>
      <w:r w:rsidRPr="0091776E">
        <w:rPr>
          <w:rFonts w:ascii="Verdana" w:hAnsi="Verdana" w:cs="Verdana"/>
          <w:bCs/>
          <w:sz w:val="18"/>
          <w:szCs w:val="18"/>
        </w:rPr>
        <w:t>De veiling van locaties van benzinestations langs Rijkswegen heeft meer opgebracht dan geraamd</w:t>
      </w:r>
      <w:r w:rsidR="00957BDF">
        <w:rPr>
          <w:rFonts w:ascii="Verdana" w:hAnsi="Verdana" w:cs="Verdana"/>
          <w:bCs/>
          <w:sz w:val="18"/>
          <w:szCs w:val="18"/>
        </w:rPr>
        <w:t>.</w:t>
      </w: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Onderwijs, Cultuur en Wetenschap</w:t>
            </w:r>
          </w:p>
          <w:p w:rsidRPr="008A79DC" w:rsidR="00EA6730" w:rsidRDefault="00EA6730">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46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VIII ONDERWIJS, CULTUUR EN WETENSCHAP: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42.500,5</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Omzettingen, 2e sup, artikel 11</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66,0</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-38,9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27,1</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P="007B36EB" w:rsidRDefault="007B36EB">
            <w:pPr>
              <w:jc w:val="right"/>
              <w:rPr>
                <w:rFonts w:ascii="Verdana" w:hAnsi="Verdana"/>
                <w:color w:val="000000"/>
                <w:sz w:val="18"/>
                <w:szCs w:val="18"/>
              </w:rPr>
            </w:pPr>
            <w:r>
              <w:rPr>
                <w:rFonts w:ascii="Verdana" w:hAnsi="Verdana"/>
                <w:color w:val="000000"/>
                <w:sz w:val="18"/>
                <w:szCs w:val="18"/>
              </w:rPr>
              <w:t>36,6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P="007B36EB" w:rsidRDefault="007B36EB">
            <w:pPr>
              <w:jc w:val="right"/>
              <w:rPr>
                <w:rFonts w:ascii="Verdana" w:hAnsi="Verdana"/>
                <w:color w:val="000000"/>
                <w:sz w:val="18"/>
                <w:szCs w:val="18"/>
              </w:rPr>
            </w:pPr>
            <w:r>
              <w:rPr>
                <w:rFonts w:ascii="Verdana" w:hAnsi="Verdana"/>
                <w:color w:val="000000"/>
                <w:sz w:val="18"/>
                <w:szCs w:val="18"/>
              </w:rPr>
              <w:t>36,6</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4,5</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Mutatie inkomensoverdrachten nr artikel 11</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97,0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Mutatie leningen nr artikel 11</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-180,0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Omzettingen, 2e sup, artikel 11</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-66,0</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-143,5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P="007B36EB" w:rsidRDefault="00412663">
            <w:pPr>
              <w:jc w:val="right"/>
              <w:rPr>
                <w:rFonts w:ascii="Verdana" w:hAnsi="Verdana"/>
                <w:color w:val="000000"/>
                <w:sz w:val="18"/>
                <w:szCs w:val="18"/>
              </w:rPr>
            </w:pPr>
            <w:r w:rsidRPr="008A79DC">
              <w:rPr>
                <w:rFonts w:ascii="Verdana" w:hAnsi="Verdana"/>
                <w:color w:val="000000"/>
                <w:sz w:val="18"/>
                <w:szCs w:val="18"/>
              </w:rPr>
              <w:t>-</w:t>
            </w:r>
            <w:r w:rsidR="007B36EB">
              <w:rPr>
                <w:rFonts w:ascii="Verdana" w:hAnsi="Verdana"/>
                <w:color w:val="000000"/>
                <w:sz w:val="18"/>
                <w:szCs w:val="18"/>
              </w:rPr>
              <w:t>55,9</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P="007B36EB" w:rsidRDefault="00412663">
            <w:pPr>
              <w:jc w:val="right"/>
              <w:rPr>
                <w:rFonts w:ascii="Verdana" w:hAnsi="Verdana"/>
                <w:color w:val="000000"/>
                <w:sz w:val="18"/>
                <w:szCs w:val="18"/>
              </w:rPr>
            </w:pPr>
            <w:r w:rsidRPr="008A79DC">
              <w:rPr>
                <w:rFonts w:ascii="Verdana" w:hAnsi="Verdana"/>
                <w:color w:val="000000"/>
                <w:sz w:val="18"/>
                <w:szCs w:val="18"/>
              </w:rPr>
              <w:t>42.4</w:t>
            </w:r>
            <w:r w:rsidR="007B36EB">
              <w:rPr>
                <w:rFonts w:ascii="Verdana" w:hAnsi="Verdana"/>
                <w:color w:val="000000"/>
                <w:sz w:val="18"/>
                <w:szCs w:val="18"/>
              </w:rPr>
              <w:t>44</w:t>
            </w:r>
            <w:r w:rsidRPr="008A79DC">
              <w:rPr>
                <w:rFonts w:ascii="Verdana" w:hAnsi="Verdana"/>
                <w:color w:val="000000"/>
                <w:sz w:val="18"/>
                <w:szCs w:val="18"/>
              </w:rPr>
              <w:t>,</w:t>
            </w:r>
            <w:r w:rsidR="007B36EB">
              <w:rPr>
                <w:rFonts w:ascii="Verdana" w:hAnsi="Verdana"/>
                <w:color w:val="000000"/>
                <w:sz w:val="18"/>
                <w:szCs w:val="18"/>
              </w:rPr>
              <w:t>6</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60,3</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P="007B36EB" w:rsidRDefault="00412663">
            <w:pPr>
              <w:jc w:val="right"/>
              <w:rPr>
                <w:rFonts w:ascii="Verdana" w:hAnsi="Verdana"/>
                <w:color w:val="000000"/>
                <w:sz w:val="18"/>
                <w:szCs w:val="18"/>
              </w:rPr>
            </w:pPr>
            <w:r w:rsidRPr="008A79DC">
              <w:rPr>
                <w:rFonts w:ascii="Verdana" w:hAnsi="Verdana"/>
                <w:color w:val="000000"/>
                <w:sz w:val="18"/>
                <w:szCs w:val="18"/>
              </w:rPr>
              <w:t>42.</w:t>
            </w:r>
            <w:r w:rsidR="007B36EB">
              <w:rPr>
                <w:rFonts w:ascii="Verdana" w:hAnsi="Verdana"/>
                <w:color w:val="000000"/>
                <w:sz w:val="18"/>
                <w:szCs w:val="18"/>
              </w:rPr>
              <w:t>504,9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46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VIII ONDERWIJS, CULTUUR EN WETENSCHAP: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1.317,3</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29,1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29,1</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39,7</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1.357,0</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1.357,0</w:t>
            </w:r>
          </w:p>
        </w:tc>
      </w:tr>
    </w:tbl>
    <w:p w:rsidRPr="008A79DC" w:rsidR="00412663" w:rsidP="00C41D99" w:rsidRDefault="00412663">
      <w:pPr>
        <w:spacing w:line="240" w:lineRule="exact"/>
        <w:rPr>
          <w:rFonts w:ascii="Verdana" w:hAnsi="Verdana" w:cs="Verdana"/>
          <w:b/>
          <w:bCs/>
          <w:sz w:val="18"/>
          <w:szCs w:val="18"/>
        </w:rPr>
      </w:pPr>
    </w:p>
    <w:p w:rsidRPr="008A79DC" w:rsidR="00EA6730" w:rsidP="00C41D99" w:rsidRDefault="00EA6730">
      <w:pPr>
        <w:spacing w:line="240" w:lineRule="exact"/>
        <w:rPr>
          <w:rFonts w:ascii="Verdana" w:hAnsi="Verdana" w:cs="Verdana"/>
          <w:b/>
          <w:bCs/>
          <w:sz w:val="18"/>
          <w:szCs w:val="18"/>
        </w:rPr>
      </w:pPr>
    </w:p>
    <w:p w:rsidRPr="008A79DC" w:rsidR="00EA6730" w:rsidP="00EA6730" w:rsidRDefault="00EA6730">
      <w:pPr>
        <w:spacing w:line="240" w:lineRule="atLeast"/>
        <w:rPr>
          <w:rFonts w:ascii="Verdana" w:hAnsi="Verdana" w:eastAsia="Calibri"/>
          <w:i/>
          <w:sz w:val="18"/>
          <w:szCs w:val="18"/>
          <w:lang w:eastAsia="en-US"/>
        </w:rPr>
      </w:pPr>
      <w:r w:rsidRPr="008A79DC">
        <w:rPr>
          <w:rFonts w:ascii="Verdana" w:hAnsi="Verdana" w:eastAsia="Calibri"/>
          <w:i/>
          <w:sz w:val="18"/>
          <w:szCs w:val="18"/>
          <w:lang w:eastAsia="en-US"/>
        </w:rPr>
        <w:t>Omzettingen, 2e sup, artikel 11 - mee- en tegenvallers</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 xml:space="preserve">Op een aantal posten is een wijziging van de boekingsgang van de diploma-omzetting verwerkt. Dit werd bijna altijd per 1 januari gedaan volgend op het afstuderen, maar in het nieuwe studiefinancieringssysteem is dit voor een aantal groepen studenten aangepast, zodat de </w:t>
      </w:r>
      <w:r w:rsidRPr="008A79DC">
        <w:rPr>
          <w:rFonts w:ascii="Verdana" w:hAnsi="Verdana" w:eastAsia="Calibri"/>
          <w:sz w:val="18"/>
          <w:szCs w:val="18"/>
          <w:lang w:eastAsia="en-US"/>
        </w:rPr>
        <w:lastRenderedPageBreak/>
        <w:t>boekingsgang meteen na afstuderen gebeurt en de student weet welk deel van de studiefinanciering in een gift wordt omgezet. Dit vergroot de begrijpelijkheid van het stelsel en voorkomt mogelijke vragen. Het betreft hier studenten die al aan het terugbetalen zijn, studenten die bijna moeten beginnen met terugbetalen en studenten waarvan de diplomatermijn binnen een jaar verstrijkt of al verstreken is. Deze wijziging resulteert in een verschuiving van 66,0 mln. van niet-relevante uitgaven naar relevante uitgaven in 2018.</w:t>
      </w:r>
    </w:p>
    <w:p w:rsidRPr="008A79DC" w:rsidR="00EA6730" w:rsidP="00EA6730" w:rsidRDefault="00EA6730">
      <w:pPr>
        <w:spacing w:line="240" w:lineRule="atLeast"/>
        <w:rPr>
          <w:rFonts w:ascii="Verdana" w:hAnsi="Verdana" w:eastAsia="Calibri"/>
          <w:sz w:val="18"/>
          <w:szCs w:val="18"/>
          <w:lang w:eastAsia="en-US"/>
        </w:rPr>
      </w:pPr>
    </w:p>
    <w:p w:rsidRPr="008A79DC" w:rsidR="00EA6730" w:rsidP="00EA6730" w:rsidRDefault="00EA6730">
      <w:pPr>
        <w:spacing w:line="240" w:lineRule="atLeast"/>
        <w:rPr>
          <w:rFonts w:ascii="Verdana" w:hAnsi="Verdana" w:eastAsia="Calibri"/>
          <w:i/>
          <w:sz w:val="18"/>
          <w:szCs w:val="18"/>
          <w:lang w:eastAsia="en-US"/>
        </w:rPr>
      </w:pPr>
      <w:r w:rsidRPr="008A79DC">
        <w:rPr>
          <w:rFonts w:ascii="Verdana" w:hAnsi="Verdana" w:eastAsia="Calibri"/>
          <w:i/>
          <w:sz w:val="18"/>
          <w:szCs w:val="18"/>
          <w:lang w:eastAsia="en-US"/>
        </w:rPr>
        <w:t>Diversen - mee- en tegenvallers</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Een grote meevaller (18,5 mln.) komt door de gewichtenregeling bij artikel 1 Primair onderwijs. Scholen ontvangen door deze regeling een hogere bekostiging als zij meer leerlingen hebben met laagopgeleide ouders. Dit jaar vielen de uitgaven aan deze regeling lager uit dan verwacht doordat er minder kinderen waren met laagopgeleide ouders dan geraamd. Bij de regeling team- en schoolleidersbeurs is er een meevaller van 5 mln. door minder aanvragen als gevolg van het lerarentekort.</w:t>
      </w:r>
    </w:p>
    <w:p w:rsidRPr="008A79DC" w:rsidR="00EA6730" w:rsidP="00EA6730" w:rsidRDefault="00EA6730">
      <w:pPr>
        <w:spacing w:line="240" w:lineRule="atLeast"/>
        <w:rPr>
          <w:rFonts w:ascii="Verdana" w:hAnsi="Verdana" w:eastAsia="Calibri"/>
          <w:sz w:val="18"/>
          <w:szCs w:val="18"/>
          <w:lang w:eastAsia="en-US"/>
        </w:rPr>
      </w:pP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Daarnaast is er per saldo een meevaller van 6,5 mln. op artikel 11 Studiefinanciering. Dit wordt veroorzaakt door de volgende vier mutaties. (1) Het budget voor de basisbeurs gift wordt met 5 mln. euro verhoogd. Uit realisatiegegevens van DUO tot en met juli 2018 blijkt dat de uitgaven hoger zijn dan geraamd. Het betreft hier voornamelijk toekenningen in het mbo. (2) De post reisvoorziening prestatiebeurs gift is met 5 mln. euro verhoogd. Er wordt minder reisvoorziening aan bol-studenten opgeboekt dan was geraamd. Door het tegenboekeffect (het betreft hier een negatieve post) zorgt dit voor een opwaartse bijstelling. (3) De overige relevante uitgaven zijn met 15 mln. euro naar beneden bijgesteld. Dit komt doordat in mei het nieuwe ICT-systeem in werking trad. Hierdoor is er een stuk minder achterstallig lager recht (ALR) en daardoor minder kortlopende vorderingen die als relevante uitgaven worden geboekt. (4) De post Caribisch Nederland wordt met 1,5 mln. euro naar beneden bijgesteld. Dit is het gevolg van lager dan verwachte realisaties.</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Verder bestaat deze post uit diverse mee- en tegenvallers die per stuk kleiner zijn dan 1 mln.</w:t>
      </w:r>
    </w:p>
    <w:p w:rsidR="00EA6730" w:rsidP="00EA6730" w:rsidRDefault="00EA6730">
      <w:pPr>
        <w:spacing w:line="240" w:lineRule="atLeast"/>
        <w:rPr>
          <w:rFonts w:ascii="Verdana" w:hAnsi="Verdana" w:eastAsia="Calibri"/>
          <w:sz w:val="18"/>
          <w:szCs w:val="18"/>
          <w:lang w:eastAsia="en-US"/>
        </w:rPr>
      </w:pPr>
    </w:p>
    <w:p w:rsidR="007B36EB" w:rsidP="00EA6730" w:rsidRDefault="007B36EB">
      <w:pPr>
        <w:spacing w:line="240" w:lineRule="atLeast"/>
        <w:rPr>
          <w:rFonts w:ascii="Verdana" w:hAnsi="Verdana" w:eastAsia="Calibri"/>
          <w:sz w:val="18"/>
          <w:szCs w:val="18"/>
          <w:lang w:eastAsia="en-US"/>
        </w:rPr>
      </w:pPr>
      <w:r w:rsidRPr="007B36EB">
        <w:rPr>
          <w:rFonts w:ascii="Verdana" w:hAnsi="Verdana" w:eastAsia="Calibri"/>
          <w:sz w:val="18"/>
          <w:szCs w:val="18"/>
          <w:lang w:eastAsia="en-US"/>
        </w:rPr>
        <w:t>Ook maakt OCW een bijdrage over aan DUO ter dekking van problematiek in de uitvoering. Er zijn concrete afspraken gemaakt ter verbetering en aanpak van de onderliggende problematiek.</w:t>
      </w:r>
    </w:p>
    <w:p w:rsidRPr="008A79DC" w:rsidR="007B36EB" w:rsidP="00EA6730" w:rsidRDefault="007B36EB">
      <w:pPr>
        <w:spacing w:line="240" w:lineRule="atLeast"/>
        <w:rPr>
          <w:rFonts w:ascii="Verdana" w:hAnsi="Verdana" w:eastAsia="Calibri"/>
          <w:sz w:val="18"/>
          <w:szCs w:val="18"/>
          <w:lang w:eastAsia="en-US"/>
        </w:rPr>
      </w:pPr>
    </w:p>
    <w:p w:rsidRPr="008A79DC" w:rsidR="00EA6730" w:rsidP="00EA6730" w:rsidRDefault="00EA6730">
      <w:pPr>
        <w:spacing w:line="240" w:lineRule="atLeast"/>
        <w:rPr>
          <w:rFonts w:ascii="Verdana" w:hAnsi="Verdana" w:eastAsia="Calibri"/>
          <w:i/>
          <w:sz w:val="18"/>
          <w:szCs w:val="18"/>
          <w:lang w:eastAsia="en-US"/>
        </w:rPr>
      </w:pPr>
      <w:r w:rsidRPr="008A79DC">
        <w:rPr>
          <w:rFonts w:ascii="Verdana" w:hAnsi="Verdana" w:eastAsia="Calibri"/>
          <w:i/>
          <w:sz w:val="18"/>
          <w:szCs w:val="18"/>
          <w:lang w:eastAsia="en-US"/>
        </w:rPr>
        <w:t>Diversen - beleidsmatige mutaties</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 xml:space="preserve">Deze post bestaat o.a. uit overboekingen, overlopende verplichtingen en een tweetal mutaties m.b.t. kasschuiven. Een overlopende verplichting van 4,8 mln. vindt plaats vanwege vertraging bij huisvesting in Caribisch Nederland. Op een aantal huisvestingsprojecten is door bestuurlijke omstandigheden vertraging in de uitvoering ontstaan. Voor deze projecten zijn al wel juridische verplichtingen aangegaan. Ook heeft een aantal herstelwerkzaamheden na de orkaan Irma vertraging opgelopen. Daarnaast blijft er 3,4 mln. over op de doorstroomregeling mbo-hbo. </w:t>
      </w:r>
    </w:p>
    <w:p w:rsidRPr="008A79DC" w:rsidR="00EA6730" w:rsidP="00EA6730" w:rsidRDefault="00EA6730">
      <w:pPr>
        <w:spacing w:line="240" w:lineRule="atLeast"/>
        <w:rPr>
          <w:rFonts w:ascii="Verdana" w:hAnsi="Verdana" w:eastAsia="Calibri"/>
          <w:sz w:val="18"/>
          <w:szCs w:val="18"/>
          <w:lang w:eastAsia="en-US"/>
        </w:rPr>
      </w:pP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Ook bevat deze post de dekking van het amendement Van den Hul om de korting op de subsidieregeling praktijkleren in 2019 terug te draaien. Hiervoor wordt het budget voor OV-bedrijven met 19,5 mln. verlaagd in 2019. Om te voorkomen dat dit ertoe leidt dat OV-bedrijven worden gekort, wordt de OCW-begroting in 2018 met 19,5 mln. verhoogd op artikel 11 (</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 xml:space="preserve">Studiefinanciering, zodat er een vooruitbetaling kan worden gedaan aan de OV-bedrijven. </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De tegenvallende STER-inkomsten worden gecompenseerd uit de Algemene Mediareserve (AMr). Aangezien de AMr hiervoor niet toereikend is, wordt deze aangevuld door een kasschuif. Hierbij wordt vanuit het generale beeld 15 mln. aan de AMr toegevoegd in 2018. Dit wordt in 2019 in mindering gebracht op de middelen die dan in de AMr zouden vloeien.</w:t>
      </w:r>
    </w:p>
    <w:p w:rsidRPr="008A79DC" w:rsidR="00EA6730" w:rsidP="00EA6730" w:rsidRDefault="00EA6730">
      <w:pPr>
        <w:spacing w:line="240" w:lineRule="atLeast"/>
        <w:rPr>
          <w:rFonts w:ascii="Verdana" w:hAnsi="Verdana" w:eastAsia="Calibri"/>
          <w:sz w:val="18"/>
          <w:szCs w:val="18"/>
          <w:lang w:eastAsia="en-US"/>
        </w:rPr>
      </w:pPr>
    </w:p>
    <w:p w:rsidRPr="008A79DC" w:rsidR="00EA6730" w:rsidP="00EA6730" w:rsidRDefault="00EA6730">
      <w:pPr>
        <w:spacing w:line="240" w:lineRule="atLeast"/>
        <w:rPr>
          <w:rFonts w:ascii="Verdana" w:hAnsi="Verdana" w:eastAsia="Calibri"/>
          <w:i/>
          <w:sz w:val="18"/>
          <w:szCs w:val="18"/>
          <w:lang w:eastAsia="en-US"/>
        </w:rPr>
      </w:pPr>
      <w:r w:rsidRPr="008A79DC">
        <w:rPr>
          <w:rFonts w:ascii="Verdana" w:hAnsi="Verdana" w:eastAsia="Calibri"/>
          <w:i/>
          <w:sz w:val="18"/>
          <w:szCs w:val="18"/>
          <w:lang w:eastAsia="en-US"/>
        </w:rPr>
        <w:t>Diversen - technische mutaties</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Deze post bestaat grotendeels uit enkele grote overboekingen en drie desalderingen. Een grote overboeking (9,3 mln.) heeft te maken met het Dienst Justitiële Inrichtingen (DJI). Door een dalend aantal plaatsen in justitiële jeugdinrichtingen dalen ook de kosten voor onderwijs. De teveel ontvangen bijdrage wordt terugbetaald aan het DJI. Daarnaast is er een overboeking van 5,1 mln. voor de bijdrage van OCW aan BZK voor het akkoord met Pensioenfonds Caribisch Nederland.</w:t>
      </w:r>
    </w:p>
    <w:p w:rsidRPr="008A79DC" w:rsidR="00EA6730" w:rsidP="00EA6730" w:rsidRDefault="00EA6730">
      <w:pPr>
        <w:spacing w:line="240" w:lineRule="atLeast"/>
        <w:rPr>
          <w:rFonts w:ascii="Verdana" w:hAnsi="Verdana" w:eastAsia="Calibri"/>
          <w:sz w:val="18"/>
          <w:szCs w:val="18"/>
          <w:lang w:eastAsia="en-US"/>
        </w:rPr>
      </w:pP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lastRenderedPageBreak/>
        <w:t xml:space="preserve">De eerste desaldering van 26 mln. vindt plaats op artikel 1. Dit betreft de storting aan het Participatiefonds van de terugvorderingen bij scholen als gevolg van onterechte declaraties van wachtgeldkosten. De tweede desaldering heeft te maken met schatkistbankieren. Het budget voor de begrotingsreserve schatkistbankieren wordt per saldo met 1,2 mln. verhoogd. OCW staat garant voor onderwijsinstellingen die bij de Staat lenen (schatkistbankieren). Voor het risico dat OCW hierdoor loopt, ontvangt OCW een vergoeding (risicopremie). Deze premie wordt via een desaldering toegevoegd aan de begrotingsreserve schatkistbankieren. De derde desaldering heeft te maken met de tegenvallende reclameopbrengsten. </w:t>
      </w:r>
      <w:r w:rsidRPr="008A79DC" w:rsidR="00636BA5">
        <w:rPr>
          <w:rFonts w:ascii="Verdana" w:hAnsi="Verdana" w:eastAsia="Calibri"/>
          <w:sz w:val="18"/>
          <w:szCs w:val="18"/>
          <w:lang w:eastAsia="en-US"/>
        </w:rPr>
        <w:t>Op</w:t>
      </w:r>
      <w:r w:rsidRPr="008A79DC">
        <w:rPr>
          <w:rFonts w:ascii="Verdana" w:hAnsi="Verdana" w:eastAsia="Calibri"/>
          <w:sz w:val="18"/>
          <w:szCs w:val="18"/>
          <w:lang w:eastAsia="en-US"/>
        </w:rPr>
        <w:t xml:space="preserve"> artikel 15 Media wordt 16,6 mln. onttrokken aan de AMr om te compenseren voor de tegenvallende reclameopbrengsten. </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Verder bestaat deze post uit diverse overboekingen die per stuk kleiner zijn dan 1 mln.</w:t>
      </w:r>
    </w:p>
    <w:p w:rsidRPr="008A79DC" w:rsidR="00EA6730" w:rsidP="00EA6730" w:rsidRDefault="00EA6730">
      <w:pPr>
        <w:spacing w:line="240" w:lineRule="atLeast"/>
        <w:rPr>
          <w:rFonts w:ascii="Verdana" w:hAnsi="Verdana" w:eastAsia="Calibri"/>
          <w:sz w:val="18"/>
          <w:szCs w:val="18"/>
          <w:lang w:eastAsia="en-US"/>
        </w:rPr>
      </w:pPr>
    </w:p>
    <w:p w:rsidRPr="008A79DC" w:rsidR="00EA6730" w:rsidP="00EA6730" w:rsidRDefault="00EA6730">
      <w:pPr>
        <w:spacing w:line="240" w:lineRule="atLeast"/>
        <w:rPr>
          <w:rFonts w:ascii="Verdana" w:hAnsi="Verdana" w:cs="Calibri"/>
          <w:i/>
          <w:color w:val="000000"/>
          <w:sz w:val="18"/>
          <w:szCs w:val="18"/>
        </w:rPr>
      </w:pPr>
      <w:r w:rsidRPr="008A79DC">
        <w:rPr>
          <w:rFonts w:ascii="Verdana" w:hAnsi="Verdana" w:cs="Calibri"/>
          <w:i/>
          <w:color w:val="000000"/>
          <w:sz w:val="18"/>
          <w:szCs w:val="18"/>
        </w:rPr>
        <w:t xml:space="preserve">Mutatie inkomensoverdrachten nr artikel 11 </w:t>
      </w:r>
      <w:r w:rsidRPr="008A79DC" w:rsidR="00636BA5">
        <w:rPr>
          <w:rFonts w:ascii="Verdana" w:hAnsi="Verdana" w:cs="Calibri"/>
          <w:i/>
          <w:color w:val="000000"/>
          <w:sz w:val="18"/>
          <w:szCs w:val="18"/>
        </w:rPr>
        <w:t>- n</w:t>
      </w:r>
      <w:r w:rsidRPr="008A79DC">
        <w:rPr>
          <w:rFonts w:ascii="Verdana" w:hAnsi="Verdana" w:cs="Calibri"/>
          <w:i/>
          <w:color w:val="000000"/>
          <w:sz w:val="18"/>
          <w:szCs w:val="18"/>
        </w:rPr>
        <w:t>iet relevant voor het uitgavenplafond</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 xml:space="preserve">De niet-relevante uitgaven basisbeurs zijn naar beneden bijgesteld met 10 mln. als gevolg van de reeds bekende realisatie. Dit heeft te maken met de tot nu toe gerealiseerde bedragen op de toekenningen. De niet-relevante uitgaven aanvullende beurs zijn naar beneden bijgesteld met 13 mln. als gevolg van de reeds bekende realisatie. Dit heeft te maken met de tot nu toe gerealiseerde bedragen op de toekenningen. De niet-relevante post reisvoorziening wordt </w:t>
      </w:r>
      <w:r w:rsidRPr="008A79DC" w:rsidR="00636BA5">
        <w:rPr>
          <w:rFonts w:ascii="Verdana" w:hAnsi="Verdana" w:eastAsia="Calibri"/>
          <w:sz w:val="18"/>
          <w:szCs w:val="18"/>
          <w:lang w:eastAsia="en-US"/>
        </w:rPr>
        <w:t xml:space="preserve">met 5 mln. naar beneden </w:t>
      </w:r>
      <w:r w:rsidRPr="008A79DC">
        <w:rPr>
          <w:rFonts w:ascii="Verdana" w:hAnsi="Verdana" w:eastAsia="Calibri"/>
          <w:sz w:val="18"/>
          <w:szCs w:val="18"/>
          <w:lang w:eastAsia="en-US"/>
        </w:rPr>
        <w:t xml:space="preserve">bijgesteld. Dit is de tegenboeking van de 5 mln. op de post reisvoorziening prestatiebeurs. De niet-relevante overige uitgaven zijn naar boven bijgesteld met 125 mln. Dit is het gevolg van </w:t>
      </w:r>
      <w:r w:rsidRPr="008A79DC" w:rsidR="00636BA5">
        <w:rPr>
          <w:rFonts w:ascii="Verdana" w:hAnsi="Verdana" w:eastAsia="Calibri"/>
          <w:sz w:val="18"/>
          <w:szCs w:val="18"/>
          <w:lang w:eastAsia="en-US"/>
        </w:rPr>
        <w:t>de invoering van het nieuwe PVS-</w:t>
      </w:r>
      <w:r w:rsidRPr="008A79DC">
        <w:rPr>
          <w:rFonts w:ascii="Verdana" w:hAnsi="Verdana" w:eastAsia="Calibri"/>
          <w:sz w:val="18"/>
          <w:szCs w:val="18"/>
          <w:lang w:eastAsia="en-US"/>
        </w:rPr>
        <w:t>systeem. De omzetting van prestatiebeurzen naar een lening vindt nu plaats na het verstrijken van de diplomatermijn in plaats van direct. Dit heeft een grote bijstelling omhoog tot gevolg.</w:t>
      </w:r>
    </w:p>
    <w:p w:rsidRPr="008A79DC" w:rsidR="00EA6730" w:rsidP="00EA6730" w:rsidRDefault="00EA6730">
      <w:pPr>
        <w:spacing w:line="240" w:lineRule="atLeast"/>
        <w:rPr>
          <w:rFonts w:ascii="Verdana" w:hAnsi="Verdana" w:cs="Calibri"/>
          <w:color w:val="000000"/>
          <w:sz w:val="18"/>
          <w:szCs w:val="18"/>
        </w:rPr>
      </w:pPr>
    </w:p>
    <w:p w:rsidRPr="008A79DC" w:rsidR="00EA6730" w:rsidP="00EA6730" w:rsidRDefault="00EA6730">
      <w:pPr>
        <w:spacing w:line="240" w:lineRule="atLeast"/>
        <w:rPr>
          <w:rFonts w:ascii="Verdana" w:hAnsi="Verdana" w:cs="Calibri"/>
          <w:i/>
          <w:color w:val="000000"/>
          <w:sz w:val="18"/>
          <w:szCs w:val="18"/>
        </w:rPr>
      </w:pPr>
      <w:r w:rsidRPr="008A79DC">
        <w:rPr>
          <w:rFonts w:ascii="Verdana" w:hAnsi="Verdana" w:cs="Calibri"/>
          <w:i/>
          <w:color w:val="000000"/>
          <w:sz w:val="18"/>
          <w:szCs w:val="18"/>
        </w:rPr>
        <w:t xml:space="preserve">Mutatie leningen nr artikel 11 </w:t>
      </w:r>
      <w:r w:rsidRPr="008A79DC" w:rsidR="00636BA5">
        <w:rPr>
          <w:rFonts w:ascii="Verdana" w:hAnsi="Verdana" w:cs="Calibri"/>
          <w:i/>
          <w:color w:val="000000"/>
          <w:sz w:val="18"/>
          <w:szCs w:val="18"/>
        </w:rPr>
        <w:t>- n</w:t>
      </w:r>
      <w:r w:rsidRPr="008A79DC">
        <w:rPr>
          <w:rFonts w:ascii="Verdana" w:hAnsi="Verdana" w:cs="Calibri"/>
          <w:i/>
          <w:color w:val="000000"/>
          <w:sz w:val="18"/>
          <w:szCs w:val="18"/>
        </w:rPr>
        <w:t>iet relevant voor het uitgavenplafond</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De niet-relevante rentedragende lening is naar beneden bijgesteld met 175 mln. Dit is deels de tegenhanger van wat er gebeurt op de niet-relevante overige uitgaven. Prestatiebeurzen worden als gevolg van het nieuwe studiefinancieringssysteem pas omgezet naar lening als de diplomatermijn verstrijkt, waarbij dit in de oude situatie al eerder gebeurde. Ook minder omzettingen naar langlopende vorderingen zijn het gevolg van deze bijstelling. De niet-relevante uitgaven op het collegegeldkrediet zijn naar beneden bijgesteld met 5 mln. als gevolg van de reeds bekende realisatie.</w:t>
      </w:r>
    </w:p>
    <w:p w:rsidRPr="008A79DC" w:rsidR="00EA6730" w:rsidP="00EA6730" w:rsidRDefault="00EA6730">
      <w:pPr>
        <w:spacing w:line="240" w:lineRule="atLeast"/>
        <w:rPr>
          <w:rFonts w:ascii="Verdana" w:hAnsi="Verdana" w:eastAsia="Calibri"/>
          <w:sz w:val="18"/>
          <w:szCs w:val="18"/>
          <w:lang w:eastAsia="en-US"/>
        </w:rPr>
      </w:pPr>
    </w:p>
    <w:p w:rsidRPr="008A79DC" w:rsidR="00EA6730" w:rsidP="00EA6730" w:rsidRDefault="00EA6730">
      <w:pPr>
        <w:spacing w:line="240" w:lineRule="atLeast"/>
        <w:rPr>
          <w:rFonts w:ascii="Verdana" w:hAnsi="Verdana" w:cs="Calibri"/>
          <w:i/>
          <w:color w:val="000000"/>
          <w:sz w:val="18"/>
          <w:szCs w:val="18"/>
        </w:rPr>
      </w:pPr>
      <w:r w:rsidRPr="008A79DC">
        <w:rPr>
          <w:rFonts w:ascii="Verdana" w:hAnsi="Verdana" w:cs="Calibri"/>
          <w:i/>
          <w:color w:val="000000"/>
          <w:sz w:val="18"/>
          <w:szCs w:val="18"/>
        </w:rPr>
        <w:t>Omzettingen, 2e sup, artikel 11</w:t>
      </w:r>
      <w:r w:rsidRPr="008A79DC" w:rsidR="00636BA5">
        <w:rPr>
          <w:rFonts w:ascii="Verdana" w:hAnsi="Verdana" w:cs="Calibri"/>
          <w:i/>
          <w:color w:val="000000"/>
          <w:sz w:val="18"/>
          <w:szCs w:val="18"/>
        </w:rPr>
        <w:t xml:space="preserve"> - n</w:t>
      </w:r>
      <w:r w:rsidRPr="008A79DC">
        <w:rPr>
          <w:rFonts w:ascii="Verdana" w:hAnsi="Verdana" w:cs="Calibri"/>
          <w:i/>
          <w:color w:val="000000"/>
          <w:sz w:val="18"/>
          <w:szCs w:val="18"/>
        </w:rPr>
        <w:t>iet re</w:t>
      </w:r>
      <w:r w:rsidRPr="008A79DC" w:rsidR="00636BA5">
        <w:rPr>
          <w:rFonts w:ascii="Verdana" w:hAnsi="Verdana" w:cs="Calibri"/>
          <w:i/>
          <w:color w:val="000000"/>
          <w:sz w:val="18"/>
          <w:szCs w:val="18"/>
        </w:rPr>
        <w:t>levant voor het uitgavenplafond</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 xml:space="preserve">Deze mutatie is ook al toegelicht bij de relevante uitgaven. De mutatie op artikel 11 Studiefinanciering resulteert namelijk in een verschuiving van 66 mln. van niet-relevante uitgaven naar relevante uitgaven in 2018. </w:t>
      </w:r>
    </w:p>
    <w:p w:rsidRPr="008A79DC" w:rsidR="00EA6730" w:rsidP="00EA6730" w:rsidRDefault="00EA6730">
      <w:pPr>
        <w:spacing w:line="240" w:lineRule="atLeast"/>
        <w:rPr>
          <w:rFonts w:ascii="Verdana" w:hAnsi="Verdana" w:cs="Calibri"/>
          <w:color w:val="000000"/>
          <w:sz w:val="18"/>
          <w:szCs w:val="18"/>
        </w:rPr>
      </w:pPr>
    </w:p>
    <w:p w:rsidRPr="008A79DC" w:rsidR="00EA6730" w:rsidP="00EA6730" w:rsidRDefault="00EA6730">
      <w:pPr>
        <w:spacing w:line="240" w:lineRule="atLeast"/>
        <w:rPr>
          <w:rFonts w:ascii="Verdana" w:hAnsi="Verdana" w:cs="Calibri"/>
          <w:i/>
          <w:color w:val="000000"/>
          <w:sz w:val="18"/>
          <w:szCs w:val="18"/>
        </w:rPr>
      </w:pPr>
      <w:r w:rsidRPr="008A79DC">
        <w:rPr>
          <w:rFonts w:ascii="Verdana" w:hAnsi="Verdana" w:cs="Calibri"/>
          <w:i/>
          <w:color w:val="000000"/>
          <w:sz w:val="18"/>
          <w:szCs w:val="18"/>
        </w:rPr>
        <w:t xml:space="preserve">Diversen </w:t>
      </w:r>
      <w:r w:rsidRPr="008A79DC" w:rsidR="00636BA5">
        <w:rPr>
          <w:rFonts w:ascii="Verdana" w:hAnsi="Verdana" w:cs="Calibri"/>
          <w:i/>
          <w:color w:val="000000"/>
          <w:sz w:val="18"/>
          <w:szCs w:val="18"/>
        </w:rPr>
        <w:t>- n</w:t>
      </w:r>
      <w:r w:rsidRPr="008A79DC">
        <w:rPr>
          <w:rFonts w:ascii="Verdana" w:hAnsi="Verdana" w:cs="Calibri"/>
          <w:i/>
          <w:color w:val="000000"/>
          <w:sz w:val="18"/>
          <w:szCs w:val="18"/>
        </w:rPr>
        <w:t>iet relevant voor het uitgavenplafond</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De niet-relevante uitgaven op studiefinanciering worden met 1 mln. euro omhoog bijgesteld als gevolg van de reeds bekende realisatie.</w:t>
      </w:r>
    </w:p>
    <w:p w:rsidRPr="008A79DC" w:rsidR="00EA6730" w:rsidP="00EA6730" w:rsidRDefault="00EA6730">
      <w:pPr>
        <w:spacing w:line="240" w:lineRule="atLeast"/>
        <w:rPr>
          <w:rFonts w:ascii="Verdana" w:hAnsi="Verdana" w:cs="Calibri"/>
          <w:color w:val="000000"/>
          <w:sz w:val="18"/>
          <w:szCs w:val="18"/>
        </w:rPr>
      </w:pPr>
    </w:p>
    <w:p w:rsidRPr="008A79DC" w:rsidR="00EA6730" w:rsidP="00EA6730" w:rsidRDefault="00636BA5">
      <w:pPr>
        <w:spacing w:line="240" w:lineRule="atLeast"/>
        <w:rPr>
          <w:rFonts w:ascii="Verdana" w:hAnsi="Verdana" w:cs="Calibri"/>
          <w:i/>
          <w:color w:val="000000"/>
          <w:sz w:val="18"/>
          <w:szCs w:val="18"/>
        </w:rPr>
      </w:pPr>
      <w:r w:rsidRPr="008A79DC">
        <w:rPr>
          <w:rFonts w:ascii="Verdana" w:hAnsi="Verdana" w:cs="Calibri"/>
          <w:i/>
          <w:color w:val="000000"/>
          <w:sz w:val="18"/>
          <w:szCs w:val="18"/>
        </w:rPr>
        <w:t>Diversen - m</w:t>
      </w:r>
      <w:r w:rsidRPr="008A79DC" w:rsidR="00EA6730">
        <w:rPr>
          <w:rFonts w:ascii="Verdana" w:hAnsi="Verdana" w:cs="Calibri"/>
          <w:i/>
          <w:color w:val="000000"/>
          <w:sz w:val="18"/>
          <w:szCs w:val="18"/>
        </w:rPr>
        <w:t>ee- en tegenva</w:t>
      </w:r>
      <w:r w:rsidRPr="008A79DC">
        <w:rPr>
          <w:rFonts w:ascii="Verdana" w:hAnsi="Verdana" w:cs="Calibri"/>
          <w:i/>
          <w:color w:val="000000"/>
          <w:sz w:val="18"/>
          <w:szCs w:val="18"/>
        </w:rPr>
        <w:t>llers, niet-belastingontvangsten</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 xml:space="preserve">Dit betreft diverse mee- en tegenvallers. Een grote meevaller van 10,4 mln. ontstaat door </w:t>
      </w:r>
      <w:r w:rsidRPr="008A79DC">
        <w:rPr>
          <w:rFonts w:ascii="Verdana" w:hAnsi="Verdana" w:eastAsia="Calibri" w:cs="Arial"/>
          <w:sz w:val="18"/>
          <w:szCs w:val="18"/>
          <w:lang w:eastAsia="en-US"/>
        </w:rPr>
        <w:t>terugvordering van onterecht ontvangen fusiegelden. Uit de controle bleek dat het fusies betreft waarbij geen enkele leerling van de opgeheven school naar de fusieschool is gegaan.</w:t>
      </w:r>
      <w:r w:rsidRPr="008A79DC">
        <w:rPr>
          <w:rFonts w:ascii="Verdana" w:hAnsi="Verdana" w:eastAsia="Calibri"/>
          <w:sz w:val="18"/>
          <w:szCs w:val="18"/>
          <w:lang w:eastAsia="en-US"/>
        </w:rPr>
        <w:t xml:space="preserve"> Daarnaast is er een meevaller van 23,8 mln. door terugvordering van gewichtenmiddelen op basis van controle op rechtmatigheid. En er is een meevaller op de ontvangsten van het lesgeld met 10 mln.</w:t>
      </w:r>
    </w:p>
    <w:p w:rsidRPr="008A79DC" w:rsidR="00EA6730" w:rsidP="00EA6730" w:rsidRDefault="00EA6730">
      <w:pPr>
        <w:spacing w:line="240" w:lineRule="atLeast"/>
        <w:rPr>
          <w:rFonts w:ascii="Verdana" w:hAnsi="Verdana" w:eastAsia="Calibri"/>
          <w:sz w:val="18"/>
          <w:szCs w:val="18"/>
          <w:lang w:eastAsia="en-US"/>
        </w:rPr>
      </w:pPr>
      <w:r w:rsidRPr="008A79DC">
        <w:rPr>
          <w:rFonts w:ascii="Verdana" w:hAnsi="Verdana" w:eastAsia="Calibri"/>
          <w:sz w:val="18"/>
          <w:szCs w:val="18"/>
          <w:lang w:eastAsia="en-US"/>
        </w:rPr>
        <w:t>Ook worden de kortlopende vorderingen naar beneden bijgesteld met 20 mln. Door het nieuwe PVS</w:t>
      </w:r>
      <w:r w:rsidRPr="008A79DC" w:rsidR="00636BA5">
        <w:rPr>
          <w:rFonts w:ascii="Verdana" w:hAnsi="Verdana" w:eastAsia="Calibri"/>
          <w:sz w:val="18"/>
          <w:szCs w:val="18"/>
          <w:lang w:eastAsia="en-US"/>
        </w:rPr>
        <w:t>-</w:t>
      </w:r>
      <w:r w:rsidRPr="008A79DC">
        <w:rPr>
          <w:rFonts w:ascii="Verdana" w:hAnsi="Verdana" w:eastAsia="Calibri"/>
          <w:sz w:val="18"/>
          <w:szCs w:val="18"/>
          <w:lang w:eastAsia="en-US"/>
        </w:rPr>
        <w:t>systeem ontstaat er minder achterstallig lager recht (ALR) en daardoor minder kortlopende vorderingen. Dat betekent ook minder relevante ontvangsten op kortlopende vorderingen.</w:t>
      </w:r>
    </w:p>
    <w:p w:rsidRPr="008A79DC" w:rsidR="00EA6730" w:rsidP="00636BA5" w:rsidRDefault="00EA6730">
      <w:pPr>
        <w:spacing w:line="240" w:lineRule="atLeast"/>
        <w:rPr>
          <w:rFonts w:ascii="Verdana" w:hAnsi="Verdana" w:eastAsia="Calibri"/>
          <w:sz w:val="18"/>
          <w:szCs w:val="18"/>
          <w:lang w:eastAsia="en-US"/>
        </w:rPr>
      </w:pPr>
    </w:p>
    <w:p w:rsidRPr="008A79DC" w:rsidR="00EA6730" w:rsidP="00EA6730" w:rsidRDefault="00EA6730">
      <w:pPr>
        <w:spacing w:line="240" w:lineRule="atLeast"/>
        <w:rPr>
          <w:rFonts w:ascii="Verdana" w:hAnsi="Verdana" w:cs="Calibri"/>
          <w:i/>
          <w:color w:val="000000"/>
          <w:sz w:val="18"/>
          <w:szCs w:val="18"/>
        </w:rPr>
      </w:pPr>
      <w:r w:rsidRPr="008A79DC">
        <w:rPr>
          <w:rFonts w:ascii="Verdana" w:hAnsi="Verdana" w:cs="Calibri"/>
          <w:i/>
          <w:color w:val="000000"/>
          <w:sz w:val="18"/>
          <w:szCs w:val="18"/>
        </w:rPr>
        <w:t>Diversen</w:t>
      </w:r>
      <w:r w:rsidRPr="008A79DC" w:rsidR="00636BA5">
        <w:rPr>
          <w:rFonts w:ascii="Verdana" w:hAnsi="Verdana" w:cs="Calibri"/>
          <w:i/>
          <w:color w:val="000000"/>
          <w:sz w:val="18"/>
          <w:szCs w:val="18"/>
        </w:rPr>
        <w:t xml:space="preserve"> - </w:t>
      </w:r>
      <w:r w:rsidRPr="008A79DC">
        <w:rPr>
          <w:rFonts w:ascii="Verdana" w:hAnsi="Verdana" w:cs="Calibri"/>
          <w:i/>
          <w:color w:val="000000"/>
          <w:sz w:val="18"/>
          <w:szCs w:val="18"/>
        </w:rPr>
        <w:t>techn</w:t>
      </w:r>
      <w:r w:rsidRPr="008A79DC" w:rsidR="00636BA5">
        <w:rPr>
          <w:rFonts w:ascii="Verdana" w:hAnsi="Verdana" w:cs="Calibri"/>
          <w:i/>
          <w:color w:val="000000"/>
          <w:sz w:val="18"/>
          <w:szCs w:val="18"/>
        </w:rPr>
        <w:t>i</w:t>
      </w:r>
      <w:r w:rsidRPr="008A79DC">
        <w:rPr>
          <w:rFonts w:ascii="Verdana" w:hAnsi="Verdana" w:cs="Calibri"/>
          <w:i/>
          <w:color w:val="000000"/>
          <w:sz w:val="18"/>
          <w:szCs w:val="18"/>
        </w:rPr>
        <w:t>sche mutaties, niet-belastingontvangsten</w:t>
      </w:r>
    </w:p>
    <w:p w:rsidRPr="008A79DC" w:rsidR="00EA6730" w:rsidP="00EA6730" w:rsidRDefault="00EA6730">
      <w:pPr>
        <w:spacing w:line="240" w:lineRule="atLeast"/>
        <w:rPr>
          <w:rFonts w:ascii="Verdana" w:hAnsi="Verdana" w:eastAsia="Calibri"/>
          <w:i/>
          <w:sz w:val="18"/>
          <w:szCs w:val="18"/>
          <w:lang w:eastAsia="en-US"/>
        </w:rPr>
      </w:pPr>
      <w:r w:rsidRPr="008A79DC">
        <w:rPr>
          <w:rFonts w:ascii="Verdana" w:hAnsi="Verdana" w:eastAsia="Calibri"/>
          <w:sz w:val="18"/>
          <w:szCs w:val="22"/>
          <w:lang w:eastAsia="en-US"/>
        </w:rPr>
        <w:t xml:space="preserve">Deze post bestaat uit een drietal desalderingen die reeds zijn toegelicht onder </w:t>
      </w:r>
      <w:r w:rsidRPr="008A79DC" w:rsidR="00636BA5">
        <w:rPr>
          <w:rFonts w:ascii="Verdana" w:hAnsi="Verdana" w:eastAsia="Calibri"/>
          <w:sz w:val="18"/>
          <w:szCs w:val="18"/>
          <w:lang w:eastAsia="en-US"/>
        </w:rPr>
        <w:t>Diversen - technische mutaties</w:t>
      </w:r>
      <w:r w:rsidRPr="008A79DC">
        <w:rPr>
          <w:rFonts w:ascii="Verdana" w:hAnsi="Verdana" w:eastAsia="Calibri"/>
          <w:sz w:val="18"/>
          <w:szCs w:val="18"/>
          <w:lang w:eastAsia="en-US"/>
        </w:rPr>
        <w:t>.</w:t>
      </w:r>
    </w:p>
    <w:p w:rsidRPr="008A79DC" w:rsidR="00EA6730" w:rsidP="00C41D99" w:rsidRDefault="00EA6730">
      <w:pPr>
        <w:spacing w:line="240" w:lineRule="exact"/>
        <w:rPr>
          <w:rFonts w:ascii="Verdana" w:hAnsi="Verdana" w:cs="Verdana"/>
          <w:b/>
          <w:bCs/>
          <w:sz w:val="18"/>
          <w:szCs w:val="18"/>
        </w:rPr>
      </w:pP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00216BDA" w:rsidTr="00216BDA">
        <w:trPr>
          <w:trHeight w:val="300"/>
        </w:trPr>
        <w:tc>
          <w:tcPr>
            <w:tcW w:w="5340" w:type="dxa"/>
            <w:tcBorders>
              <w:top w:val="nil"/>
              <w:left w:val="nil"/>
              <w:bottom w:val="nil"/>
              <w:right w:val="nil"/>
            </w:tcBorders>
            <w:shd w:val="clear" w:color="auto" w:fill="auto"/>
            <w:hideMark/>
          </w:tcPr>
          <w:p w:rsidR="00216BDA" w:rsidRDefault="00216BDA">
            <w:pPr>
              <w:rPr>
                <w:rFonts w:ascii="Verdana" w:hAnsi="Verdana"/>
                <w:b/>
                <w:bCs/>
                <w:color w:val="000000"/>
                <w:sz w:val="18"/>
                <w:szCs w:val="18"/>
              </w:rPr>
            </w:pPr>
            <w:r>
              <w:rPr>
                <w:rFonts w:ascii="Verdana" w:hAnsi="Verdana"/>
                <w:b/>
                <w:bCs/>
                <w:color w:val="000000"/>
                <w:sz w:val="18"/>
                <w:szCs w:val="18"/>
              </w:rPr>
              <w:lastRenderedPageBreak/>
              <w:t>Nationale Schuld (Transactiebasis)</w:t>
            </w:r>
          </w:p>
          <w:p w:rsidR="0047201E" w:rsidRDefault="0047201E">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00216BDA" w:rsidRDefault="00216BDA">
            <w:pPr>
              <w:rPr>
                <w:rFonts w:ascii="Verdana" w:hAnsi="Verdana"/>
                <w:b/>
                <w:bCs/>
                <w:color w:val="000000"/>
                <w:sz w:val="18"/>
                <w:szCs w:val="18"/>
              </w:rPr>
            </w:pPr>
          </w:p>
        </w:tc>
      </w:tr>
      <w:tr w:rsidR="00216BDA" w:rsidTr="00216BDA">
        <w:trPr>
          <w:trHeight w:val="300"/>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IXA NATIONALE SCHULD (TRANSACTIEBASIS): UITGAVEN</w:t>
            </w:r>
          </w:p>
        </w:tc>
        <w:tc>
          <w:tcPr>
            <w:tcW w:w="1480" w:type="dxa"/>
            <w:tcBorders>
              <w:top w:val="nil"/>
              <w:left w:val="nil"/>
              <w:bottom w:val="nil"/>
              <w:right w:val="nil"/>
            </w:tcBorders>
            <w:shd w:val="clear" w:color="auto" w:fill="auto"/>
            <w:noWrap/>
            <w:vAlign w:val="bottom"/>
            <w:hideMark/>
          </w:tcPr>
          <w:p w:rsidR="00216BDA" w:rsidRDefault="00216BDA">
            <w:pPr>
              <w:rPr>
                <w:rFonts w:ascii="Verdana" w:hAnsi="Verdana"/>
                <w:color w:val="000000"/>
                <w:sz w:val="18"/>
                <w:szCs w:val="18"/>
              </w:rPr>
            </w:pPr>
          </w:p>
        </w:tc>
      </w:tr>
      <w:tr w:rsidR="00216BDA" w:rsidTr="00216BDA">
        <w:trPr>
          <w:trHeight w:val="240"/>
        </w:trPr>
        <w:tc>
          <w:tcPr>
            <w:tcW w:w="5340" w:type="dxa"/>
            <w:tcBorders>
              <w:top w:val="single" w:color="000000" w:sz="8" w:space="0"/>
              <w:left w:val="nil"/>
              <w:bottom w:val="single" w:color="000000" w:sz="8" w:space="0"/>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2018</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8.047,7</w:t>
            </w:r>
          </w:p>
        </w:tc>
      </w:tr>
      <w:tr w:rsidR="00216BDA" w:rsidTr="00216BDA">
        <w:trPr>
          <w:trHeight w:val="300"/>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00216BDA" w:rsidRDefault="00216BDA">
            <w:pPr>
              <w:rPr>
                <w:rFonts w:ascii="Verdana" w:hAnsi="Verdana"/>
                <w:color w:val="000000"/>
                <w:sz w:val="18"/>
                <w:szCs w:val="18"/>
              </w:rPr>
            </w:pPr>
          </w:p>
        </w:tc>
      </w:tr>
      <w:tr w:rsidR="00216BDA" w:rsidTr="00216BDA">
        <w:trPr>
          <w:trHeight w:val="300"/>
        </w:trPr>
        <w:tc>
          <w:tcPr>
            <w:tcW w:w="5340" w:type="dxa"/>
            <w:tcBorders>
              <w:top w:val="nil"/>
              <w:left w:val="nil"/>
              <w:bottom w:val="nil"/>
              <w:right w:val="nil"/>
            </w:tcBorders>
            <w:shd w:val="clear" w:color="auto" w:fill="auto"/>
            <w:hideMark/>
          </w:tcPr>
          <w:p w:rsidR="00216BDA" w:rsidRDefault="00216BDA">
            <w:pPr>
              <w:ind w:firstLine="180" w:firstLineChars="100"/>
              <w:rPr>
                <w:rFonts w:ascii="Verdana" w:hAnsi="Verdana"/>
                <w:color w:val="000000"/>
                <w:sz w:val="18"/>
                <w:szCs w:val="18"/>
              </w:rPr>
            </w:pPr>
            <w:r>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00216BDA" w:rsidRDefault="00216BDA">
            <w:pPr>
              <w:ind w:firstLine="180" w:firstLineChars="100"/>
              <w:rPr>
                <w:rFonts w:ascii="Verdana" w:hAnsi="Verdana"/>
                <w:color w:val="000000"/>
                <w:sz w:val="18"/>
                <w:szCs w:val="18"/>
              </w:rPr>
            </w:pPr>
          </w:p>
        </w:tc>
      </w:tr>
      <w:tr w:rsidR="00216BDA" w:rsidTr="00216BDA">
        <w:trPr>
          <w:trHeight w:val="240"/>
        </w:trPr>
        <w:tc>
          <w:tcPr>
            <w:tcW w:w="5340" w:type="dxa"/>
            <w:tcBorders>
              <w:top w:val="nil"/>
              <w:left w:val="nil"/>
              <w:bottom w:val="nil"/>
              <w:right w:val="nil"/>
            </w:tcBorders>
            <w:shd w:val="clear" w:color="auto" w:fill="auto"/>
            <w:hideMark/>
          </w:tcPr>
          <w:p w:rsidR="00216BDA" w:rsidRDefault="00216BDA">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-12,0</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-12,0</w:t>
            </w:r>
          </w:p>
        </w:tc>
      </w:tr>
      <w:tr w:rsidR="00216BDA" w:rsidTr="00216BDA">
        <w:trPr>
          <w:trHeight w:val="300"/>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00216BDA" w:rsidRDefault="00216BDA">
            <w:pPr>
              <w:rPr>
                <w:rFonts w:ascii="Verdana" w:hAnsi="Verdana"/>
                <w:color w:val="000000"/>
                <w:sz w:val="18"/>
                <w:szCs w:val="18"/>
              </w:rPr>
            </w:pPr>
          </w:p>
        </w:tc>
      </w:tr>
      <w:tr w:rsidR="00216BDA" w:rsidTr="00216BDA">
        <w:trPr>
          <w:trHeight w:val="300"/>
        </w:trPr>
        <w:tc>
          <w:tcPr>
            <w:tcW w:w="5340" w:type="dxa"/>
            <w:tcBorders>
              <w:top w:val="nil"/>
              <w:left w:val="nil"/>
              <w:bottom w:val="nil"/>
              <w:right w:val="nil"/>
            </w:tcBorders>
            <w:shd w:val="clear" w:color="auto" w:fill="auto"/>
            <w:hideMark/>
          </w:tcPr>
          <w:p w:rsidR="00216BDA" w:rsidRDefault="00216BDA">
            <w:pPr>
              <w:ind w:firstLine="180" w:firstLineChars="100"/>
              <w:rPr>
                <w:rFonts w:ascii="Verdana" w:hAnsi="Verdana"/>
                <w:color w:val="000000"/>
                <w:sz w:val="18"/>
                <w:szCs w:val="18"/>
              </w:rPr>
            </w:pPr>
            <w:r>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00216BDA" w:rsidRDefault="00216BDA">
            <w:pPr>
              <w:ind w:firstLine="180" w:firstLineChars="100"/>
              <w:rPr>
                <w:rFonts w:ascii="Verdana" w:hAnsi="Verdana"/>
                <w:color w:val="000000"/>
                <w:sz w:val="18"/>
                <w:szCs w:val="18"/>
              </w:rPr>
            </w:pPr>
          </w:p>
        </w:tc>
      </w:tr>
      <w:tr w:rsidR="00216BDA" w:rsidTr="00216BDA">
        <w:trPr>
          <w:trHeight w:val="240"/>
        </w:trPr>
        <w:tc>
          <w:tcPr>
            <w:tcW w:w="5340" w:type="dxa"/>
            <w:tcBorders>
              <w:top w:val="nil"/>
              <w:left w:val="nil"/>
              <w:bottom w:val="nil"/>
              <w:right w:val="nil"/>
            </w:tcBorders>
            <w:shd w:val="clear" w:color="auto" w:fill="auto"/>
            <w:hideMark/>
          </w:tcPr>
          <w:p w:rsidR="00216BDA" w:rsidRDefault="00216BDA">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-0,3</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-0,3</w:t>
            </w:r>
          </w:p>
        </w:tc>
      </w:tr>
      <w:tr w:rsidR="00216BDA" w:rsidTr="00216BDA">
        <w:trPr>
          <w:trHeight w:val="300"/>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00216BDA" w:rsidRDefault="00216BDA">
            <w:pPr>
              <w:rPr>
                <w:rFonts w:ascii="Verdana" w:hAnsi="Verdana"/>
                <w:color w:val="000000"/>
                <w:sz w:val="18"/>
                <w:szCs w:val="18"/>
              </w:rPr>
            </w:pPr>
          </w:p>
        </w:tc>
      </w:tr>
      <w:tr w:rsidR="00216BDA" w:rsidTr="00216BDA">
        <w:trPr>
          <w:trHeight w:val="300"/>
        </w:trPr>
        <w:tc>
          <w:tcPr>
            <w:tcW w:w="5340" w:type="dxa"/>
            <w:tcBorders>
              <w:top w:val="nil"/>
              <w:left w:val="nil"/>
              <w:bottom w:val="nil"/>
              <w:right w:val="nil"/>
            </w:tcBorders>
            <w:shd w:val="clear" w:color="auto" w:fill="auto"/>
            <w:hideMark/>
          </w:tcPr>
          <w:p w:rsidR="00216BDA" w:rsidRDefault="00216BDA">
            <w:pPr>
              <w:ind w:firstLine="180" w:firstLineChars="100"/>
              <w:rPr>
                <w:rFonts w:ascii="Verdana" w:hAnsi="Verdana"/>
                <w:color w:val="000000"/>
                <w:sz w:val="18"/>
                <w:szCs w:val="18"/>
              </w:rPr>
            </w:pPr>
            <w:r>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00216BDA" w:rsidRDefault="00216BDA">
            <w:pPr>
              <w:ind w:firstLine="180" w:firstLineChars="100"/>
              <w:rPr>
                <w:rFonts w:ascii="Verdana" w:hAnsi="Verdana"/>
                <w:color w:val="000000"/>
                <w:sz w:val="18"/>
                <w:szCs w:val="18"/>
              </w:rPr>
            </w:pPr>
          </w:p>
        </w:tc>
      </w:tr>
      <w:tr w:rsidR="00216BDA" w:rsidTr="00216BDA">
        <w:trPr>
          <w:trHeight w:val="240"/>
        </w:trPr>
        <w:tc>
          <w:tcPr>
            <w:tcW w:w="5340" w:type="dxa"/>
            <w:tcBorders>
              <w:top w:val="nil"/>
              <w:left w:val="nil"/>
              <w:bottom w:val="nil"/>
              <w:right w:val="nil"/>
            </w:tcBorders>
            <w:shd w:val="clear" w:color="auto" w:fill="auto"/>
            <w:hideMark/>
          </w:tcPr>
          <w:p w:rsidR="00216BDA" w:rsidRDefault="00216BDA">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16,2</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16,2</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3,9</w:t>
            </w:r>
          </w:p>
        </w:tc>
      </w:tr>
      <w:tr w:rsidR="00216BDA" w:rsidTr="00216BDA">
        <w:trPr>
          <w:trHeight w:val="315"/>
        </w:trPr>
        <w:tc>
          <w:tcPr>
            <w:tcW w:w="534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00216BDA" w:rsidRDefault="00216BDA">
            <w:pPr>
              <w:rPr>
                <w:sz w:val="20"/>
                <w:szCs w:val="20"/>
              </w:rPr>
            </w:pP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8.051,6</w:t>
            </w:r>
          </w:p>
        </w:tc>
      </w:tr>
      <w:tr w:rsidR="00216BDA" w:rsidTr="00216BDA">
        <w:trPr>
          <w:trHeight w:val="240"/>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0,0</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8.051,6</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00216BDA" w:rsidRDefault="00216BDA">
            <w:pPr>
              <w:rPr>
                <w:sz w:val="20"/>
                <w:szCs w:val="20"/>
              </w:rPr>
            </w:pPr>
          </w:p>
        </w:tc>
      </w:tr>
      <w:tr w:rsidR="00216BDA" w:rsidTr="00216BDA">
        <w:trPr>
          <w:trHeight w:val="465"/>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IXA NATIONALE SCHULD (TRANSACTIEBASIS): NIET-BELASTINGONTVANGSTEN</w:t>
            </w:r>
          </w:p>
        </w:tc>
        <w:tc>
          <w:tcPr>
            <w:tcW w:w="1480" w:type="dxa"/>
            <w:tcBorders>
              <w:top w:val="nil"/>
              <w:left w:val="nil"/>
              <w:bottom w:val="nil"/>
              <w:right w:val="nil"/>
            </w:tcBorders>
            <w:shd w:val="clear" w:color="auto" w:fill="auto"/>
            <w:noWrap/>
            <w:vAlign w:val="bottom"/>
            <w:hideMark/>
          </w:tcPr>
          <w:p w:rsidR="00216BDA" w:rsidRDefault="00216BDA">
            <w:pPr>
              <w:rPr>
                <w:rFonts w:ascii="Verdana" w:hAnsi="Verdana"/>
                <w:color w:val="000000"/>
                <w:sz w:val="18"/>
                <w:szCs w:val="18"/>
              </w:rPr>
            </w:pPr>
          </w:p>
        </w:tc>
      </w:tr>
      <w:tr w:rsidR="00216BDA" w:rsidTr="00216BDA">
        <w:trPr>
          <w:trHeight w:val="240"/>
        </w:trPr>
        <w:tc>
          <w:tcPr>
            <w:tcW w:w="5340" w:type="dxa"/>
            <w:tcBorders>
              <w:top w:val="single" w:color="000000" w:sz="8" w:space="0"/>
              <w:left w:val="nil"/>
              <w:bottom w:val="single" w:color="000000" w:sz="8" w:space="0"/>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2018</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14.837,2</w:t>
            </w:r>
          </w:p>
        </w:tc>
      </w:tr>
      <w:tr w:rsidR="00216BDA" w:rsidTr="00216BDA">
        <w:trPr>
          <w:trHeight w:val="300"/>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00216BDA" w:rsidRDefault="00216BDA">
            <w:pPr>
              <w:rPr>
                <w:rFonts w:ascii="Verdana" w:hAnsi="Verdana"/>
                <w:color w:val="000000"/>
                <w:sz w:val="18"/>
                <w:szCs w:val="18"/>
              </w:rPr>
            </w:pPr>
          </w:p>
        </w:tc>
      </w:tr>
      <w:tr w:rsidR="00216BDA" w:rsidTr="00216BDA">
        <w:trPr>
          <w:trHeight w:val="300"/>
        </w:trPr>
        <w:tc>
          <w:tcPr>
            <w:tcW w:w="5340" w:type="dxa"/>
            <w:tcBorders>
              <w:top w:val="nil"/>
              <w:left w:val="nil"/>
              <w:bottom w:val="nil"/>
              <w:right w:val="nil"/>
            </w:tcBorders>
            <w:shd w:val="clear" w:color="auto" w:fill="auto"/>
            <w:hideMark/>
          </w:tcPr>
          <w:p w:rsidR="00216BDA" w:rsidRDefault="00216BDA">
            <w:pPr>
              <w:ind w:firstLine="180" w:firstLineChars="100"/>
              <w:rPr>
                <w:rFonts w:ascii="Verdana" w:hAnsi="Verdana"/>
                <w:color w:val="000000"/>
                <w:sz w:val="18"/>
                <w:szCs w:val="18"/>
              </w:rPr>
            </w:pPr>
            <w:r>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00216BDA" w:rsidRDefault="00216BDA">
            <w:pPr>
              <w:ind w:firstLine="180" w:firstLineChars="100"/>
              <w:rPr>
                <w:rFonts w:ascii="Verdana" w:hAnsi="Verdana"/>
                <w:color w:val="000000"/>
                <w:sz w:val="18"/>
                <w:szCs w:val="18"/>
              </w:rPr>
            </w:pPr>
          </w:p>
        </w:tc>
      </w:tr>
      <w:tr w:rsidR="00216BDA" w:rsidTr="00216BDA">
        <w:trPr>
          <w:trHeight w:val="240"/>
        </w:trPr>
        <w:tc>
          <w:tcPr>
            <w:tcW w:w="5340" w:type="dxa"/>
            <w:tcBorders>
              <w:top w:val="nil"/>
              <w:left w:val="nil"/>
              <w:bottom w:val="nil"/>
              <w:right w:val="nil"/>
            </w:tcBorders>
            <w:shd w:val="clear" w:color="auto" w:fill="auto"/>
            <w:hideMark/>
          </w:tcPr>
          <w:p w:rsidR="00216BDA" w:rsidRDefault="00216BDA">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-9,0</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-9,0</w:t>
            </w:r>
          </w:p>
        </w:tc>
      </w:tr>
      <w:tr w:rsidR="00216BDA" w:rsidTr="00216BDA">
        <w:trPr>
          <w:trHeight w:val="300"/>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00216BDA" w:rsidRDefault="00216BDA">
            <w:pPr>
              <w:rPr>
                <w:rFonts w:ascii="Verdana" w:hAnsi="Verdana"/>
                <w:color w:val="000000"/>
                <w:sz w:val="18"/>
                <w:szCs w:val="18"/>
              </w:rPr>
            </w:pPr>
          </w:p>
        </w:tc>
      </w:tr>
      <w:tr w:rsidR="00216BDA" w:rsidTr="00216BDA">
        <w:trPr>
          <w:trHeight w:val="300"/>
        </w:trPr>
        <w:tc>
          <w:tcPr>
            <w:tcW w:w="5340" w:type="dxa"/>
            <w:tcBorders>
              <w:top w:val="nil"/>
              <w:left w:val="nil"/>
              <w:bottom w:val="nil"/>
              <w:right w:val="nil"/>
            </w:tcBorders>
            <w:shd w:val="clear" w:color="auto" w:fill="auto"/>
            <w:hideMark/>
          </w:tcPr>
          <w:p w:rsidR="00216BDA" w:rsidRDefault="00216BDA">
            <w:pPr>
              <w:ind w:firstLine="180" w:firstLineChars="100"/>
              <w:rPr>
                <w:rFonts w:ascii="Verdana" w:hAnsi="Verdana"/>
                <w:color w:val="000000"/>
                <w:sz w:val="18"/>
                <w:szCs w:val="18"/>
              </w:rPr>
            </w:pPr>
            <w:r>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00216BDA" w:rsidRDefault="00216BDA">
            <w:pPr>
              <w:ind w:firstLine="180" w:firstLineChars="100"/>
              <w:rPr>
                <w:rFonts w:ascii="Verdana" w:hAnsi="Verdana"/>
                <w:color w:val="000000"/>
                <w:sz w:val="18"/>
                <w:szCs w:val="18"/>
              </w:rPr>
            </w:pP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ind w:firstLine="360" w:firstLineChars="200"/>
              <w:rPr>
                <w:rFonts w:ascii="Verdana" w:hAnsi="Verdana"/>
                <w:color w:val="000000"/>
                <w:sz w:val="18"/>
                <w:szCs w:val="18"/>
              </w:rPr>
            </w:pPr>
            <w:r>
              <w:rPr>
                <w:rFonts w:ascii="Verdana" w:hAnsi="Verdana"/>
                <w:color w:val="000000"/>
                <w:sz w:val="18"/>
                <w:szCs w:val="18"/>
              </w:rPr>
              <w:t>Mutatie in rekening-courant en deposito</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985,0</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ind w:firstLine="360" w:firstLineChars="200"/>
              <w:rPr>
                <w:rFonts w:ascii="Verdana" w:hAnsi="Verdana"/>
                <w:color w:val="000000"/>
                <w:sz w:val="18"/>
                <w:szCs w:val="18"/>
              </w:rPr>
            </w:pPr>
            <w:r>
              <w:rPr>
                <w:rFonts w:ascii="Verdana" w:hAnsi="Verdana"/>
                <w:color w:val="000000"/>
                <w:sz w:val="18"/>
                <w:szCs w:val="18"/>
              </w:rPr>
              <w:t>Rente derivaten</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-50,0</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ind w:firstLine="360" w:firstLineChars="200"/>
              <w:rPr>
                <w:rFonts w:ascii="Verdana" w:hAnsi="Verdana"/>
                <w:color w:val="000000"/>
                <w:sz w:val="18"/>
                <w:szCs w:val="18"/>
              </w:rPr>
            </w:pPr>
            <w:r>
              <w:rPr>
                <w:rFonts w:ascii="Verdana" w:hAnsi="Verdana"/>
                <w:color w:val="000000"/>
                <w:sz w:val="18"/>
                <w:szCs w:val="18"/>
              </w:rPr>
              <w:t>Voortijdige beëindiging derivaten</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694,0</w:t>
            </w:r>
          </w:p>
        </w:tc>
      </w:tr>
      <w:tr w:rsidR="00216BDA" w:rsidTr="00216BDA">
        <w:trPr>
          <w:trHeight w:val="240"/>
        </w:trPr>
        <w:tc>
          <w:tcPr>
            <w:tcW w:w="5340" w:type="dxa"/>
            <w:tcBorders>
              <w:top w:val="nil"/>
              <w:left w:val="nil"/>
              <w:bottom w:val="nil"/>
              <w:right w:val="nil"/>
            </w:tcBorders>
            <w:shd w:val="clear" w:color="auto" w:fill="auto"/>
            <w:hideMark/>
          </w:tcPr>
          <w:p w:rsidR="00216BDA" w:rsidRDefault="00216BDA">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13,9</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1.642,9</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1.634,0</w:t>
            </w:r>
          </w:p>
        </w:tc>
      </w:tr>
      <w:tr w:rsidR="00216BDA" w:rsidTr="00216BDA">
        <w:trPr>
          <w:trHeight w:val="315"/>
        </w:trPr>
        <w:tc>
          <w:tcPr>
            <w:tcW w:w="534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00216BDA" w:rsidRDefault="00216BDA">
            <w:pPr>
              <w:rPr>
                <w:sz w:val="20"/>
                <w:szCs w:val="20"/>
              </w:rPr>
            </w:pP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16.471,2</w:t>
            </w:r>
          </w:p>
        </w:tc>
      </w:tr>
      <w:tr w:rsidR="00216BDA" w:rsidTr="00216BDA">
        <w:trPr>
          <w:trHeight w:val="240"/>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0,0</w:t>
            </w:r>
          </w:p>
        </w:tc>
      </w:tr>
      <w:tr w:rsidR="00216BDA" w:rsidTr="00216BDA">
        <w:trPr>
          <w:trHeight w:val="225"/>
        </w:trPr>
        <w:tc>
          <w:tcPr>
            <w:tcW w:w="5340" w:type="dxa"/>
            <w:tcBorders>
              <w:top w:val="nil"/>
              <w:left w:val="nil"/>
              <w:bottom w:val="nil"/>
              <w:right w:val="nil"/>
            </w:tcBorders>
            <w:shd w:val="clear" w:color="auto" w:fill="auto"/>
            <w:hideMark/>
          </w:tcPr>
          <w:p w:rsidR="00216BDA" w:rsidRDefault="00216BDA">
            <w:pPr>
              <w:rPr>
                <w:rFonts w:ascii="Verdana" w:hAnsi="Verdana"/>
                <w:color w:val="000000"/>
                <w:sz w:val="18"/>
                <w:szCs w:val="18"/>
              </w:rPr>
            </w:pPr>
            <w:r>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00216BDA" w:rsidRDefault="00216BDA">
            <w:pPr>
              <w:jc w:val="right"/>
              <w:rPr>
                <w:rFonts w:ascii="Verdana" w:hAnsi="Verdana"/>
                <w:color w:val="000000"/>
                <w:sz w:val="18"/>
                <w:szCs w:val="18"/>
              </w:rPr>
            </w:pPr>
            <w:r>
              <w:rPr>
                <w:rFonts w:ascii="Verdana" w:hAnsi="Verdana"/>
                <w:color w:val="000000"/>
                <w:sz w:val="18"/>
                <w:szCs w:val="18"/>
              </w:rPr>
              <w:t>16.471,2</w:t>
            </w:r>
          </w:p>
        </w:tc>
      </w:tr>
    </w:tbl>
    <w:p w:rsidRPr="008A79DC" w:rsidR="00412663" w:rsidP="00C41D99" w:rsidRDefault="00412663">
      <w:pPr>
        <w:spacing w:line="240" w:lineRule="exact"/>
        <w:rPr>
          <w:rFonts w:ascii="Verdana" w:hAnsi="Verdana" w:cs="Verdana"/>
          <w:b/>
          <w:bCs/>
          <w:sz w:val="18"/>
          <w:szCs w:val="18"/>
        </w:rPr>
      </w:pPr>
    </w:p>
    <w:p w:rsidR="00AD094E" w:rsidP="00AD094E" w:rsidRDefault="00AD094E">
      <w:pPr>
        <w:spacing w:line="240" w:lineRule="exact"/>
        <w:rPr>
          <w:rFonts w:ascii="Verdana" w:hAnsi="Verdana" w:cs="Verdana"/>
          <w:bCs/>
          <w:i/>
          <w:sz w:val="18"/>
          <w:szCs w:val="18"/>
        </w:rPr>
      </w:pPr>
    </w:p>
    <w:p w:rsidRPr="00AD094E" w:rsidR="00AD094E" w:rsidP="00AD094E" w:rsidRDefault="00AD094E">
      <w:pPr>
        <w:spacing w:line="240" w:lineRule="exact"/>
        <w:rPr>
          <w:rFonts w:ascii="Verdana" w:hAnsi="Verdana" w:cs="Verdana"/>
          <w:bCs/>
          <w:i/>
          <w:sz w:val="18"/>
          <w:szCs w:val="18"/>
        </w:rPr>
      </w:pPr>
      <w:r w:rsidRPr="00AD094E">
        <w:rPr>
          <w:rFonts w:ascii="Verdana" w:hAnsi="Verdana" w:cs="Verdana"/>
          <w:bCs/>
          <w:i/>
          <w:sz w:val="18"/>
          <w:szCs w:val="18"/>
        </w:rPr>
        <w:t xml:space="preserve">Diversen – uitgaven </w:t>
      </w:r>
    </w:p>
    <w:p w:rsidRPr="00AD094E" w:rsidR="00AD094E" w:rsidP="00AD094E" w:rsidRDefault="00AD094E">
      <w:pPr>
        <w:spacing w:line="240" w:lineRule="exact"/>
        <w:rPr>
          <w:rFonts w:ascii="Verdana" w:hAnsi="Verdana" w:cs="Verdana"/>
          <w:bCs/>
          <w:sz w:val="18"/>
          <w:szCs w:val="18"/>
        </w:rPr>
      </w:pPr>
      <w:r w:rsidRPr="00AD094E">
        <w:rPr>
          <w:rFonts w:ascii="Verdana" w:hAnsi="Verdana" w:cs="Verdana"/>
          <w:bCs/>
          <w:sz w:val="18"/>
          <w:szCs w:val="18"/>
        </w:rPr>
        <w:t xml:space="preserve">Dit betreft de som van meerdere mutaties. Zo vallen de uitgaven 16,2 mln. hoger uit door een hoger dan verwachte vraag naar leningen van deelnemers aan het schatkistbankieren. Ook leiden de realisatiecijfers tot 12 mln. lagere verwachte rente-uitgaven aan de vaste schuld in 2018. </w:t>
      </w:r>
    </w:p>
    <w:p w:rsidRPr="00AD094E" w:rsidR="00AD094E" w:rsidP="00AD094E" w:rsidRDefault="00AD094E">
      <w:pPr>
        <w:spacing w:line="240" w:lineRule="exact"/>
        <w:rPr>
          <w:rFonts w:ascii="Verdana" w:hAnsi="Verdana" w:cs="Verdana"/>
          <w:bCs/>
          <w:sz w:val="18"/>
          <w:szCs w:val="18"/>
        </w:rPr>
      </w:pPr>
    </w:p>
    <w:p w:rsidRPr="00AD094E" w:rsidR="00AD094E" w:rsidP="00AD094E" w:rsidRDefault="00AD094E">
      <w:pPr>
        <w:spacing w:line="240" w:lineRule="exact"/>
        <w:rPr>
          <w:rFonts w:ascii="Verdana" w:hAnsi="Verdana" w:cs="Verdana"/>
          <w:bCs/>
          <w:i/>
          <w:sz w:val="18"/>
          <w:szCs w:val="18"/>
        </w:rPr>
      </w:pPr>
      <w:r w:rsidRPr="00AD094E">
        <w:rPr>
          <w:rFonts w:ascii="Verdana" w:hAnsi="Verdana" w:cs="Verdana"/>
          <w:bCs/>
          <w:i/>
          <w:sz w:val="18"/>
          <w:szCs w:val="18"/>
        </w:rPr>
        <w:t>Diversen – niet-belastingontvangsten</w:t>
      </w:r>
    </w:p>
    <w:p w:rsidRPr="00AD094E" w:rsidR="00AD094E" w:rsidP="00AD094E" w:rsidRDefault="00AD094E">
      <w:pPr>
        <w:spacing w:line="240" w:lineRule="exact"/>
        <w:rPr>
          <w:rFonts w:ascii="Verdana" w:hAnsi="Verdana" w:cs="Verdana"/>
          <w:bCs/>
          <w:sz w:val="18"/>
          <w:szCs w:val="18"/>
        </w:rPr>
      </w:pPr>
      <w:r w:rsidRPr="00AD094E">
        <w:rPr>
          <w:rFonts w:ascii="Verdana" w:hAnsi="Verdana" w:cs="Verdana"/>
          <w:bCs/>
          <w:sz w:val="18"/>
          <w:szCs w:val="18"/>
        </w:rPr>
        <w:lastRenderedPageBreak/>
        <w:t xml:space="preserve">Dit betreft de som van meerdere mutaties. Zo vallen de ontvangsten 12,2 mln. hoger uit dan verwacht door versnelde aflossingen van leningen. Ook leiden de realisatiecijfers en het verwachte kassaldo tot lagere verwachte rente-ontvangsten op Dutch Treasury Certificates (vlottende schuld) van 10 mln. in 2018. </w:t>
      </w:r>
    </w:p>
    <w:p w:rsidRPr="00AD094E" w:rsidR="00AD094E" w:rsidP="00AD094E" w:rsidRDefault="00AD094E">
      <w:pPr>
        <w:spacing w:line="240" w:lineRule="exact"/>
        <w:rPr>
          <w:rFonts w:ascii="Verdana" w:hAnsi="Verdana" w:cs="Verdana"/>
          <w:bCs/>
          <w:sz w:val="18"/>
          <w:szCs w:val="18"/>
        </w:rPr>
      </w:pPr>
    </w:p>
    <w:p w:rsidRPr="00AD094E" w:rsidR="00AD094E" w:rsidP="00AD094E" w:rsidRDefault="00AD094E">
      <w:pPr>
        <w:spacing w:line="240" w:lineRule="exact"/>
        <w:rPr>
          <w:rFonts w:ascii="Verdana" w:hAnsi="Verdana" w:cs="Verdana"/>
          <w:bCs/>
          <w:i/>
          <w:sz w:val="18"/>
          <w:szCs w:val="18"/>
        </w:rPr>
      </w:pPr>
      <w:r w:rsidRPr="00AD094E">
        <w:rPr>
          <w:rFonts w:ascii="Verdana" w:hAnsi="Verdana" w:cs="Verdana"/>
          <w:bCs/>
          <w:i/>
          <w:sz w:val="18"/>
          <w:szCs w:val="18"/>
        </w:rPr>
        <w:t>Mutatie in rekening-courant en deposito</w:t>
      </w:r>
    </w:p>
    <w:p w:rsidRPr="00AD094E" w:rsidR="00AD094E" w:rsidP="00AD094E" w:rsidRDefault="00AD094E">
      <w:pPr>
        <w:spacing w:line="240" w:lineRule="exact"/>
        <w:rPr>
          <w:rFonts w:ascii="Verdana" w:hAnsi="Verdana" w:cs="Verdana"/>
          <w:bCs/>
          <w:sz w:val="18"/>
          <w:szCs w:val="18"/>
        </w:rPr>
      </w:pPr>
      <w:r w:rsidRPr="00AD094E">
        <w:rPr>
          <w:rFonts w:ascii="Verdana" w:hAnsi="Verdana" w:cs="Verdana"/>
          <w:bCs/>
          <w:sz w:val="18"/>
          <w:szCs w:val="18"/>
        </w:rPr>
        <w:t>Nieuwe realisaties op de mutaties rekening-courant en deposito van RWT’s en derden en een meevallend saldo van uitgaven en ontvangsten van sociale fondsen (toename rekening-courant saldo), leiden tot extra ontvangsten van 985 mln.</w:t>
      </w:r>
    </w:p>
    <w:p w:rsidRPr="00AD094E" w:rsidR="00AD094E" w:rsidP="00AD094E" w:rsidRDefault="00AD094E">
      <w:pPr>
        <w:spacing w:line="240" w:lineRule="exact"/>
        <w:rPr>
          <w:rFonts w:ascii="Verdana" w:hAnsi="Verdana" w:cs="Verdana"/>
          <w:bCs/>
          <w:sz w:val="18"/>
          <w:szCs w:val="18"/>
        </w:rPr>
      </w:pPr>
    </w:p>
    <w:p w:rsidRPr="00AD094E" w:rsidR="00AD094E" w:rsidP="00AD094E" w:rsidRDefault="00AD094E">
      <w:pPr>
        <w:spacing w:line="240" w:lineRule="exact"/>
        <w:rPr>
          <w:rFonts w:ascii="Verdana" w:hAnsi="Verdana" w:cs="Verdana"/>
          <w:bCs/>
          <w:i/>
          <w:sz w:val="18"/>
          <w:szCs w:val="18"/>
        </w:rPr>
      </w:pPr>
      <w:r w:rsidRPr="00AD094E">
        <w:rPr>
          <w:rFonts w:ascii="Verdana" w:hAnsi="Verdana" w:cs="Verdana"/>
          <w:bCs/>
          <w:i/>
          <w:sz w:val="18"/>
          <w:szCs w:val="18"/>
        </w:rPr>
        <w:t>Rente derivaten, voortijdige beëindiging derivaten</w:t>
      </w:r>
    </w:p>
    <w:p w:rsidRPr="008A79DC" w:rsidR="00636BA5" w:rsidP="00AD094E" w:rsidRDefault="00AD094E">
      <w:pPr>
        <w:spacing w:line="240" w:lineRule="exact"/>
        <w:rPr>
          <w:rFonts w:ascii="Verdana" w:hAnsi="Verdana" w:cs="Verdana"/>
          <w:bCs/>
          <w:sz w:val="18"/>
          <w:szCs w:val="18"/>
        </w:rPr>
      </w:pPr>
      <w:r w:rsidRPr="00AD094E">
        <w:rPr>
          <w:rFonts w:ascii="Verdana" w:hAnsi="Verdana" w:cs="Verdana"/>
          <w:bCs/>
          <w:sz w:val="18"/>
          <w:szCs w:val="18"/>
        </w:rPr>
        <w:t>Er zijn rentederivaten voortijdig beëindigd. Bij het beëindigen van een rentederivaat wordt de actuele marktwaarde van het derivaat verrekend tussen beide partijen. Doordat de derivaten voortijdig worden beëindigd, wordt de meerjarig geraamde renteontvangst in een keer ontvangen. Dit heeft in de afgelopen maanden geleid tot 694 mln. aan extra ontvangsten. Als gevolg hiervan dalen de reguliere renteontvangsten op de derivatenportefeuille met 50 mln.</w:t>
      </w: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Financiën</w:t>
            </w:r>
          </w:p>
          <w:p w:rsidRPr="008A79DC" w:rsidR="00636BA5" w:rsidRDefault="00636BA5">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IXB FINANCIËN: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7.105,9</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Belasting- en invorderingsrente</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37,0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Overig materieel</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29,2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Schade-uitkering ekv</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-50,5</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-15,4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0,3</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Mutatie begrotingsreserve ekv</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49,9</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39,1</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Afdrachten staatsloterij</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103,7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18,6</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121,9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161,2</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7.267,1</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253,5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7.520,6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IXB FINANCIËN: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3.162,8</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Dividenden staatsdeelnemingen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Doorbelasten kosten vervolging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35,0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Schaderestituties ekv</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-39,2</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38,9</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Premies ekv</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38,8</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40,9</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Afdrachten staatsloterij</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103,7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-15,0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87,7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lastRenderedPageBreak/>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167,4</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3.330,3</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3.334,0</w:t>
            </w:r>
          </w:p>
        </w:tc>
      </w:tr>
    </w:tbl>
    <w:p w:rsidRPr="008A79DC" w:rsidR="00412663" w:rsidP="00C41D99" w:rsidRDefault="00412663">
      <w:pPr>
        <w:spacing w:line="240" w:lineRule="exact"/>
        <w:rPr>
          <w:rFonts w:ascii="Verdana" w:hAnsi="Verdana" w:cs="Verdana"/>
          <w:b/>
          <w:bCs/>
          <w:sz w:val="18"/>
          <w:szCs w:val="18"/>
        </w:rPr>
      </w:pPr>
    </w:p>
    <w:p w:rsidRPr="008A79DC" w:rsidR="00636BA5" w:rsidP="00C41D99" w:rsidRDefault="00636BA5">
      <w:pPr>
        <w:spacing w:line="240" w:lineRule="exact"/>
        <w:rPr>
          <w:rFonts w:ascii="Verdana" w:hAnsi="Verdana" w:cs="Verdana"/>
          <w:b/>
          <w:bCs/>
          <w:sz w:val="18"/>
          <w:szCs w:val="18"/>
        </w:rPr>
      </w:pPr>
    </w:p>
    <w:p w:rsidRPr="008A79DC" w:rsidR="00636BA5" w:rsidP="00636BA5" w:rsidRDefault="00636BA5">
      <w:pPr>
        <w:rPr>
          <w:rFonts w:ascii="Verdana" w:hAnsi="Verdana"/>
          <w:i/>
          <w:sz w:val="18"/>
          <w:szCs w:val="18"/>
        </w:rPr>
      </w:pPr>
      <w:r w:rsidRPr="008A79DC">
        <w:rPr>
          <w:rFonts w:ascii="Verdana" w:hAnsi="Verdana"/>
          <w:i/>
          <w:sz w:val="18"/>
          <w:szCs w:val="18"/>
        </w:rPr>
        <w:t>Belasting- en invorderingsrente</w:t>
      </w:r>
    </w:p>
    <w:p w:rsidRPr="008A79DC" w:rsidR="00636BA5" w:rsidP="00636BA5" w:rsidRDefault="00636BA5">
      <w:pPr>
        <w:rPr>
          <w:rFonts w:ascii="Verdana" w:hAnsi="Verdana"/>
          <w:sz w:val="18"/>
          <w:szCs w:val="18"/>
        </w:rPr>
      </w:pPr>
      <w:r w:rsidRPr="008A79DC">
        <w:rPr>
          <w:rFonts w:ascii="Verdana" w:hAnsi="Verdana"/>
          <w:sz w:val="18"/>
          <w:szCs w:val="18"/>
        </w:rPr>
        <w:t>Bij de belasting- en invorderingsrente wordt een tegenvaller verwacht. Deze wordt onder andere veroorzaakt door hogere dan geraamde rentevergoedingen voor bijstellingen van aanslagen uit  eerdere belastingjaren, waarvoor nog de heffingsrenteregeling van toepassing is. Daarnaast worden er</w:t>
      </w:r>
      <w:r w:rsidR="00AD094E">
        <w:rPr>
          <w:rFonts w:ascii="Verdana" w:hAnsi="Verdana"/>
          <w:sz w:val="18"/>
          <w:szCs w:val="18"/>
        </w:rPr>
        <w:t xml:space="preserve"> naar verwachting</w:t>
      </w:r>
      <w:r w:rsidRPr="008A79DC">
        <w:rPr>
          <w:rFonts w:ascii="Verdana" w:hAnsi="Verdana"/>
          <w:sz w:val="18"/>
          <w:szCs w:val="18"/>
        </w:rPr>
        <w:t xml:space="preserve"> (voor begroting IXB relatief ongunstige) definitieve verdeelsleutels vastgesteld voor de rente uit de gecombineerde heffing van inkomstenbelasting en premies volksverzekeringen.</w:t>
      </w:r>
    </w:p>
    <w:p w:rsidRPr="008A79DC" w:rsidR="00636BA5" w:rsidP="00636BA5" w:rsidRDefault="00636BA5">
      <w:pPr>
        <w:rPr>
          <w:rFonts w:ascii="Verdana" w:hAnsi="Verdana"/>
          <w:i/>
          <w:sz w:val="18"/>
          <w:szCs w:val="18"/>
        </w:rPr>
      </w:pPr>
    </w:p>
    <w:p w:rsidRPr="008A79DC" w:rsidR="00636BA5" w:rsidP="00636BA5" w:rsidRDefault="00636BA5">
      <w:pPr>
        <w:rPr>
          <w:rFonts w:ascii="Verdana" w:hAnsi="Verdana"/>
          <w:i/>
          <w:sz w:val="18"/>
          <w:szCs w:val="18"/>
        </w:rPr>
      </w:pPr>
      <w:r w:rsidRPr="008A79DC">
        <w:rPr>
          <w:rFonts w:ascii="Verdana" w:hAnsi="Verdana"/>
          <w:i/>
          <w:sz w:val="18"/>
          <w:szCs w:val="18"/>
        </w:rPr>
        <w:t>Overig materieel</w:t>
      </w:r>
    </w:p>
    <w:p w:rsidRPr="008A79DC" w:rsidR="00636BA5" w:rsidP="00636BA5" w:rsidRDefault="00636BA5">
      <w:pPr>
        <w:rPr>
          <w:rFonts w:ascii="Verdana" w:hAnsi="Verdana"/>
          <w:sz w:val="18"/>
          <w:szCs w:val="18"/>
        </w:rPr>
      </w:pPr>
      <w:r w:rsidRPr="008A79DC">
        <w:rPr>
          <w:rFonts w:ascii="Verdana" w:hAnsi="Verdana"/>
          <w:sz w:val="18"/>
          <w:szCs w:val="18"/>
        </w:rPr>
        <w:t xml:space="preserve">Deze mutatie komt onder meer doordat een aantal ICT-projecten vertraagd is, waardoor andere projecten eerder zijn gestart. Ook leiden een aantal ICT-projecten tot grotere uitgaven dan voorzien. Dit heeft geleid tot een ramingsbijstelling en per saldo hogere uitgaven. </w:t>
      </w:r>
    </w:p>
    <w:p w:rsidRPr="008A79DC" w:rsidR="00636BA5" w:rsidP="00636BA5" w:rsidRDefault="00636BA5">
      <w:pPr>
        <w:rPr>
          <w:rFonts w:ascii="Verdana" w:hAnsi="Verdana"/>
          <w:i/>
          <w:sz w:val="18"/>
          <w:szCs w:val="18"/>
        </w:rPr>
      </w:pPr>
    </w:p>
    <w:p w:rsidRPr="008A79DC" w:rsidR="00636BA5" w:rsidP="00636BA5" w:rsidRDefault="00636BA5">
      <w:pPr>
        <w:rPr>
          <w:rFonts w:ascii="Verdana" w:hAnsi="Verdana"/>
          <w:i/>
          <w:sz w:val="18"/>
          <w:szCs w:val="18"/>
        </w:rPr>
      </w:pPr>
      <w:r w:rsidRPr="008A79DC">
        <w:rPr>
          <w:rFonts w:ascii="Verdana" w:hAnsi="Verdana"/>
          <w:i/>
          <w:sz w:val="18"/>
          <w:szCs w:val="18"/>
        </w:rPr>
        <w:t>Schade-uitkering ekv</w:t>
      </w:r>
    </w:p>
    <w:p w:rsidRPr="008A79DC" w:rsidR="00636BA5" w:rsidP="00636BA5" w:rsidRDefault="00636BA5">
      <w:pPr>
        <w:rPr>
          <w:rFonts w:ascii="Verdana" w:hAnsi="Verdana"/>
          <w:sz w:val="18"/>
          <w:szCs w:val="18"/>
        </w:rPr>
      </w:pPr>
      <w:r w:rsidRPr="008A79DC">
        <w:rPr>
          <w:rFonts w:ascii="Verdana" w:hAnsi="Verdana"/>
          <w:sz w:val="18"/>
          <w:szCs w:val="18"/>
        </w:rPr>
        <w:t>De uitgaven vallen lager uit dan verwacht omdat in 2018 geen grote schades zijn uitgekeerd.</w:t>
      </w:r>
    </w:p>
    <w:p w:rsidRPr="008A79DC" w:rsidR="00636BA5" w:rsidP="00636BA5" w:rsidRDefault="00636BA5">
      <w:pPr>
        <w:rPr>
          <w:rFonts w:ascii="Verdana" w:hAnsi="Verdana"/>
          <w:i/>
          <w:sz w:val="18"/>
          <w:szCs w:val="18"/>
        </w:rPr>
      </w:pPr>
    </w:p>
    <w:p w:rsidRPr="008A79DC" w:rsidR="00636BA5" w:rsidP="00636BA5" w:rsidRDefault="00636BA5">
      <w:pPr>
        <w:rPr>
          <w:rFonts w:ascii="Verdana" w:hAnsi="Verdana"/>
          <w:i/>
          <w:sz w:val="18"/>
          <w:szCs w:val="18"/>
        </w:rPr>
      </w:pPr>
      <w:r w:rsidRPr="008A79DC">
        <w:rPr>
          <w:rFonts w:ascii="Verdana" w:hAnsi="Verdana"/>
          <w:i/>
          <w:sz w:val="18"/>
          <w:szCs w:val="18"/>
        </w:rPr>
        <w:t>Diversen – uitgaven</w:t>
      </w:r>
    </w:p>
    <w:p w:rsidRPr="008A79DC" w:rsidR="00636BA5" w:rsidP="00636BA5" w:rsidRDefault="00636BA5">
      <w:pPr>
        <w:rPr>
          <w:rFonts w:ascii="Verdana" w:hAnsi="Verdana"/>
          <w:sz w:val="18"/>
          <w:szCs w:val="18"/>
        </w:rPr>
      </w:pPr>
      <w:r w:rsidRPr="008A79DC">
        <w:rPr>
          <w:rFonts w:ascii="Verdana" w:hAnsi="Verdana"/>
          <w:sz w:val="18"/>
          <w:szCs w:val="18"/>
        </w:rPr>
        <w:t xml:space="preserve">Dit betreft de som van meerdere mutaties. Zo zal voor de Regeling Vervroegde Uittreding (RVU) 6 mln. minder worden uitgegeven, omdat na uitspraak van de inspecteur de RVU-betaling per september 2018 is stopgezet. Verder is er sprake van vertraging in de realisatie van de Investeringsagenda en blijft de inhuur van externen naar verwachting 6,6 mln. achter. Voor het afnemen van de Rijksbrede dienstverlening van Logius moet de Belastingdienst een extra bijdrage van 5,7 mln. leveren. De uitgaven aan eigen personeel bij het kerndepartement vallen 8,9 mln. lager uit dan verwacht vanwege vertraging in de werving van personeel. </w:t>
      </w:r>
    </w:p>
    <w:p w:rsidRPr="008A79DC" w:rsidR="00636BA5" w:rsidP="00636BA5" w:rsidRDefault="00636BA5">
      <w:pPr>
        <w:rPr>
          <w:rFonts w:ascii="Verdana" w:hAnsi="Verdana"/>
          <w:sz w:val="18"/>
          <w:szCs w:val="18"/>
        </w:rPr>
      </w:pPr>
      <w:r w:rsidRPr="008A79DC">
        <w:rPr>
          <w:rFonts w:ascii="Verdana" w:hAnsi="Verdana"/>
          <w:sz w:val="18"/>
          <w:szCs w:val="18"/>
        </w:rPr>
        <w:t xml:space="preserve"> </w:t>
      </w:r>
    </w:p>
    <w:p w:rsidRPr="008A79DC" w:rsidR="00636BA5" w:rsidP="00636BA5" w:rsidRDefault="00636BA5">
      <w:pPr>
        <w:rPr>
          <w:rFonts w:ascii="Verdana" w:hAnsi="Verdana"/>
          <w:i/>
          <w:sz w:val="18"/>
          <w:szCs w:val="18"/>
        </w:rPr>
      </w:pPr>
      <w:r w:rsidRPr="008A79DC">
        <w:rPr>
          <w:rFonts w:ascii="Verdana" w:hAnsi="Verdana"/>
          <w:i/>
          <w:sz w:val="18"/>
          <w:szCs w:val="18"/>
        </w:rPr>
        <w:t>Mutatie begrotingsreserve ekv</w:t>
      </w:r>
    </w:p>
    <w:p w:rsidRPr="008A79DC" w:rsidR="00636BA5" w:rsidP="00636BA5" w:rsidRDefault="00636BA5">
      <w:pPr>
        <w:rPr>
          <w:rFonts w:ascii="Verdana" w:hAnsi="Verdana"/>
          <w:sz w:val="18"/>
          <w:szCs w:val="18"/>
        </w:rPr>
      </w:pPr>
      <w:r w:rsidRPr="008A79DC">
        <w:rPr>
          <w:rFonts w:ascii="Verdana" w:hAnsi="Verdana"/>
          <w:sz w:val="18"/>
          <w:szCs w:val="18"/>
        </w:rPr>
        <w:t xml:space="preserve">Het saldo van premies, schades en recuperaties wordt in de risicovoorziening gestort om toekomstige schades op te kunnen vangen. De storting betreft het positieve saldo dat overblijft wanneer de onderuitputting op de uitgaven (50,3 mln.) wordt verrekend met het negatieve saldo (-0,4 mln.) op de ontvangsten. </w:t>
      </w:r>
    </w:p>
    <w:p w:rsidRPr="008A79DC" w:rsidR="00636BA5" w:rsidP="00636BA5" w:rsidRDefault="00636BA5">
      <w:pPr>
        <w:rPr>
          <w:rFonts w:ascii="Verdana" w:hAnsi="Verdana"/>
          <w:sz w:val="18"/>
          <w:szCs w:val="18"/>
        </w:rPr>
      </w:pPr>
    </w:p>
    <w:p w:rsidRPr="008A79DC" w:rsidR="00636BA5" w:rsidP="00636BA5" w:rsidRDefault="00636BA5">
      <w:pPr>
        <w:rPr>
          <w:rFonts w:ascii="Verdana" w:hAnsi="Verdana"/>
          <w:i/>
          <w:sz w:val="18"/>
          <w:szCs w:val="18"/>
        </w:rPr>
      </w:pPr>
      <w:r w:rsidRPr="008A79DC">
        <w:rPr>
          <w:rFonts w:ascii="Verdana" w:hAnsi="Verdana"/>
          <w:i/>
          <w:sz w:val="18"/>
          <w:szCs w:val="18"/>
        </w:rPr>
        <w:t xml:space="preserve">Afdrachten staatsloterij – uitgaven en </w:t>
      </w:r>
      <w:r w:rsidRPr="008A79DC" w:rsidR="00273291">
        <w:rPr>
          <w:rFonts w:ascii="Verdana" w:hAnsi="Verdana"/>
          <w:i/>
          <w:sz w:val="18"/>
          <w:szCs w:val="18"/>
        </w:rPr>
        <w:t>niet-belastingontvangsten</w:t>
      </w:r>
    </w:p>
    <w:p w:rsidRPr="008A79DC" w:rsidR="00636BA5" w:rsidP="00636BA5" w:rsidRDefault="00636BA5">
      <w:pPr>
        <w:rPr>
          <w:rFonts w:ascii="Verdana" w:hAnsi="Verdana"/>
          <w:sz w:val="18"/>
          <w:szCs w:val="18"/>
        </w:rPr>
      </w:pPr>
      <w:r w:rsidRPr="008A79DC">
        <w:rPr>
          <w:rFonts w:ascii="Verdana" w:hAnsi="Verdana"/>
          <w:sz w:val="18"/>
          <w:szCs w:val="18"/>
        </w:rPr>
        <w:t>Op basis van de Wet op de Kansspelen heeft de Staat recht op de opbrengsten van de Staatsloterij. Op basis van de fusieovereenkomst met de Lotto worden deze verrekend met de afdrachten van de Lotto, waarna 63 procent van het totaal toekomt aan de Staat. Deze verrekening is opgenomen bij de uitgaven en ontvangsten.</w:t>
      </w:r>
    </w:p>
    <w:p w:rsidRPr="008A79DC" w:rsidR="00636BA5" w:rsidP="00636BA5" w:rsidRDefault="00636BA5">
      <w:pPr>
        <w:rPr>
          <w:rFonts w:ascii="Verdana" w:hAnsi="Verdana"/>
          <w:i/>
          <w:sz w:val="18"/>
          <w:szCs w:val="18"/>
        </w:rPr>
      </w:pPr>
    </w:p>
    <w:p w:rsidRPr="008A79DC" w:rsidR="00636BA5" w:rsidP="00636BA5" w:rsidRDefault="00636BA5">
      <w:pPr>
        <w:rPr>
          <w:rFonts w:ascii="Verdana" w:hAnsi="Verdana"/>
          <w:i/>
          <w:sz w:val="18"/>
          <w:szCs w:val="18"/>
        </w:rPr>
      </w:pPr>
      <w:r w:rsidRPr="008A79DC">
        <w:rPr>
          <w:rFonts w:ascii="Verdana" w:hAnsi="Verdana"/>
          <w:i/>
          <w:sz w:val="18"/>
          <w:szCs w:val="18"/>
        </w:rPr>
        <w:t>Dividenden staatsdeelnemingen</w:t>
      </w:r>
    </w:p>
    <w:p w:rsidRPr="008A79DC" w:rsidR="00636BA5" w:rsidP="00636BA5" w:rsidRDefault="00636BA5">
      <w:pPr>
        <w:rPr>
          <w:rFonts w:ascii="Verdana" w:hAnsi="Verdana"/>
          <w:sz w:val="18"/>
          <w:szCs w:val="18"/>
        </w:rPr>
      </w:pPr>
      <w:r w:rsidRPr="008A79DC">
        <w:rPr>
          <w:rFonts w:ascii="Verdana" w:hAnsi="Verdana"/>
          <w:sz w:val="18"/>
          <w:szCs w:val="18"/>
        </w:rPr>
        <w:t>Doordat de staatsdeelnemingen in totaal meer dividend hebben afgedragen dan geraamd, is de raming in 2018 met 40 mln. verhoogd.</w:t>
      </w:r>
    </w:p>
    <w:p w:rsidRPr="008A79DC" w:rsidR="00636BA5" w:rsidP="00636BA5" w:rsidRDefault="00636BA5">
      <w:pPr>
        <w:rPr>
          <w:rFonts w:ascii="Verdana" w:hAnsi="Verdana"/>
          <w:i/>
          <w:sz w:val="18"/>
          <w:szCs w:val="18"/>
        </w:rPr>
      </w:pPr>
    </w:p>
    <w:p w:rsidRPr="008A79DC" w:rsidR="00636BA5" w:rsidP="00636BA5" w:rsidRDefault="00636BA5">
      <w:pPr>
        <w:rPr>
          <w:rFonts w:ascii="Verdana" w:hAnsi="Verdana"/>
          <w:i/>
          <w:sz w:val="18"/>
          <w:szCs w:val="18"/>
        </w:rPr>
      </w:pPr>
      <w:r w:rsidRPr="008A79DC">
        <w:rPr>
          <w:rFonts w:ascii="Verdana" w:hAnsi="Verdana"/>
          <w:i/>
          <w:sz w:val="18"/>
          <w:szCs w:val="18"/>
        </w:rPr>
        <w:t>Doorbelasten kosten vervolging</w:t>
      </w:r>
    </w:p>
    <w:p w:rsidRPr="008A79DC" w:rsidR="00636BA5" w:rsidP="00636BA5" w:rsidRDefault="00636BA5">
      <w:pPr>
        <w:rPr>
          <w:rFonts w:ascii="Verdana" w:hAnsi="Verdana"/>
          <w:sz w:val="18"/>
          <w:szCs w:val="18"/>
        </w:rPr>
      </w:pPr>
      <w:r w:rsidRPr="008A79DC">
        <w:rPr>
          <w:rFonts w:ascii="Verdana" w:hAnsi="Verdana"/>
          <w:sz w:val="18"/>
          <w:szCs w:val="18"/>
        </w:rPr>
        <w:t>De aan burgers en bedrijven doorbelaste kosten van vervolging, die voortkomen uit het niet betalen van belasting, vallen hoger uit. Dit wordt veroorzaakt door een stijging van het aantal invorderingsmaatregelen (zoals aanmaningen) bij de Belastingdienst.</w:t>
      </w:r>
    </w:p>
    <w:p w:rsidRPr="008A79DC" w:rsidR="00636BA5" w:rsidP="00636BA5" w:rsidRDefault="00636BA5">
      <w:pPr>
        <w:rPr>
          <w:rFonts w:ascii="Verdana" w:hAnsi="Verdana"/>
          <w:i/>
          <w:sz w:val="18"/>
          <w:szCs w:val="18"/>
        </w:rPr>
      </w:pPr>
    </w:p>
    <w:p w:rsidRPr="008A79DC" w:rsidR="00636BA5" w:rsidP="00636BA5" w:rsidRDefault="00636BA5">
      <w:pPr>
        <w:rPr>
          <w:rFonts w:ascii="Verdana" w:hAnsi="Verdana"/>
          <w:i/>
          <w:sz w:val="18"/>
          <w:szCs w:val="18"/>
        </w:rPr>
      </w:pPr>
      <w:r w:rsidRPr="008A79DC">
        <w:rPr>
          <w:rFonts w:ascii="Verdana" w:hAnsi="Verdana"/>
          <w:i/>
          <w:sz w:val="18"/>
          <w:szCs w:val="18"/>
        </w:rPr>
        <w:t>Schaderestituties ekv</w:t>
      </w:r>
    </w:p>
    <w:p w:rsidRPr="008A79DC" w:rsidR="00636BA5" w:rsidP="00636BA5" w:rsidRDefault="00636BA5">
      <w:pPr>
        <w:rPr>
          <w:rFonts w:ascii="Verdana" w:hAnsi="Verdana"/>
          <w:sz w:val="18"/>
          <w:szCs w:val="18"/>
        </w:rPr>
      </w:pPr>
      <w:r w:rsidRPr="008A79DC">
        <w:rPr>
          <w:rFonts w:ascii="Verdana" w:hAnsi="Verdana"/>
          <w:sz w:val="18"/>
          <w:szCs w:val="18"/>
        </w:rPr>
        <w:t>Bij het verhalen van uitgekeerde schade op andere landen zijn minder schaderestituties gerealiseerd dan geraamd. De recuperatieramingen zijn volatiel en lastig te ramen. Het lijkt erop dat de raming voor de restituties niet gerealiseerd zal worden.</w:t>
      </w:r>
    </w:p>
    <w:p w:rsidRPr="008A79DC" w:rsidR="00636BA5" w:rsidP="00636BA5" w:rsidRDefault="00636BA5">
      <w:pPr>
        <w:rPr>
          <w:rFonts w:ascii="Verdana" w:hAnsi="Verdana"/>
          <w:i/>
          <w:sz w:val="18"/>
          <w:szCs w:val="18"/>
        </w:rPr>
      </w:pPr>
    </w:p>
    <w:p w:rsidRPr="008A79DC" w:rsidR="00636BA5" w:rsidP="00636BA5" w:rsidRDefault="00636BA5">
      <w:pPr>
        <w:rPr>
          <w:rFonts w:ascii="Verdana" w:hAnsi="Verdana"/>
          <w:i/>
          <w:sz w:val="18"/>
          <w:szCs w:val="18"/>
        </w:rPr>
      </w:pPr>
      <w:r w:rsidRPr="008A79DC">
        <w:rPr>
          <w:rFonts w:ascii="Verdana" w:hAnsi="Verdana"/>
          <w:i/>
          <w:sz w:val="18"/>
          <w:szCs w:val="18"/>
        </w:rPr>
        <w:t xml:space="preserve">Diversen – niet-belastingontvangsten </w:t>
      </w:r>
    </w:p>
    <w:p w:rsidRPr="008A79DC" w:rsidR="00636BA5" w:rsidP="00636BA5" w:rsidRDefault="00636BA5">
      <w:pPr>
        <w:rPr>
          <w:rFonts w:ascii="Verdana" w:hAnsi="Verdana"/>
          <w:sz w:val="18"/>
          <w:szCs w:val="18"/>
        </w:rPr>
      </w:pPr>
      <w:r w:rsidRPr="008A79DC">
        <w:rPr>
          <w:rFonts w:ascii="Verdana" w:hAnsi="Verdana"/>
          <w:sz w:val="18"/>
          <w:szCs w:val="18"/>
        </w:rPr>
        <w:t xml:space="preserve">Dit betreft </w:t>
      </w:r>
      <w:r w:rsidRPr="008A79DC" w:rsidR="00273291">
        <w:rPr>
          <w:rFonts w:ascii="Verdana" w:hAnsi="Verdana"/>
          <w:sz w:val="18"/>
          <w:szCs w:val="18"/>
        </w:rPr>
        <w:t>de</w:t>
      </w:r>
      <w:r w:rsidRPr="008A79DC">
        <w:rPr>
          <w:rFonts w:ascii="Verdana" w:hAnsi="Verdana"/>
          <w:sz w:val="18"/>
          <w:szCs w:val="18"/>
        </w:rPr>
        <w:t xml:space="preserve"> som van meerdere mutaties. Zo wordt </w:t>
      </w:r>
      <w:r w:rsidRPr="008A79DC" w:rsidR="00273291">
        <w:rPr>
          <w:rFonts w:ascii="Verdana" w:hAnsi="Verdana"/>
          <w:sz w:val="18"/>
          <w:szCs w:val="18"/>
        </w:rPr>
        <w:t>op</w:t>
      </w:r>
      <w:r w:rsidRPr="008A79DC">
        <w:rPr>
          <w:rFonts w:ascii="Verdana" w:hAnsi="Verdana"/>
          <w:sz w:val="18"/>
          <w:szCs w:val="18"/>
        </w:rPr>
        <w:t xml:space="preserve"> de belasting- en invorderingsrente een meevaller van 9 mln. verwacht </w:t>
      </w:r>
      <w:r w:rsidRPr="008A79DC" w:rsidR="00273291">
        <w:rPr>
          <w:rFonts w:ascii="Verdana" w:hAnsi="Verdana"/>
          <w:sz w:val="18"/>
          <w:szCs w:val="18"/>
        </w:rPr>
        <w:t xml:space="preserve">op basis van realisaties </w:t>
      </w:r>
      <w:r w:rsidRPr="008A79DC">
        <w:rPr>
          <w:rFonts w:ascii="Verdana" w:hAnsi="Verdana"/>
          <w:sz w:val="18"/>
          <w:szCs w:val="18"/>
        </w:rPr>
        <w:t xml:space="preserve">bij de renteontvangsten. </w:t>
      </w:r>
      <w:r w:rsidRPr="008A79DC" w:rsidR="00273291">
        <w:rPr>
          <w:rFonts w:ascii="Verdana" w:hAnsi="Verdana"/>
          <w:sz w:val="18"/>
          <w:szCs w:val="18"/>
        </w:rPr>
        <w:t>Daarnaast</w:t>
      </w:r>
      <w:r w:rsidRPr="008A79DC">
        <w:rPr>
          <w:rFonts w:ascii="Verdana" w:hAnsi="Verdana"/>
          <w:sz w:val="18"/>
          <w:szCs w:val="18"/>
        </w:rPr>
        <w:t xml:space="preserve"> blijven </w:t>
      </w:r>
      <w:r w:rsidRPr="008A79DC">
        <w:rPr>
          <w:rFonts w:ascii="Verdana" w:hAnsi="Verdana"/>
          <w:sz w:val="18"/>
          <w:szCs w:val="18"/>
        </w:rPr>
        <w:lastRenderedPageBreak/>
        <w:t xml:space="preserve">de ontvangen bestuurlijke boetes 6 mln. achter bij de raming. De apparaatsontvangsten nemen met 3,8 mln. toe, onder meer doordat de Belastingdienst verwacht meer diensten in rekening te brengen voor facilitaire zaken aan andere overheidspartijen. Daarnaast is </w:t>
      </w:r>
      <w:r w:rsidRPr="008A79DC" w:rsidR="00273291">
        <w:rPr>
          <w:rFonts w:ascii="Verdana" w:hAnsi="Verdana"/>
          <w:sz w:val="18"/>
          <w:szCs w:val="18"/>
        </w:rPr>
        <w:t>het</w:t>
      </w:r>
      <w:r w:rsidRPr="008A79DC">
        <w:rPr>
          <w:rFonts w:ascii="Verdana" w:hAnsi="Verdana"/>
          <w:sz w:val="18"/>
          <w:szCs w:val="18"/>
        </w:rPr>
        <w:t xml:space="preserve"> interimdividend van ABN A</w:t>
      </w:r>
      <w:r w:rsidRPr="008A79DC" w:rsidR="00273291">
        <w:rPr>
          <w:rFonts w:ascii="Verdana" w:hAnsi="Verdana"/>
          <w:sz w:val="18"/>
          <w:szCs w:val="18"/>
        </w:rPr>
        <w:t>MRO</w:t>
      </w:r>
      <w:r w:rsidRPr="008A79DC">
        <w:rPr>
          <w:rFonts w:ascii="Verdana" w:hAnsi="Verdana"/>
          <w:sz w:val="18"/>
          <w:szCs w:val="18"/>
        </w:rPr>
        <w:t xml:space="preserve"> 14,9 mln. lager uitgevallen dan verwacht.</w:t>
      </w:r>
    </w:p>
    <w:p w:rsidRPr="008A79DC" w:rsidR="00636BA5" w:rsidP="00636BA5" w:rsidRDefault="00636BA5">
      <w:pPr>
        <w:rPr>
          <w:rFonts w:ascii="Verdana" w:hAnsi="Verdana"/>
          <w:i/>
          <w:sz w:val="18"/>
          <w:szCs w:val="18"/>
        </w:rPr>
      </w:pPr>
      <w:r w:rsidRPr="008A79DC">
        <w:rPr>
          <w:rFonts w:ascii="Verdana" w:hAnsi="Verdana"/>
          <w:i/>
          <w:sz w:val="18"/>
          <w:szCs w:val="18"/>
        </w:rPr>
        <w:t xml:space="preserve"> </w:t>
      </w:r>
    </w:p>
    <w:p w:rsidRPr="008A79DC" w:rsidR="00636BA5" w:rsidP="00636BA5" w:rsidRDefault="00636BA5">
      <w:pPr>
        <w:rPr>
          <w:rFonts w:ascii="Verdana" w:hAnsi="Verdana"/>
          <w:i/>
          <w:sz w:val="18"/>
          <w:szCs w:val="18"/>
        </w:rPr>
      </w:pPr>
      <w:r w:rsidRPr="008A79DC">
        <w:rPr>
          <w:rFonts w:ascii="Verdana" w:hAnsi="Verdana"/>
          <w:i/>
          <w:sz w:val="18"/>
          <w:szCs w:val="18"/>
        </w:rPr>
        <w:t>Premies ekv</w:t>
      </w:r>
    </w:p>
    <w:p w:rsidRPr="008A79DC" w:rsidR="00636BA5" w:rsidP="00636BA5" w:rsidRDefault="00636BA5">
      <w:pPr>
        <w:rPr>
          <w:rFonts w:ascii="Verdana" w:hAnsi="Verdana"/>
          <w:sz w:val="18"/>
          <w:szCs w:val="18"/>
        </w:rPr>
      </w:pPr>
      <w:r w:rsidRPr="008A79DC">
        <w:rPr>
          <w:rFonts w:ascii="Verdana" w:hAnsi="Verdana"/>
          <w:sz w:val="18"/>
          <w:szCs w:val="18"/>
        </w:rPr>
        <w:t>De premie-inkomsten zijn hoger dan eerder verwacht, omdat er naar verwachting nog een omvangrijke transactie in verzekering zal worden genomen.</w:t>
      </w:r>
    </w:p>
    <w:p w:rsidRPr="008A79DC" w:rsidR="00636BA5" w:rsidP="00C41D99" w:rsidRDefault="00636BA5">
      <w:pPr>
        <w:spacing w:line="240" w:lineRule="exact"/>
        <w:rPr>
          <w:rFonts w:ascii="Verdana" w:hAnsi="Verdana" w:cs="Verdana"/>
          <w:b/>
          <w:bCs/>
          <w:sz w:val="18"/>
          <w:szCs w:val="18"/>
        </w:rPr>
      </w:pP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Defensie</w:t>
            </w:r>
          </w:p>
          <w:p w:rsidRPr="008A79DC" w:rsidR="00273291" w:rsidRDefault="00273291">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X DEFENSIE: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9.237,9</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-0,1</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Doorwerking ontvangsten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-33,9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-0,1</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-35,4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-35,4</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9.202,5</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297,8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9.500,3</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X DEFENSIE: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500,3</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45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Lagere ontvangsten inruilwaarde dienstpersonenauto¿s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-59,2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26,8</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Ontvangsten vervroegde aflossing lening abp</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110,5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78,1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78,1</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578,5</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32,0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610,5</w:t>
            </w:r>
          </w:p>
        </w:tc>
      </w:tr>
    </w:tbl>
    <w:p w:rsidRPr="008A79DC" w:rsidR="00412663" w:rsidP="00C41D99" w:rsidRDefault="00412663">
      <w:pPr>
        <w:spacing w:line="240" w:lineRule="exact"/>
        <w:rPr>
          <w:rFonts w:ascii="Verdana" w:hAnsi="Verdana" w:cs="Verdana"/>
          <w:b/>
          <w:bCs/>
          <w:sz w:val="18"/>
          <w:szCs w:val="18"/>
        </w:rPr>
      </w:pPr>
    </w:p>
    <w:p w:rsidRPr="008A79DC" w:rsidR="00273291" w:rsidP="00C41D99" w:rsidRDefault="00273291">
      <w:pPr>
        <w:spacing w:line="240" w:lineRule="exact"/>
        <w:rPr>
          <w:rFonts w:ascii="Verdana" w:hAnsi="Verdana" w:cs="Verdana"/>
          <w:b/>
          <w:bCs/>
          <w:sz w:val="18"/>
          <w:szCs w:val="18"/>
        </w:rPr>
      </w:pPr>
    </w:p>
    <w:p w:rsidRPr="00464BD9" w:rsidR="00464BD9" w:rsidP="00464BD9" w:rsidRDefault="00464BD9">
      <w:pPr>
        <w:spacing w:line="240" w:lineRule="exact"/>
        <w:rPr>
          <w:rFonts w:ascii="Verdana" w:hAnsi="Verdana"/>
          <w:i/>
          <w:sz w:val="18"/>
          <w:szCs w:val="18"/>
        </w:rPr>
      </w:pPr>
      <w:r w:rsidRPr="00464BD9">
        <w:rPr>
          <w:rFonts w:ascii="Verdana" w:hAnsi="Verdana"/>
          <w:i/>
          <w:sz w:val="18"/>
          <w:szCs w:val="18"/>
        </w:rPr>
        <w:t>Diversen – beleidsmatige mutaties</w:t>
      </w:r>
    </w:p>
    <w:p w:rsidRPr="00464BD9" w:rsidR="00464BD9" w:rsidP="00464BD9" w:rsidRDefault="00464BD9">
      <w:pPr>
        <w:spacing w:line="240" w:lineRule="exact"/>
        <w:rPr>
          <w:rFonts w:ascii="Verdana" w:hAnsi="Verdana"/>
          <w:sz w:val="18"/>
          <w:szCs w:val="18"/>
        </w:rPr>
      </w:pPr>
      <w:r w:rsidRPr="00464BD9">
        <w:rPr>
          <w:rFonts w:ascii="Verdana" w:hAnsi="Verdana"/>
          <w:sz w:val="18"/>
          <w:szCs w:val="18"/>
        </w:rPr>
        <w:t>Diverse Defensieonderdelen geven niet al het geld uit dat dit jaar is begroot. De voornaamste onderrealisatie doet zich voor bij</w:t>
      </w:r>
      <w:r>
        <w:rPr>
          <w:rFonts w:ascii="Verdana" w:hAnsi="Verdana"/>
          <w:sz w:val="18"/>
          <w:szCs w:val="18"/>
        </w:rPr>
        <w:t xml:space="preserve"> het</w:t>
      </w:r>
      <w:r w:rsidRPr="00464BD9">
        <w:rPr>
          <w:rFonts w:ascii="Verdana" w:hAnsi="Verdana"/>
          <w:sz w:val="18"/>
          <w:szCs w:val="18"/>
        </w:rPr>
        <w:t xml:space="preserve"> Command</w:t>
      </w:r>
      <w:r>
        <w:rPr>
          <w:rFonts w:ascii="Verdana" w:hAnsi="Verdana"/>
          <w:sz w:val="18"/>
          <w:szCs w:val="18"/>
        </w:rPr>
        <w:t>o</w:t>
      </w:r>
      <w:r w:rsidRPr="00464BD9">
        <w:rPr>
          <w:rFonts w:ascii="Verdana" w:hAnsi="Verdana"/>
          <w:sz w:val="18"/>
          <w:szCs w:val="18"/>
        </w:rPr>
        <w:t xml:space="preserve"> Landstrijdkrachten (</w:t>
      </w:r>
      <w:r>
        <w:rPr>
          <w:rFonts w:ascii="Verdana" w:hAnsi="Verdana"/>
          <w:sz w:val="18"/>
          <w:szCs w:val="18"/>
        </w:rPr>
        <w:t xml:space="preserve">CLAS; </w:t>
      </w:r>
      <w:r w:rsidRPr="00464BD9">
        <w:rPr>
          <w:rFonts w:ascii="Verdana" w:hAnsi="Verdana"/>
          <w:sz w:val="18"/>
          <w:szCs w:val="18"/>
        </w:rPr>
        <w:t xml:space="preserve">ruim 40 mln. op programma-uitgaven en personele uitgaven) en </w:t>
      </w:r>
      <w:r>
        <w:rPr>
          <w:rFonts w:ascii="Verdana" w:hAnsi="Verdana"/>
          <w:sz w:val="18"/>
          <w:szCs w:val="18"/>
        </w:rPr>
        <w:t xml:space="preserve">bij de </w:t>
      </w:r>
      <w:r w:rsidRPr="00464BD9">
        <w:rPr>
          <w:rFonts w:ascii="Verdana" w:hAnsi="Verdana"/>
          <w:sz w:val="18"/>
          <w:szCs w:val="18"/>
        </w:rPr>
        <w:t>Defensie Materieel Organisatie (</w:t>
      </w:r>
      <w:r>
        <w:rPr>
          <w:rFonts w:ascii="Verdana" w:hAnsi="Verdana"/>
          <w:sz w:val="18"/>
          <w:szCs w:val="18"/>
        </w:rPr>
        <w:t xml:space="preserve">DMO; </w:t>
      </w:r>
      <w:r w:rsidRPr="00464BD9">
        <w:rPr>
          <w:rFonts w:ascii="Verdana" w:hAnsi="Verdana"/>
          <w:sz w:val="18"/>
          <w:szCs w:val="18"/>
        </w:rPr>
        <w:t>ruim 40 mln. op de programma-uitgaven). Bij CLAS blijkt de toewijzing in juni 2018 van extra budget uit de Defensienota voor verbetering van de materiële gereedheid en formatie te laat om nog dit jaar tot besteding te komen. Bij DMO zijn de lagere uitgaven vooral het gevolg van een lager verbruik van brandstof in combinatie met lager dan verwachte brandstofprijzen. Verder zijn er minder uitgaven voor p</w:t>
      </w:r>
      <w:r>
        <w:rPr>
          <w:rFonts w:ascii="Verdana" w:hAnsi="Verdana"/>
          <w:sz w:val="18"/>
          <w:szCs w:val="18"/>
        </w:rPr>
        <w:t>ersonele uitrusting en munitie.</w:t>
      </w:r>
    </w:p>
    <w:p w:rsidRPr="00464BD9" w:rsidR="00464BD9" w:rsidP="00464BD9" w:rsidRDefault="00464BD9">
      <w:pPr>
        <w:spacing w:line="240" w:lineRule="exact"/>
        <w:rPr>
          <w:rFonts w:ascii="Verdana" w:hAnsi="Verdana"/>
          <w:sz w:val="18"/>
          <w:szCs w:val="18"/>
        </w:rPr>
      </w:pPr>
    </w:p>
    <w:p w:rsidRPr="00464BD9" w:rsidR="00464BD9" w:rsidP="00464BD9" w:rsidRDefault="00464BD9">
      <w:pPr>
        <w:spacing w:line="240" w:lineRule="exact"/>
        <w:rPr>
          <w:rFonts w:ascii="Verdana" w:hAnsi="Verdana"/>
          <w:sz w:val="18"/>
          <w:szCs w:val="18"/>
        </w:rPr>
      </w:pPr>
      <w:r w:rsidRPr="00464BD9">
        <w:rPr>
          <w:rFonts w:ascii="Verdana" w:hAnsi="Verdana"/>
          <w:sz w:val="18"/>
          <w:szCs w:val="18"/>
        </w:rPr>
        <w:t xml:space="preserve">Een bedrag van 100 mln. aan onderuitputting bij de defensieonderdelen is ingezet om een groot deel van de financieringsconstructie met het ABP voor militaire pensioenen versneld af te lossen. Het betreft een aflossing op een </w:t>
      </w:r>
      <w:r>
        <w:rPr>
          <w:rFonts w:ascii="Verdana" w:hAnsi="Verdana"/>
          <w:sz w:val="18"/>
          <w:szCs w:val="18"/>
        </w:rPr>
        <w:t xml:space="preserve">eerdere </w:t>
      </w:r>
      <w:r w:rsidRPr="00464BD9">
        <w:rPr>
          <w:rFonts w:ascii="Verdana" w:hAnsi="Verdana"/>
          <w:sz w:val="18"/>
          <w:szCs w:val="18"/>
        </w:rPr>
        <w:t xml:space="preserve">lening van in totaal ongeveer 158 mln. voor de overgang </w:t>
      </w:r>
      <w:r w:rsidRPr="00464BD9">
        <w:rPr>
          <w:rFonts w:ascii="Verdana" w:hAnsi="Verdana"/>
          <w:sz w:val="18"/>
          <w:szCs w:val="18"/>
        </w:rPr>
        <w:lastRenderedPageBreak/>
        <w:t>van het omslagstelsel naar het kapitaaldekkingsstelsel. Voorts wordt 10 mln. ingezet ter vervanging van verouderde end user devices, zoals telefoons en beelschermen, en 14,5 mln. voor informatievoorziening (DMO).</w:t>
      </w:r>
    </w:p>
    <w:p w:rsidRPr="00464BD9" w:rsidR="00464BD9" w:rsidP="00464BD9" w:rsidRDefault="00464BD9">
      <w:pPr>
        <w:spacing w:line="240" w:lineRule="exact"/>
        <w:rPr>
          <w:rFonts w:ascii="Verdana" w:hAnsi="Verdana"/>
          <w:i/>
          <w:sz w:val="18"/>
          <w:szCs w:val="18"/>
        </w:rPr>
      </w:pPr>
    </w:p>
    <w:p w:rsidRPr="00464BD9" w:rsidR="00464BD9" w:rsidP="00464BD9" w:rsidRDefault="00464BD9">
      <w:pPr>
        <w:spacing w:line="240" w:lineRule="exact"/>
        <w:rPr>
          <w:rFonts w:ascii="Verdana" w:hAnsi="Verdana"/>
          <w:i/>
          <w:sz w:val="18"/>
          <w:szCs w:val="18"/>
        </w:rPr>
      </w:pPr>
      <w:r w:rsidRPr="00464BD9">
        <w:rPr>
          <w:rFonts w:ascii="Verdana" w:hAnsi="Verdana"/>
          <w:i/>
          <w:sz w:val="18"/>
          <w:szCs w:val="18"/>
        </w:rPr>
        <w:t xml:space="preserve">Doorwerking ontvangsten </w:t>
      </w:r>
    </w:p>
    <w:p w:rsidRPr="00464BD9" w:rsidR="00464BD9" w:rsidP="00464BD9" w:rsidRDefault="00464BD9">
      <w:pPr>
        <w:spacing w:line="240" w:lineRule="exact"/>
        <w:rPr>
          <w:rFonts w:ascii="Verdana" w:hAnsi="Verdana"/>
          <w:sz w:val="18"/>
          <w:szCs w:val="18"/>
        </w:rPr>
      </w:pPr>
      <w:r w:rsidRPr="00464BD9">
        <w:rPr>
          <w:rFonts w:ascii="Verdana" w:hAnsi="Verdana"/>
          <w:sz w:val="18"/>
          <w:szCs w:val="18"/>
        </w:rPr>
        <w:t>De programma-ontvangsten dalen per saldo met 35,9 m</w:t>
      </w:r>
      <w:r>
        <w:rPr>
          <w:rFonts w:ascii="Verdana" w:hAnsi="Verdana"/>
          <w:sz w:val="18"/>
          <w:szCs w:val="18"/>
        </w:rPr>
        <w:t>ln.</w:t>
      </w:r>
      <w:r w:rsidRPr="00464BD9">
        <w:rPr>
          <w:rFonts w:ascii="Verdana" w:hAnsi="Verdana"/>
          <w:sz w:val="18"/>
          <w:szCs w:val="18"/>
        </w:rPr>
        <w:t xml:space="preserve"> Dit wordt veroorzaakt doordat </w:t>
      </w:r>
      <w:r>
        <w:rPr>
          <w:rFonts w:ascii="Verdana" w:hAnsi="Verdana"/>
          <w:sz w:val="18"/>
          <w:szCs w:val="18"/>
        </w:rPr>
        <w:t>de ontvangstenraming</w:t>
      </w:r>
      <w:r w:rsidRPr="00464BD9">
        <w:rPr>
          <w:rFonts w:ascii="Verdana" w:hAnsi="Verdana"/>
          <w:sz w:val="18"/>
          <w:szCs w:val="18"/>
        </w:rPr>
        <w:t xml:space="preserve"> voor inruil van dienstvoertuigen neerwaarts is bijgesteld met 59,2 m</w:t>
      </w:r>
      <w:r>
        <w:rPr>
          <w:rFonts w:ascii="Verdana" w:hAnsi="Verdana"/>
          <w:sz w:val="18"/>
          <w:szCs w:val="18"/>
        </w:rPr>
        <w:t>ln.</w:t>
      </w:r>
      <w:r w:rsidRPr="00464BD9">
        <w:rPr>
          <w:rFonts w:ascii="Verdana" w:hAnsi="Verdana"/>
          <w:sz w:val="18"/>
          <w:szCs w:val="18"/>
        </w:rPr>
        <w:t xml:space="preserve"> en de verkoopopbrengsten voor groot materieel dalen me</w:t>
      </w:r>
      <w:r>
        <w:rPr>
          <w:rFonts w:ascii="Verdana" w:hAnsi="Verdana"/>
          <w:sz w:val="18"/>
          <w:szCs w:val="18"/>
        </w:rPr>
        <w:t xml:space="preserve">t </w:t>
      </w:r>
      <w:r w:rsidRPr="00464BD9">
        <w:rPr>
          <w:rFonts w:ascii="Verdana" w:hAnsi="Verdana"/>
          <w:sz w:val="18"/>
          <w:szCs w:val="18"/>
        </w:rPr>
        <w:t>2 m</w:t>
      </w:r>
      <w:r>
        <w:rPr>
          <w:rFonts w:ascii="Verdana" w:hAnsi="Verdana"/>
          <w:sz w:val="18"/>
          <w:szCs w:val="18"/>
        </w:rPr>
        <w:t>ln.</w:t>
      </w:r>
      <w:r w:rsidRPr="00464BD9">
        <w:rPr>
          <w:rFonts w:ascii="Verdana" w:hAnsi="Verdana"/>
          <w:sz w:val="18"/>
          <w:szCs w:val="18"/>
        </w:rPr>
        <w:t xml:space="preserve"> </w:t>
      </w:r>
      <w:r>
        <w:rPr>
          <w:rFonts w:ascii="Verdana" w:hAnsi="Verdana"/>
          <w:sz w:val="18"/>
          <w:szCs w:val="18"/>
        </w:rPr>
        <w:t xml:space="preserve">De daling op de ontvangstenraming voor dienstvoertuigen is het gevolg van de </w:t>
      </w:r>
      <w:r w:rsidRPr="00464BD9">
        <w:rPr>
          <w:rFonts w:ascii="Verdana" w:hAnsi="Verdana"/>
          <w:sz w:val="18"/>
          <w:szCs w:val="18"/>
        </w:rPr>
        <w:t xml:space="preserve">recent goedgekeurde herijking van de businesscase </w:t>
      </w:r>
      <w:r>
        <w:rPr>
          <w:rFonts w:ascii="Verdana" w:hAnsi="Verdana"/>
          <w:sz w:val="18"/>
          <w:szCs w:val="18"/>
        </w:rPr>
        <w:t>van Leaseplan voor</w:t>
      </w:r>
      <w:r w:rsidRPr="00464BD9">
        <w:rPr>
          <w:rFonts w:ascii="Verdana" w:hAnsi="Verdana"/>
          <w:sz w:val="18"/>
          <w:szCs w:val="18"/>
        </w:rPr>
        <w:t xml:space="preserve"> civiele dienstauto’s</w:t>
      </w:r>
      <w:r>
        <w:rPr>
          <w:rFonts w:ascii="Verdana" w:hAnsi="Verdana"/>
          <w:sz w:val="18"/>
          <w:szCs w:val="18"/>
        </w:rPr>
        <w:t>.</w:t>
      </w:r>
      <w:r w:rsidRPr="00464BD9">
        <w:rPr>
          <w:rFonts w:ascii="Verdana" w:hAnsi="Verdana"/>
          <w:sz w:val="18"/>
          <w:szCs w:val="18"/>
        </w:rPr>
        <w:t xml:space="preserve"> In de nieuwe</w:t>
      </w:r>
      <w:r>
        <w:rPr>
          <w:rFonts w:ascii="Verdana" w:hAnsi="Verdana"/>
          <w:sz w:val="18"/>
          <w:szCs w:val="18"/>
        </w:rPr>
        <w:t>,</w:t>
      </w:r>
      <w:r w:rsidRPr="00464BD9">
        <w:rPr>
          <w:rFonts w:ascii="Verdana" w:hAnsi="Verdana"/>
          <w:sz w:val="18"/>
          <w:szCs w:val="18"/>
        </w:rPr>
        <w:t xml:space="preserve"> realistischere business case komt naar voren dat de </w:t>
      </w:r>
      <w:r>
        <w:rPr>
          <w:rFonts w:ascii="Verdana" w:hAnsi="Verdana"/>
          <w:sz w:val="18"/>
          <w:szCs w:val="18"/>
        </w:rPr>
        <w:t>verkoop</w:t>
      </w:r>
      <w:r w:rsidRPr="00464BD9">
        <w:rPr>
          <w:rFonts w:ascii="Verdana" w:hAnsi="Verdana"/>
          <w:sz w:val="18"/>
          <w:szCs w:val="18"/>
        </w:rPr>
        <w:t>opbrengsten voorheen te hoog waren ingeschat door o.a. bepaalde belastingen niet mee te tellen.</w:t>
      </w:r>
      <w:r>
        <w:rPr>
          <w:rFonts w:ascii="Verdana" w:hAnsi="Verdana"/>
          <w:sz w:val="18"/>
          <w:szCs w:val="18"/>
        </w:rPr>
        <w:t xml:space="preserve"> </w:t>
      </w:r>
      <w:r w:rsidRPr="00464BD9">
        <w:rPr>
          <w:rFonts w:ascii="Verdana" w:hAnsi="Verdana"/>
          <w:sz w:val="18"/>
          <w:szCs w:val="18"/>
        </w:rPr>
        <w:t xml:space="preserve">Uit doelmatigheidsoverwegingen is besloten om de dienstpersonenauto’s van Defensie elke twee jaar in plaats van elke vier jaar te vervangen. Hierdoor worden oplopende exploitatie-uitgaven vanwege de ouderdom van de voertuigen vermeden. Daarnaast </w:t>
      </w:r>
      <w:r>
        <w:rPr>
          <w:rFonts w:ascii="Verdana" w:hAnsi="Verdana"/>
          <w:sz w:val="18"/>
          <w:szCs w:val="18"/>
        </w:rPr>
        <w:t xml:space="preserve">bestaat deze post uit  meeropbrengsten van </w:t>
      </w:r>
      <w:r w:rsidRPr="00464BD9">
        <w:rPr>
          <w:rFonts w:ascii="Verdana" w:hAnsi="Verdana"/>
          <w:sz w:val="18"/>
          <w:szCs w:val="18"/>
        </w:rPr>
        <w:t>21,2 m</w:t>
      </w:r>
      <w:r>
        <w:rPr>
          <w:rFonts w:ascii="Verdana" w:hAnsi="Verdana"/>
          <w:sz w:val="18"/>
          <w:szCs w:val="18"/>
        </w:rPr>
        <w:t>ln.</w:t>
      </w:r>
      <w:r w:rsidRPr="00464BD9">
        <w:rPr>
          <w:rFonts w:ascii="Verdana" w:hAnsi="Verdana"/>
          <w:sz w:val="18"/>
          <w:szCs w:val="18"/>
        </w:rPr>
        <w:t xml:space="preserve"> als gevolg van de aantrekkende vastgoedmarkt, wat resulteert in hogere verkoopopbrengsten voor diverse locaties waaronder het complex Binckhorsthof (Den Haag), en extra NAVO-ontvangsten </w:t>
      </w:r>
      <w:r>
        <w:rPr>
          <w:rFonts w:ascii="Verdana" w:hAnsi="Verdana"/>
          <w:sz w:val="18"/>
          <w:szCs w:val="18"/>
        </w:rPr>
        <w:t>van</w:t>
      </w:r>
      <w:r w:rsidRPr="00464BD9">
        <w:rPr>
          <w:rFonts w:ascii="Verdana" w:hAnsi="Verdana"/>
          <w:sz w:val="18"/>
          <w:szCs w:val="18"/>
        </w:rPr>
        <w:t xml:space="preserve"> 4,1 </w:t>
      </w:r>
      <w:r>
        <w:rPr>
          <w:rFonts w:ascii="Verdana" w:hAnsi="Verdana"/>
          <w:sz w:val="18"/>
          <w:szCs w:val="18"/>
        </w:rPr>
        <w:t>mln.</w:t>
      </w:r>
    </w:p>
    <w:p w:rsidRPr="00464BD9" w:rsidR="00464BD9" w:rsidP="00464BD9" w:rsidRDefault="00464BD9">
      <w:pPr>
        <w:spacing w:line="240" w:lineRule="exact"/>
        <w:rPr>
          <w:rFonts w:ascii="Verdana" w:hAnsi="Verdana"/>
          <w:i/>
          <w:sz w:val="18"/>
          <w:szCs w:val="18"/>
        </w:rPr>
      </w:pPr>
    </w:p>
    <w:p w:rsidRPr="00464BD9" w:rsidR="00464BD9" w:rsidP="00464BD9" w:rsidRDefault="00464BD9">
      <w:pPr>
        <w:spacing w:line="240" w:lineRule="exact"/>
        <w:rPr>
          <w:rFonts w:ascii="Verdana" w:hAnsi="Verdana"/>
          <w:i/>
          <w:sz w:val="18"/>
          <w:szCs w:val="18"/>
        </w:rPr>
      </w:pPr>
      <w:r w:rsidRPr="00464BD9">
        <w:rPr>
          <w:rFonts w:ascii="Verdana" w:hAnsi="Verdana"/>
          <w:i/>
          <w:sz w:val="18"/>
          <w:szCs w:val="18"/>
        </w:rPr>
        <w:t>Diversen – technische mutaties</w:t>
      </w:r>
    </w:p>
    <w:p w:rsidRPr="00464BD9" w:rsidR="00464BD9" w:rsidP="00464BD9" w:rsidRDefault="00464BD9">
      <w:pPr>
        <w:spacing w:line="240" w:lineRule="exact"/>
        <w:rPr>
          <w:rFonts w:ascii="Verdana" w:hAnsi="Verdana"/>
          <w:sz w:val="18"/>
          <w:szCs w:val="18"/>
        </w:rPr>
      </w:pPr>
      <w:r w:rsidRPr="00464BD9">
        <w:rPr>
          <w:rFonts w:ascii="Verdana" w:hAnsi="Verdana"/>
          <w:sz w:val="18"/>
          <w:szCs w:val="18"/>
        </w:rPr>
        <w:t>Dit betreft meerdere interdepartementale overboekingen van en naar het Ministerie van Defensie, vanwege:</w:t>
      </w:r>
    </w:p>
    <w:p w:rsidRPr="00464BD9" w:rsidR="00464BD9" w:rsidP="00464BD9" w:rsidRDefault="00464BD9">
      <w:pPr>
        <w:pStyle w:val="Lijstalinea"/>
        <w:numPr>
          <w:ilvl w:val="0"/>
          <w:numId w:val="20"/>
        </w:numPr>
        <w:spacing w:line="240" w:lineRule="exact"/>
        <w:rPr>
          <w:rFonts w:ascii="Verdana" w:hAnsi="Verdana"/>
          <w:sz w:val="18"/>
          <w:szCs w:val="18"/>
        </w:rPr>
      </w:pPr>
      <w:r w:rsidRPr="00464BD9">
        <w:rPr>
          <w:rFonts w:ascii="Verdana" w:hAnsi="Verdana"/>
          <w:sz w:val="18"/>
          <w:szCs w:val="18"/>
        </w:rPr>
        <w:t>Artikel 1 Inzet: minder gebruik dan verwacht van de Vessel Protection Detachments (VPD’s) die kwetsbare scheepvaart voor de Afrikaanse noordoostkust helpt beschermen tegen piraterij (-3,3 mln.).</w:t>
      </w:r>
    </w:p>
    <w:p w:rsidRPr="00464BD9" w:rsidR="00464BD9" w:rsidP="00464BD9" w:rsidRDefault="00464BD9">
      <w:pPr>
        <w:pStyle w:val="Lijstalinea"/>
        <w:numPr>
          <w:ilvl w:val="0"/>
          <w:numId w:val="20"/>
        </w:numPr>
        <w:spacing w:line="240" w:lineRule="exact"/>
        <w:rPr>
          <w:rFonts w:ascii="Verdana" w:hAnsi="Verdana"/>
          <w:sz w:val="18"/>
          <w:szCs w:val="18"/>
        </w:rPr>
      </w:pPr>
      <w:r w:rsidRPr="00464BD9">
        <w:rPr>
          <w:rFonts w:ascii="Verdana" w:hAnsi="Verdana"/>
          <w:sz w:val="18"/>
          <w:szCs w:val="18"/>
        </w:rPr>
        <w:t xml:space="preserve">Artikel 4 </w:t>
      </w:r>
      <w:r>
        <w:rPr>
          <w:rFonts w:ascii="Verdana" w:hAnsi="Verdana"/>
          <w:sz w:val="18"/>
          <w:szCs w:val="18"/>
        </w:rPr>
        <w:t>Commando Luchtstrijdkrachten (</w:t>
      </w:r>
      <w:r w:rsidRPr="00464BD9">
        <w:rPr>
          <w:rFonts w:ascii="Verdana" w:hAnsi="Verdana"/>
          <w:sz w:val="18"/>
          <w:szCs w:val="18"/>
        </w:rPr>
        <w:t>CLSK</w:t>
      </w:r>
      <w:r>
        <w:rPr>
          <w:rFonts w:ascii="Verdana" w:hAnsi="Verdana"/>
          <w:sz w:val="18"/>
          <w:szCs w:val="18"/>
        </w:rPr>
        <w:t>)</w:t>
      </w:r>
      <w:r w:rsidRPr="00464BD9">
        <w:rPr>
          <w:rFonts w:ascii="Verdana" w:hAnsi="Verdana"/>
          <w:sz w:val="18"/>
          <w:szCs w:val="18"/>
        </w:rPr>
        <w:t xml:space="preserve">: de doorwerking van een incidentele ontvangst vanuit de militaire samenwerking met de VS waarbij een contract voor vliegeropleidingen goedkoper is uitgevallen (7,5 mln.). </w:t>
      </w:r>
    </w:p>
    <w:p w:rsidRPr="00464BD9" w:rsidR="00464BD9" w:rsidP="00464BD9" w:rsidRDefault="00464BD9">
      <w:pPr>
        <w:pStyle w:val="Lijstalinea"/>
        <w:numPr>
          <w:ilvl w:val="0"/>
          <w:numId w:val="20"/>
        </w:numPr>
        <w:spacing w:line="240" w:lineRule="exact"/>
        <w:rPr>
          <w:rFonts w:ascii="Verdana" w:hAnsi="Verdana"/>
          <w:sz w:val="18"/>
          <w:szCs w:val="18"/>
        </w:rPr>
      </w:pPr>
      <w:r w:rsidRPr="00464BD9">
        <w:rPr>
          <w:rFonts w:ascii="Verdana" w:hAnsi="Verdana"/>
          <w:sz w:val="18"/>
          <w:szCs w:val="18"/>
        </w:rPr>
        <w:t>Artikel 5 K</w:t>
      </w:r>
      <w:r>
        <w:rPr>
          <w:rFonts w:ascii="Verdana" w:hAnsi="Verdana"/>
          <w:sz w:val="18"/>
          <w:szCs w:val="18"/>
        </w:rPr>
        <w:t>oninklijke Marechaussee (K</w:t>
      </w:r>
      <w:r w:rsidRPr="00464BD9">
        <w:rPr>
          <w:rFonts w:ascii="Verdana" w:hAnsi="Verdana"/>
          <w:sz w:val="18"/>
          <w:szCs w:val="18"/>
        </w:rPr>
        <w:t>Mar</w:t>
      </w:r>
      <w:r>
        <w:rPr>
          <w:rFonts w:ascii="Verdana" w:hAnsi="Verdana"/>
          <w:sz w:val="18"/>
          <w:szCs w:val="18"/>
        </w:rPr>
        <w:t>)</w:t>
      </w:r>
      <w:r w:rsidRPr="00464BD9">
        <w:rPr>
          <w:rFonts w:ascii="Verdana" w:hAnsi="Verdana"/>
          <w:sz w:val="18"/>
          <w:szCs w:val="18"/>
        </w:rPr>
        <w:t>: als gevolg van compensatie vanuit De Nederlandsche Bank voor beveiligingstaken (7,9 mln.).</w:t>
      </w:r>
    </w:p>
    <w:p w:rsidRPr="00464BD9" w:rsidR="00464BD9" w:rsidP="00464BD9" w:rsidRDefault="00464BD9">
      <w:pPr>
        <w:pStyle w:val="Lijstalinea"/>
        <w:numPr>
          <w:ilvl w:val="0"/>
          <w:numId w:val="20"/>
        </w:numPr>
        <w:spacing w:line="240" w:lineRule="exact"/>
        <w:rPr>
          <w:rFonts w:ascii="Verdana" w:hAnsi="Verdana"/>
          <w:sz w:val="18"/>
          <w:szCs w:val="18"/>
        </w:rPr>
      </w:pPr>
      <w:r w:rsidRPr="00464BD9">
        <w:rPr>
          <w:rFonts w:ascii="Verdana" w:hAnsi="Verdana"/>
          <w:sz w:val="18"/>
          <w:szCs w:val="18"/>
        </w:rPr>
        <w:t xml:space="preserve">Artikel 7 DMO: </w:t>
      </w:r>
      <w:r>
        <w:rPr>
          <w:rFonts w:ascii="Verdana" w:hAnsi="Verdana"/>
          <w:sz w:val="18"/>
          <w:szCs w:val="18"/>
        </w:rPr>
        <w:t>l</w:t>
      </w:r>
      <w:r w:rsidRPr="00464BD9">
        <w:rPr>
          <w:rFonts w:ascii="Verdana" w:hAnsi="Verdana"/>
          <w:sz w:val="18"/>
          <w:szCs w:val="18"/>
        </w:rPr>
        <w:t>agere reguliere ontvangsten (11,5 mln.).</w:t>
      </w:r>
    </w:p>
    <w:p w:rsidRPr="00464BD9" w:rsidR="00464BD9" w:rsidP="00464BD9" w:rsidRDefault="00464BD9">
      <w:pPr>
        <w:spacing w:line="240" w:lineRule="exact"/>
        <w:rPr>
          <w:rFonts w:ascii="Verdana" w:hAnsi="Verdana"/>
          <w:i/>
          <w:sz w:val="18"/>
          <w:szCs w:val="18"/>
        </w:rPr>
      </w:pPr>
    </w:p>
    <w:p w:rsidRPr="00464BD9" w:rsidR="00464BD9" w:rsidP="00464BD9" w:rsidRDefault="00464BD9">
      <w:pPr>
        <w:spacing w:line="240" w:lineRule="exact"/>
        <w:rPr>
          <w:rFonts w:ascii="Verdana" w:hAnsi="Verdana"/>
          <w:i/>
          <w:sz w:val="18"/>
          <w:szCs w:val="18"/>
        </w:rPr>
      </w:pPr>
      <w:r w:rsidRPr="00464BD9">
        <w:rPr>
          <w:rFonts w:ascii="Verdana" w:hAnsi="Verdana"/>
          <w:i/>
          <w:sz w:val="18"/>
          <w:szCs w:val="18"/>
        </w:rPr>
        <w:t>Diversen – niet relevant voor het uitgavenplafond, technische mutaties</w:t>
      </w:r>
    </w:p>
    <w:p w:rsidRPr="00464BD9" w:rsidR="00464BD9" w:rsidP="00464BD9" w:rsidRDefault="00464BD9">
      <w:pPr>
        <w:spacing w:line="240" w:lineRule="exact"/>
        <w:rPr>
          <w:rFonts w:ascii="Verdana" w:hAnsi="Verdana"/>
          <w:sz w:val="18"/>
          <w:szCs w:val="18"/>
        </w:rPr>
      </w:pPr>
      <w:r w:rsidRPr="00464BD9">
        <w:rPr>
          <w:rFonts w:ascii="Verdana" w:hAnsi="Verdana"/>
          <w:sz w:val="18"/>
          <w:szCs w:val="18"/>
        </w:rPr>
        <w:t>Dit betreft het afbetalen van de financieringsconstructie pensioenen van het ABP.</w:t>
      </w:r>
    </w:p>
    <w:p w:rsidRPr="00464BD9" w:rsidR="00464BD9" w:rsidP="00464BD9" w:rsidRDefault="00464BD9">
      <w:pPr>
        <w:spacing w:line="240" w:lineRule="exact"/>
        <w:rPr>
          <w:rFonts w:ascii="Verdana" w:hAnsi="Verdana"/>
          <w:i/>
          <w:sz w:val="18"/>
          <w:szCs w:val="18"/>
        </w:rPr>
      </w:pPr>
    </w:p>
    <w:p w:rsidRPr="00464BD9" w:rsidR="00464BD9" w:rsidP="00464BD9" w:rsidRDefault="00464BD9">
      <w:pPr>
        <w:spacing w:line="240" w:lineRule="exact"/>
        <w:rPr>
          <w:rFonts w:ascii="Verdana" w:hAnsi="Verdana"/>
          <w:i/>
          <w:sz w:val="18"/>
          <w:szCs w:val="18"/>
        </w:rPr>
      </w:pPr>
      <w:r w:rsidRPr="00464BD9">
        <w:rPr>
          <w:rFonts w:ascii="Verdana" w:hAnsi="Verdana"/>
          <w:i/>
          <w:sz w:val="18"/>
          <w:szCs w:val="18"/>
        </w:rPr>
        <w:t>Lagere ontvangsten inruilwaarde dienstpersonenauto’s</w:t>
      </w:r>
    </w:p>
    <w:p w:rsidRPr="00464BD9" w:rsidR="00464BD9" w:rsidP="00464BD9" w:rsidRDefault="00464BD9">
      <w:pPr>
        <w:spacing w:line="240" w:lineRule="exact"/>
        <w:rPr>
          <w:rFonts w:ascii="Verdana" w:hAnsi="Verdana"/>
          <w:sz w:val="18"/>
          <w:szCs w:val="18"/>
        </w:rPr>
      </w:pPr>
      <w:r w:rsidRPr="00464BD9">
        <w:rPr>
          <w:rFonts w:ascii="Verdana" w:hAnsi="Verdana"/>
          <w:sz w:val="18"/>
          <w:szCs w:val="18"/>
        </w:rPr>
        <w:t xml:space="preserve">Uit doelmatigheidsoverwegingen is besloten om de dienstpersonenauto’s van Defensie elke twee jaar in plaats van elke vier jaar te vervangen. Hierdoor worden oplopende exploitatie-uitgaven vanwege de ouderdom van de voertuigen vermeden. De businesscase daarvoor is recent herijkt, waardoor het ontvangstenbudget inruil dienstvoertuigen neerwaarts is bijgesteld met 59,2 mln. Uit de business case komt naar voren dat de opbrengsten voorheen te hoog waren ingeschat </w:t>
      </w:r>
      <w:r>
        <w:rPr>
          <w:rFonts w:ascii="Verdana" w:hAnsi="Verdana"/>
          <w:sz w:val="18"/>
          <w:szCs w:val="18"/>
        </w:rPr>
        <w:t>door o.a. bepaalde belastingen.</w:t>
      </w:r>
    </w:p>
    <w:p w:rsidRPr="00464BD9" w:rsidR="00464BD9" w:rsidP="00464BD9" w:rsidRDefault="00464BD9">
      <w:pPr>
        <w:spacing w:line="240" w:lineRule="exact"/>
        <w:rPr>
          <w:rFonts w:ascii="Verdana" w:hAnsi="Verdana"/>
          <w:i/>
          <w:sz w:val="18"/>
          <w:szCs w:val="18"/>
        </w:rPr>
      </w:pPr>
    </w:p>
    <w:p w:rsidRPr="00464BD9" w:rsidR="00464BD9" w:rsidP="00464BD9" w:rsidRDefault="00464BD9">
      <w:pPr>
        <w:spacing w:line="240" w:lineRule="exact"/>
        <w:rPr>
          <w:rFonts w:ascii="Verdana" w:hAnsi="Verdana"/>
          <w:i/>
          <w:sz w:val="18"/>
          <w:szCs w:val="18"/>
        </w:rPr>
      </w:pPr>
      <w:r w:rsidRPr="00464BD9">
        <w:rPr>
          <w:rFonts w:ascii="Verdana" w:hAnsi="Verdana"/>
          <w:i/>
          <w:sz w:val="18"/>
          <w:szCs w:val="18"/>
        </w:rPr>
        <w:t>Diversen – technische mutaties, niet-belastingontvangsten</w:t>
      </w:r>
    </w:p>
    <w:p w:rsidRPr="00464BD9" w:rsidR="00464BD9" w:rsidP="00464BD9" w:rsidRDefault="00464BD9">
      <w:pPr>
        <w:spacing w:line="240" w:lineRule="exact"/>
        <w:rPr>
          <w:rFonts w:ascii="Verdana" w:hAnsi="Verdana"/>
          <w:sz w:val="18"/>
          <w:szCs w:val="18"/>
        </w:rPr>
      </w:pPr>
      <w:r w:rsidRPr="00464BD9">
        <w:rPr>
          <w:rFonts w:ascii="Verdana" w:hAnsi="Verdana"/>
          <w:sz w:val="18"/>
          <w:szCs w:val="18"/>
        </w:rPr>
        <w:t xml:space="preserve">Deze post bestaat naast enkele kleinere mutaties voornamelijk uit: </w:t>
      </w:r>
    </w:p>
    <w:p w:rsidRPr="00464BD9" w:rsidR="00464BD9" w:rsidP="00464BD9" w:rsidRDefault="00464BD9">
      <w:pPr>
        <w:pStyle w:val="Lijstalinea"/>
        <w:numPr>
          <w:ilvl w:val="0"/>
          <w:numId w:val="21"/>
        </w:numPr>
        <w:spacing w:line="240" w:lineRule="exact"/>
        <w:rPr>
          <w:rFonts w:ascii="Verdana" w:hAnsi="Verdana"/>
          <w:sz w:val="18"/>
          <w:szCs w:val="18"/>
        </w:rPr>
      </w:pPr>
      <w:r w:rsidRPr="00464BD9">
        <w:rPr>
          <w:rFonts w:ascii="Verdana" w:hAnsi="Verdana"/>
          <w:sz w:val="18"/>
          <w:szCs w:val="18"/>
        </w:rPr>
        <w:t>Artikel 1 Inzet: meerontvangsten van de VN van 10,6 mln.</w:t>
      </w:r>
    </w:p>
    <w:p w:rsidRPr="00464BD9" w:rsidR="00464BD9" w:rsidP="00464BD9" w:rsidRDefault="00464BD9">
      <w:pPr>
        <w:pStyle w:val="Lijstalinea"/>
        <w:numPr>
          <w:ilvl w:val="0"/>
          <w:numId w:val="21"/>
        </w:numPr>
        <w:spacing w:line="240" w:lineRule="exact"/>
        <w:rPr>
          <w:rFonts w:ascii="Verdana" w:hAnsi="Verdana"/>
          <w:sz w:val="18"/>
          <w:szCs w:val="18"/>
        </w:rPr>
      </w:pPr>
      <w:r w:rsidRPr="00464BD9">
        <w:rPr>
          <w:rFonts w:ascii="Verdana" w:hAnsi="Verdana"/>
          <w:sz w:val="18"/>
          <w:szCs w:val="18"/>
        </w:rPr>
        <w:t xml:space="preserve">Artikel 4 CLSK: </w:t>
      </w:r>
      <w:r>
        <w:rPr>
          <w:rFonts w:ascii="Verdana" w:hAnsi="Verdana"/>
          <w:sz w:val="18"/>
          <w:szCs w:val="18"/>
        </w:rPr>
        <w:t>h</w:t>
      </w:r>
      <w:r w:rsidRPr="00464BD9">
        <w:rPr>
          <w:rFonts w:ascii="Verdana" w:hAnsi="Verdana"/>
          <w:sz w:val="18"/>
          <w:szCs w:val="18"/>
        </w:rPr>
        <w:t xml:space="preserve">et ontvangstenbudget is met 7,5 </w:t>
      </w:r>
      <w:r>
        <w:rPr>
          <w:rFonts w:ascii="Verdana" w:hAnsi="Verdana"/>
          <w:sz w:val="18"/>
          <w:szCs w:val="18"/>
        </w:rPr>
        <w:t>mln.</w:t>
      </w:r>
      <w:r w:rsidRPr="00464BD9">
        <w:rPr>
          <w:rFonts w:ascii="Verdana" w:hAnsi="Verdana"/>
          <w:sz w:val="18"/>
          <w:szCs w:val="18"/>
        </w:rPr>
        <w:t xml:space="preserve"> naar boven bijgesteld, vooral als gevolg van een incidentele en onverwachte meerontvangst vanuit de militaire samenwerking met de VS waarbij een contract voor vliegeropleidingen goedkoper is uitgevallen dan eerder voorzien (Defensie heeft geld teruggekregen).</w:t>
      </w:r>
    </w:p>
    <w:p w:rsidRPr="00464BD9" w:rsidR="00464BD9" w:rsidP="00464BD9" w:rsidRDefault="00464BD9">
      <w:pPr>
        <w:pStyle w:val="Lijstalinea"/>
        <w:numPr>
          <w:ilvl w:val="0"/>
          <w:numId w:val="21"/>
        </w:numPr>
        <w:spacing w:line="240" w:lineRule="exact"/>
        <w:rPr>
          <w:rFonts w:ascii="Verdana" w:hAnsi="Verdana"/>
          <w:sz w:val="18"/>
          <w:szCs w:val="18"/>
        </w:rPr>
      </w:pPr>
      <w:r w:rsidRPr="00464BD9">
        <w:rPr>
          <w:rFonts w:ascii="Verdana" w:hAnsi="Verdana"/>
          <w:sz w:val="18"/>
          <w:szCs w:val="18"/>
        </w:rPr>
        <w:t>Artikel 5 KMAR: de ontvangsten zijn naar boven bijgesteld met 10,0 mln., vooral als gevolg van compensatie vanuit De Nederlandsche Bank voor beveiligingstaken, extra ontvangsten voor het t</w:t>
      </w:r>
      <w:r>
        <w:rPr>
          <w:rFonts w:ascii="Verdana" w:hAnsi="Verdana"/>
          <w:sz w:val="18"/>
          <w:szCs w:val="18"/>
        </w:rPr>
        <w:t>ijdelijk tewerkstellen van KMar-</w:t>
      </w:r>
      <w:r w:rsidRPr="00464BD9">
        <w:rPr>
          <w:rFonts w:ascii="Verdana" w:hAnsi="Verdana"/>
          <w:sz w:val="18"/>
          <w:szCs w:val="18"/>
        </w:rPr>
        <w:t>personeel bij de AIVD en een vergoeding van JenV voor het geven van politietrainingen.</w:t>
      </w:r>
      <w:r w:rsidRPr="00464BD9">
        <w:rPr>
          <w:rFonts w:ascii="Verdana" w:hAnsi="Verdana"/>
          <w:sz w:val="18"/>
          <w:szCs w:val="18"/>
        </w:rPr>
        <w:tab/>
      </w:r>
    </w:p>
    <w:p w:rsidRPr="00464BD9" w:rsidR="00464BD9" w:rsidP="00464BD9" w:rsidRDefault="00464BD9">
      <w:pPr>
        <w:pStyle w:val="Lijstalinea"/>
        <w:numPr>
          <w:ilvl w:val="0"/>
          <w:numId w:val="21"/>
        </w:numPr>
        <w:spacing w:line="240" w:lineRule="exact"/>
        <w:rPr>
          <w:rFonts w:ascii="Verdana" w:hAnsi="Verdana"/>
          <w:sz w:val="18"/>
          <w:szCs w:val="18"/>
        </w:rPr>
      </w:pPr>
      <w:r w:rsidRPr="00464BD9">
        <w:rPr>
          <w:rFonts w:ascii="Verdana" w:hAnsi="Verdana"/>
          <w:sz w:val="18"/>
          <w:szCs w:val="18"/>
        </w:rPr>
        <w:t xml:space="preserve">Artikel 7: per saldo daalt het ontvangstenbudget met 10,7 mln., zodat de raming beter </w:t>
      </w:r>
      <w:r>
        <w:rPr>
          <w:rFonts w:ascii="Verdana" w:hAnsi="Verdana"/>
          <w:sz w:val="18"/>
          <w:szCs w:val="18"/>
        </w:rPr>
        <w:t>aansluit bij het huidige beeld.</w:t>
      </w:r>
    </w:p>
    <w:p w:rsidR="00464BD9" w:rsidP="00464BD9" w:rsidRDefault="00464BD9">
      <w:pPr>
        <w:spacing w:line="240" w:lineRule="exact"/>
        <w:rPr>
          <w:rFonts w:ascii="Verdana" w:hAnsi="Verdana"/>
          <w:i/>
          <w:sz w:val="18"/>
          <w:szCs w:val="18"/>
        </w:rPr>
      </w:pPr>
    </w:p>
    <w:p w:rsidR="00464BD9" w:rsidP="00464BD9" w:rsidRDefault="00464BD9">
      <w:pPr>
        <w:spacing w:line="240" w:lineRule="exact"/>
        <w:rPr>
          <w:rFonts w:ascii="Verdana" w:hAnsi="Verdana"/>
          <w:i/>
          <w:sz w:val="18"/>
          <w:szCs w:val="18"/>
        </w:rPr>
      </w:pPr>
    </w:p>
    <w:p w:rsidRPr="00464BD9" w:rsidR="00464BD9" w:rsidP="00464BD9" w:rsidRDefault="00464BD9">
      <w:pPr>
        <w:spacing w:line="240" w:lineRule="exact"/>
        <w:rPr>
          <w:rFonts w:ascii="Verdana" w:hAnsi="Verdana"/>
          <w:i/>
          <w:sz w:val="18"/>
          <w:szCs w:val="18"/>
        </w:rPr>
      </w:pPr>
    </w:p>
    <w:p w:rsidRPr="00464BD9" w:rsidR="00464BD9" w:rsidP="00464BD9" w:rsidRDefault="00464BD9">
      <w:pPr>
        <w:spacing w:line="240" w:lineRule="exact"/>
        <w:rPr>
          <w:rFonts w:ascii="Verdana" w:hAnsi="Verdana"/>
          <w:i/>
          <w:sz w:val="18"/>
          <w:szCs w:val="18"/>
        </w:rPr>
      </w:pPr>
      <w:r w:rsidRPr="00464BD9">
        <w:rPr>
          <w:rFonts w:ascii="Verdana" w:hAnsi="Verdana"/>
          <w:i/>
          <w:sz w:val="18"/>
          <w:szCs w:val="18"/>
        </w:rPr>
        <w:t>Ontvangsten vervroegde aflossing lening abp - niet relevant voor het uitgavenplafond</w:t>
      </w:r>
    </w:p>
    <w:p w:rsidRPr="00464BD9" w:rsidR="00273291" w:rsidP="00464BD9" w:rsidRDefault="00464BD9">
      <w:pPr>
        <w:spacing w:line="240" w:lineRule="exact"/>
        <w:rPr>
          <w:rFonts w:ascii="Verdana" w:hAnsi="Verdana" w:cs="Verdana"/>
          <w:b/>
          <w:bCs/>
          <w:sz w:val="18"/>
          <w:szCs w:val="18"/>
        </w:rPr>
      </w:pPr>
      <w:r w:rsidRPr="00464BD9">
        <w:rPr>
          <w:rFonts w:ascii="Verdana" w:hAnsi="Verdana"/>
          <w:sz w:val="18"/>
          <w:szCs w:val="18"/>
        </w:rPr>
        <w:t>Door de verwerking van het financieringsarrangement ABP stijgen de ontvangsten met 110,5 mln. Deze mutatie betreft de betaling van het ABP aan de Staat, die via de begroting van Defensie wordt verwerkt.</w:t>
      </w: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Infrastructuur en Waterstaat</w:t>
            </w:r>
          </w:p>
          <w:p w:rsidRPr="008A79DC" w:rsidR="008C4897" w:rsidRDefault="008C4897">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XII INFRASTRUCTUUR EN WATERSTAAT: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8.275,9</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-5,1</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-83,5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-83,5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-88,7</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8.187,2</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28,6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8.215,8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46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XII INFRASTRUCTUUR EN WATERSTAAT: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30,6</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-0,5</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30,1</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30,1</w:t>
            </w:r>
          </w:p>
        </w:tc>
      </w:tr>
    </w:tbl>
    <w:p w:rsidRPr="008A79DC" w:rsidR="00412663" w:rsidP="00C41D99" w:rsidRDefault="00412663">
      <w:pPr>
        <w:spacing w:line="240" w:lineRule="exact"/>
        <w:rPr>
          <w:rFonts w:ascii="Verdana" w:hAnsi="Verdana" w:cs="Verdana"/>
          <w:b/>
          <w:bCs/>
          <w:sz w:val="18"/>
          <w:szCs w:val="18"/>
        </w:rPr>
      </w:pPr>
    </w:p>
    <w:p w:rsidRPr="008A79DC" w:rsidR="008C4897" w:rsidP="00C41D99" w:rsidRDefault="008C4897">
      <w:pPr>
        <w:spacing w:line="240" w:lineRule="exact"/>
        <w:rPr>
          <w:rFonts w:ascii="Verdana" w:hAnsi="Verdana" w:cs="Verdana"/>
          <w:b/>
          <w:bCs/>
          <w:sz w:val="18"/>
          <w:szCs w:val="18"/>
        </w:rPr>
      </w:pPr>
    </w:p>
    <w:p w:rsidRPr="008A79DC" w:rsidR="008C4897" w:rsidP="008C4897" w:rsidRDefault="008C4897">
      <w:pPr>
        <w:spacing w:line="240" w:lineRule="atLeast"/>
        <w:rPr>
          <w:rFonts w:ascii="Verdana" w:hAnsi="Verdana"/>
          <w:i/>
          <w:sz w:val="18"/>
          <w:szCs w:val="14"/>
        </w:rPr>
      </w:pPr>
      <w:r w:rsidRPr="008A79DC">
        <w:rPr>
          <w:rFonts w:ascii="Verdana" w:hAnsi="Verdana"/>
          <w:i/>
          <w:sz w:val="18"/>
          <w:szCs w:val="14"/>
        </w:rPr>
        <w:t>Diversen – beleidsmatige mutaties, uitgaven</w:t>
      </w:r>
    </w:p>
    <w:p w:rsidRPr="008A79DC" w:rsidR="008C4897" w:rsidP="008C4897" w:rsidRDefault="008C4897">
      <w:pPr>
        <w:spacing w:line="240" w:lineRule="atLeast"/>
        <w:rPr>
          <w:rFonts w:ascii="Verdana" w:hAnsi="Verdana"/>
          <w:sz w:val="18"/>
          <w:szCs w:val="14"/>
        </w:rPr>
      </w:pPr>
      <w:r w:rsidRPr="008A79DC">
        <w:rPr>
          <w:rFonts w:ascii="Verdana" w:hAnsi="Verdana"/>
          <w:sz w:val="18"/>
          <w:szCs w:val="14"/>
        </w:rPr>
        <w:t>Deze post bevat per saldo lagere uitgaven dan verwacht. Dit zijn onder andere lagere uitgaven op de uitgaven C</w:t>
      </w:r>
      <w:r w:rsidR="0040340B">
        <w:rPr>
          <w:rFonts w:ascii="Verdana" w:hAnsi="Verdana"/>
          <w:sz w:val="18"/>
          <w:szCs w:val="14"/>
        </w:rPr>
        <w:t xml:space="preserve">aribisch Nederland (-1,5 mln.) </w:t>
      </w:r>
      <w:r w:rsidRPr="008A79DC">
        <w:rPr>
          <w:rFonts w:ascii="Verdana" w:hAnsi="Verdana"/>
          <w:sz w:val="18"/>
          <w:szCs w:val="14"/>
        </w:rPr>
        <w:t>en dekking vanuit een reservering voor lagere ontvangsten voor de Stichting Buisleidingenstraat (-2,0 mln.).</w:t>
      </w:r>
      <w:r w:rsidRPr="00205B7A" w:rsidR="00205B7A">
        <w:t xml:space="preserve"> </w:t>
      </w:r>
      <w:r w:rsidR="0040340B">
        <w:rPr>
          <w:rFonts w:ascii="Verdana" w:hAnsi="Verdana"/>
          <w:sz w:val="18"/>
          <w:szCs w:val="18"/>
        </w:rPr>
        <w:t xml:space="preserve">Er zijn ook hogere uitgaven, waaronder </w:t>
      </w:r>
      <w:r w:rsidR="00205B7A">
        <w:rPr>
          <w:rFonts w:ascii="Verdana" w:hAnsi="Verdana"/>
          <w:sz w:val="18"/>
          <w:szCs w:val="18"/>
        </w:rPr>
        <w:t>een e</w:t>
      </w:r>
      <w:r w:rsidRPr="00205B7A" w:rsidR="00205B7A">
        <w:rPr>
          <w:rFonts w:ascii="Verdana" w:hAnsi="Verdana"/>
          <w:sz w:val="18"/>
          <w:szCs w:val="14"/>
        </w:rPr>
        <w:t>enmalig goedgekeurde eigenaarsbijdrage</w:t>
      </w:r>
      <w:r w:rsidR="00205B7A">
        <w:rPr>
          <w:rFonts w:ascii="Verdana" w:hAnsi="Verdana"/>
          <w:sz w:val="18"/>
          <w:szCs w:val="14"/>
        </w:rPr>
        <w:t xml:space="preserve"> </w:t>
      </w:r>
      <w:r w:rsidR="0040340B">
        <w:rPr>
          <w:rFonts w:ascii="Verdana" w:hAnsi="Verdana"/>
          <w:sz w:val="18"/>
          <w:szCs w:val="14"/>
        </w:rPr>
        <w:t>aan</w:t>
      </w:r>
      <w:r w:rsidR="00205B7A">
        <w:rPr>
          <w:rFonts w:ascii="Verdana" w:hAnsi="Verdana"/>
          <w:sz w:val="18"/>
          <w:szCs w:val="14"/>
        </w:rPr>
        <w:t xml:space="preserve"> de ILT</w:t>
      </w:r>
      <w:r w:rsidRPr="00205B7A" w:rsidR="00205B7A">
        <w:rPr>
          <w:rFonts w:ascii="Verdana" w:hAnsi="Verdana"/>
          <w:sz w:val="18"/>
          <w:szCs w:val="14"/>
        </w:rPr>
        <w:t xml:space="preserve"> (1,1 mln.) in het kader van reorganisatiekosten bij de ILT die volgen uit het ‘vernieuwingsprogramma Koers’</w:t>
      </w:r>
      <w:r w:rsidR="00205B7A">
        <w:rPr>
          <w:rFonts w:ascii="Verdana" w:hAnsi="Verdana"/>
          <w:sz w:val="18"/>
          <w:szCs w:val="14"/>
        </w:rPr>
        <w:t>.</w:t>
      </w:r>
    </w:p>
    <w:p w:rsidRPr="008A79DC" w:rsidR="008C4897" w:rsidP="008C4897" w:rsidRDefault="008C4897">
      <w:pPr>
        <w:spacing w:line="240" w:lineRule="atLeast"/>
        <w:rPr>
          <w:rFonts w:ascii="Verdana" w:hAnsi="Verdana"/>
          <w:sz w:val="18"/>
          <w:szCs w:val="14"/>
        </w:rPr>
      </w:pPr>
    </w:p>
    <w:p w:rsidRPr="008A79DC" w:rsidR="008C4897" w:rsidP="008C4897" w:rsidRDefault="008C4897">
      <w:pPr>
        <w:spacing w:line="240" w:lineRule="atLeast"/>
        <w:rPr>
          <w:rFonts w:ascii="Verdana" w:hAnsi="Verdana"/>
          <w:sz w:val="18"/>
          <w:szCs w:val="14"/>
        </w:rPr>
      </w:pPr>
      <w:r w:rsidRPr="008A79DC">
        <w:rPr>
          <w:rFonts w:ascii="Verdana" w:hAnsi="Verdana"/>
          <w:i/>
          <w:sz w:val="18"/>
          <w:szCs w:val="14"/>
        </w:rPr>
        <w:t>Diversen – technische mutaties, uitgaven</w:t>
      </w:r>
    </w:p>
    <w:p w:rsidRPr="008A79DC" w:rsidR="008C4897" w:rsidP="008C4897" w:rsidRDefault="008C4897">
      <w:pPr>
        <w:spacing w:line="240" w:lineRule="atLeast"/>
        <w:rPr>
          <w:rFonts w:ascii="Verdana" w:hAnsi="Verdana"/>
          <w:sz w:val="18"/>
          <w:szCs w:val="14"/>
        </w:rPr>
      </w:pPr>
      <w:r w:rsidRPr="008A79DC">
        <w:rPr>
          <w:rFonts w:ascii="Verdana" w:hAnsi="Verdana"/>
          <w:sz w:val="18"/>
          <w:szCs w:val="14"/>
        </w:rPr>
        <w:t>Deze post omvat verschillende onderdelen;</w:t>
      </w:r>
    </w:p>
    <w:p w:rsidRPr="008A79DC" w:rsidR="008C4897" w:rsidP="00A8196D" w:rsidRDefault="008C4897">
      <w:pPr>
        <w:pStyle w:val="Lijstalinea"/>
        <w:numPr>
          <w:ilvl w:val="0"/>
          <w:numId w:val="5"/>
        </w:numPr>
        <w:spacing w:line="240" w:lineRule="atLeast"/>
        <w:contextualSpacing/>
        <w:rPr>
          <w:rFonts w:ascii="Verdana" w:hAnsi="Verdana"/>
          <w:sz w:val="18"/>
          <w:szCs w:val="18"/>
        </w:rPr>
      </w:pPr>
      <w:r w:rsidRPr="008A79DC">
        <w:rPr>
          <w:rFonts w:ascii="Verdana" w:hAnsi="Verdana"/>
          <w:sz w:val="18"/>
          <w:szCs w:val="18"/>
        </w:rPr>
        <w:t>Diverse desalderingen (1,5 m</w:t>
      </w:r>
      <w:r w:rsidR="0040340B">
        <w:rPr>
          <w:rFonts w:ascii="Verdana" w:hAnsi="Verdana"/>
          <w:sz w:val="18"/>
          <w:szCs w:val="18"/>
        </w:rPr>
        <w:t xml:space="preserve">ln.) binnen de IenW-begroting </w:t>
      </w:r>
      <w:r w:rsidRPr="008A79DC">
        <w:rPr>
          <w:rFonts w:ascii="Verdana" w:hAnsi="Verdana"/>
          <w:sz w:val="18"/>
          <w:szCs w:val="18"/>
        </w:rPr>
        <w:t xml:space="preserve">waaronder hogere </w:t>
      </w:r>
      <w:r w:rsidRPr="008A79DC">
        <w:rPr>
          <w:rFonts w:ascii="Verdana" w:hAnsi="Verdana"/>
          <w:sz w:val="18"/>
          <w:szCs w:val="14"/>
        </w:rPr>
        <w:t xml:space="preserve">ontvangsten </w:t>
      </w:r>
      <w:r w:rsidR="0040340B">
        <w:rPr>
          <w:rFonts w:ascii="Verdana" w:hAnsi="Verdana"/>
          <w:sz w:val="18"/>
          <w:szCs w:val="14"/>
        </w:rPr>
        <w:t>van</w:t>
      </w:r>
      <w:r w:rsidRPr="0040340B" w:rsidR="0040340B">
        <w:rPr>
          <w:rFonts w:ascii="Verdana" w:hAnsi="Verdana"/>
          <w:sz w:val="18"/>
          <w:szCs w:val="14"/>
        </w:rPr>
        <w:t xml:space="preserve"> </w:t>
      </w:r>
      <w:r w:rsidR="0040340B">
        <w:rPr>
          <w:rFonts w:ascii="Verdana" w:hAnsi="Verdana"/>
          <w:sz w:val="18"/>
          <w:szCs w:val="14"/>
        </w:rPr>
        <w:t>d</w:t>
      </w:r>
      <w:r w:rsidRPr="008A79DC" w:rsidR="0040340B">
        <w:rPr>
          <w:rFonts w:ascii="Verdana" w:hAnsi="Verdana"/>
          <w:sz w:val="18"/>
          <w:szCs w:val="14"/>
        </w:rPr>
        <w:t xml:space="preserve">e Sociale Verzekeringsbank </w:t>
      </w:r>
      <w:r w:rsidRPr="008A79DC">
        <w:rPr>
          <w:rFonts w:ascii="Verdana" w:hAnsi="Verdana"/>
          <w:sz w:val="18"/>
          <w:szCs w:val="14"/>
        </w:rPr>
        <w:t>door het terugstorten (1</w:t>
      </w:r>
      <w:r w:rsidR="0040340B">
        <w:rPr>
          <w:rFonts w:ascii="Verdana" w:hAnsi="Verdana"/>
          <w:sz w:val="18"/>
          <w:szCs w:val="14"/>
        </w:rPr>
        <w:t xml:space="preserve">,0 mln.) van een bijdrage </w:t>
      </w:r>
      <w:r w:rsidRPr="008A79DC">
        <w:rPr>
          <w:rFonts w:ascii="Verdana" w:hAnsi="Verdana"/>
          <w:sz w:val="18"/>
          <w:szCs w:val="14"/>
        </w:rPr>
        <w:t>vanwege minder uitkeringen dan geraamd voor de Regeling tegemoetkoming niet-loondienst gerelateerde slachtoffers van mesothelioom (TNS regeling).</w:t>
      </w:r>
    </w:p>
    <w:p w:rsidRPr="008A79DC" w:rsidR="008C4897" w:rsidP="00A8196D" w:rsidRDefault="008C4897">
      <w:pPr>
        <w:pStyle w:val="Lijstalinea"/>
        <w:numPr>
          <w:ilvl w:val="0"/>
          <w:numId w:val="5"/>
        </w:numPr>
        <w:spacing w:line="240" w:lineRule="atLeast"/>
        <w:contextualSpacing/>
        <w:rPr>
          <w:rFonts w:ascii="Verdana" w:hAnsi="Verdana"/>
          <w:sz w:val="18"/>
          <w:szCs w:val="18"/>
        </w:rPr>
      </w:pPr>
      <w:r w:rsidRPr="008A79DC">
        <w:rPr>
          <w:rFonts w:ascii="Verdana" w:hAnsi="Verdana"/>
          <w:color w:val="000000"/>
          <w:sz w:val="18"/>
          <w:szCs w:val="18"/>
        </w:rPr>
        <w:t>Diverse overboekingen waarmee per saldo 55,9 mln. uit het Infrastructuu</w:t>
      </w:r>
      <w:r w:rsidR="0040340B">
        <w:rPr>
          <w:rFonts w:ascii="Verdana" w:hAnsi="Verdana"/>
          <w:color w:val="000000"/>
          <w:sz w:val="18"/>
          <w:szCs w:val="18"/>
        </w:rPr>
        <w:t xml:space="preserve">rfonds via de IenW-begroting </w:t>
      </w:r>
      <w:r w:rsidRPr="008A79DC">
        <w:rPr>
          <w:rFonts w:ascii="Verdana" w:hAnsi="Verdana"/>
          <w:color w:val="000000"/>
          <w:sz w:val="18"/>
          <w:szCs w:val="18"/>
        </w:rPr>
        <w:t>wordt overgeheveld:</w:t>
      </w:r>
    </w:p>
    <w:p w:rsidRPr="008A79DC" w:rsidR="008C4897" w:rsidP="00A8196D" w:rsidRDefault="008C4897">
      <w:pPr>
        <w:pStyle w:val="Lijstalinea"/>
        <w:numPr>
          <w:ilvl w:val="0"/>
          <w:numId w:val="2"/>
        </w:numPr>
        <w:spacing w:line="240" w:lineRule="atLeast"/>
        <w:contextualSpacing/>
        <w:rPr>
          <w:rFonts w:ascii="Verdana" w:hAnsi="Verdana"/>
          <w:sz w:val="18"/>
          <w:szCs w:val="18"/>
        </w:rPr>
      </w:pPr>
      <w:r w:rsidRPr="008A79DC">
        <w:rPr>
          <w:rFonts w:ascii="Verdana" w:hAnsi="Verdana"/>
          <w:color w:val="000000"/>
          <w:sz w:val="18"/>
          <w:szCs w:val="18"/>
        </w:rPr>
        <w:lastRenderedPageBreak/>
        <w:t>ontvangen van ande</w:t>
      </w:r>
      <w:r w:rsidR="0040340B">
        <w:rPr>
          <w:rFonts w:ascii="Verdana" w:hAnsi="Verdana"/>
          <w:color w:val="000000"/>
          <w:sz w:val="18"/>
          <w:szCs w:val="18"/>
        </w:rPr>
        <w:t>re departementale begrotingen (</w:t>
      </w:r>
      <w:r w:rsidRPr="008A79DC">
        <w:rPr>
          <w:rFonts w:ascii="Verdana" w:hAnsi="Verdana"/>
          <w:color w:val="000000"/>
          <w:sz w:val="18"/>
          <w:szCs w:val="18"/>
        </w:rPr>
        <w:t xml:space="preserve">6,0 mln.) </w:t>
      </w:r>
    </w:p>
    <w:p w:rsidRPr="008A79DC" w:rsidR="008C4897" w:rsidP="00A8196D" w:rsidRDefault="008C4897">
      <w:pPr>
        <w:pStyle w:val="Lijstalinea"/>
        <w:numPr>
          <w:ilvl w:val="0"/>
          <w:numId w:val="2"/>
        </w:numPr>
        <w:spacing w:line="240" w:lineRule="atLeast"/>
        <w:contextualSpacing/>
        <w:rPr>
          <w:rFonts w:ascii="Verdana" w:hAnsi="Verdana"/>
          <w:sz w:val="18"/>
          <w:szCs w:val="18"/>
        </w:rPr>
      </w:pPr>
      <w:r w:rsidRPr="008A79DC">
        <w:rPr>
          <w:rFonts w:ascii="Verdana" w:hAnsi="Verdana"/>
          <w:color w:val="000000"/>
          <w:sz w:val="18"/>
          <w:szCs w:val="18"/>
        </w:rPr>
        <w:t>bijdragen aan het Provinciefonds, Gemeentefonds en BTW-compensatiefonds (-61,9 mln.).</w:t>
      </w:r>
      <w:r w:rsidRPr="008A79DC">
        <w:rPr>
          <w:rFonts w:ascii="Verdana" w:hAnsi="Verdana"/>
          <w:sz w:val="18"/>
          <w:szCs w:val="18"/>
        </w:rPr>
        <w:t xml:space="preserve"> </w:t>
      </w:r>
    </w:p>
    <w:p w:rsidRPr="008A79DC" w:rsidR="008C4897" w:rsidP="00A8196D" w:rsidRDefault="008C4897">
      <w:pPr>
        <w:pStyle w:val="Lijstalinea"/>
        <w:numPr>
          <w:ilvl w:val="0"/>
          <w:numId w:val="6"/>
        </w:numPr>
        <w:spacing w:line="240" w:lineRule="atLeast"/>
        <w:contextualSpacing/>
        <w:rPr>
          <w:rFonts w:ascii="Verdana" w:hAnsi="Verdana"/>
          <w:sz w:val="18"/>
          <w:szCs w:val="18"/>
        </w:rPr>
      </w:pPr>
      <w:r w:rsidRPr="008A79DC">
        <w:rPr>
          <w:rFonts w:ascii="Verdana" w:hAnsi="Verdana"/>
          <w:color w:val="000000"/>
          <w:sz w:val="18"/>
          <w:szCs w:val="18"/>
        </w:rPr>
        <w:t>Diverse overboekingen waarmee in totaal 3,8 mln. aan het Del</w:t>
      </w:r>
      <w:r w:rsidR="0040340B">
        <w:rPr>
          <w:rFonts w:ascii="Verdana" w:hAnsi="Verdana"/>
          <w:color w:val="000000"/>
          <w:sz w:val="18"/>
          <w:szCs w:val="18"/>
        </w:rPr>
        <w:t xml:space="preserve">tafonds via de IenW-begroting </w:t>
      </w:r>
      <w:r w:rsidRPr="008A79DC">
        <w:rPr>
          <w:rFonts w:ascii="Verdana" w:hAnsi="Verdana"/>
          <w:color w:val="000000"/>
          <w:sz w:val="18"/>
          <w:szCs w:val="18"/>
        </w:rPr>
        <w:t xml:space="preserve">wordt toegevoegd door overhevelingen met andere departementale begrotingen en het Provinciefonds. </w:t>
      </w:r>
    </w:p>
    <w:p w:rsidRPr="008A79DC" w:rsidR="008C4897" w:rsidP="00A8196D" w:rsidRDefault="008C4897">
      <w:pPr>
        <w:pStyle w:val="Lijstalinea"/>
        <w:numPr>
          <w:ilvl w:val="0"/>
          <w:numId w:val="6"/>
        </w:numPr>
        <w:spacing w:line="240" w:lineRule="atLeast"/>
        <w:contextualSpacing/>
        <w:rPr>
          <w:rFonts w:ascii="Verdana" w:hAnsi="Verdana"/>
          <w:sz w:val="18"/>
          <w:szCs w:val="18"/>
        </w:rPr>
      </w:pPr>
      <w:r w:rsidRPr="008A79DC">
        <w:rPr>
          <w:rFonts w:ascii="Verdana" w:hAnsi="Verdana"/>
          <w:sz w:val="18"/>
          <w:szCs w:val="18"/>
        </w:rPr>
        <w:t xml:space="preserve">Diverse overboekingen waarmee in totaal 33,1 mln. vanuit de IenW-begroting </w:t>
      </w:r>
      <w:r w:rsidRPr="008A79DC">
        <w:rPr>
          <w:rFonts w:ascii="Verdana" w:hAnsi="Verdana"/>
          <w:color w:val="000000"/>
          <w:sz w:val="18"/>
          <w:szCs w:val="18"/>
        </w:rPr>
        <w:t>wordt overgeheveld. Dit omvat bijdragen aan het Provinciefonds, Gemeentefonds en BTW-compensatiefonds (-29,7 mln.) en bijdragen aan andere departementale begrotingen (-3,5 mln.)</w:t>
      </w:r>
      <w:r w:rsidRPr="008A79DC">
        <w:rPr>
          <w:rFonts w:ascii="Verdana" w:hAnsi="Verdana"/>
          <w:sz w:val="18"/>
          <w:szCs w:val="18"/>
        </w:rPr>
        <w:t xml:space="preserve">. </w:t>
      </w:r>
    </w:p>
    <w:p w:rsidRPr="008A79DC" w:rsidR="008C4897" w:rsidP="008C4897" w:rsidRDefault="008C4897">
      <w:pPr>
        <w:spacing w:line="240" w:lineRule="atLeast"/>
        <w:rPr>
          <w:rFonts w:ascii="Verdana" w:hAnsi="Verdana"/>
          <w:i/>
          <w:sz w:val="18"/>
          <w:szCs w:val="14"/>
        </w:rPr>
      </w:pPr>
    </w:p>
    <w:p w:rsidRPr="008A79DC" w:rsidR="008C4897" w:rsidP="008C4897" w:rsidRDefault="008C4897">
      <w:pPr>
        <w:spacing w:line="240" w:lineRule="atLeast"/>
        <w:rPr>
          <w:rFonts w:ascii="Verdana" w:hAnsi="Verdana"/>
          <w:i/>
          <w:sz w:val="18"/>
          <w:szCs w:val="14"/>
        </w:rPr>
      </w:pPr>
      <w:r w:rsidRPr="008A79DC">
        <w:rPr>
          <w:rFonts w:ascii="Verdana" w:hAnsi="Verdana"/>
          <w:i/>
          <w:sz w:val="18"/>
          <w:szCs w:val="14"/>
        </w:rPr>
        <w:t>Diversen – beleidsmatige mutaties, niet-belastingontvangsten</w:t>
      </w:r>
    </w:p>
    <w:p w:rsidRPr="008A79DC" w:rsidR="008C4897" w:rsidP="008C4897" w:rsidRDefault="008C4897">
      <w:pPr>
        <w:spacing w:line="240" w:lineRule="atLeast"/>
        <w:rPr>
          <w:rFonts w:ascii="Verdana" w:hAnsi="Verdana"/>
          <w:sz w:val="18"/>
          <w:szCs w:val="14"/>
        </w:rPr>
      </w:pPr>
      <w:r w:rsidRPr="008A79DC">
        <w:rPr>
          <w:rFonts w:ascii="Verdana" w:hAnsi="Verdana"/>
          <w:sz w:val="18"/>
          <w:szCs w:val="14"/>
        </w:rPr>
        <w:t>Dit betreft een lagere ontvangst dan verwacht voor de Stichting Buisleidingenstraat, onderdeel van R</w:t>
      </w:r>
      <w:r w:rsidR="0040340B">
        <w:rPr>
          <w:rFonts w:ascii="Verdana" w:hAnsi="Verdana"/>
          <w:sz w:val="18"/>
          <w:szCs w:val="14"/>
        </w:rPr>
        <w:t>ijkswaterstaat</w:t>
      </w:r>
      <w:r w:rsidRPr="008A79DC">
        <w:rPr>
          <w:rFonts w:ascii="Verdana" w:hAnsi="Verdana"/>
          <w:sz w:val="18"/>
          <w:szCs w:val="14"/>
        </w:rPr>
        <w:t xml:space="preserve"> voor het leidingtracé, die wordt gedekt vanuit een reservering.</w:t>
      </w:r>
    </w:p>
    <w:p w:rsidRPr="008A79DC" w:rsidR="008C4897" w:rsidP="008C4897" w:rsidRDefault="008C4897">
      <w:pPr>
        <w:spacing w:line="240" w:lineRule="atLeast"/>
        <w:rPr>
          <w:rFonts w:ascii="Verdana" w:hAnsi="Verdana"/>
          <w:sz w:val="18"/>
          <w:szCs w:val="14"/>
        </w:rPr>
      </w:pPr>
    </w:p>
    <w:p w:rsidRPr="008A79DC" w:rsidR="008C4897" w:rsidP="008C4897" w:rsidRDefault="008C4897">
      <w:pPr>
        <w:spacing w:line="240" w:lineRule="atLeast"/>
        <w:rPr>
          <w:rFonts w:ascii="Verdana" w:hAnsi="Verdana"/>
          <w:i/>
          <w:sz w:val="18"/>
          <w:szCs w:val="14"/>
        </w:rPr>
      </w:pPr>
      <w:r w:rsidRPr="008A79DC">
        <w:rPr>
          <w:rFonts w:ascii="Verdana" w:hAnsi="Verdana"/>
          <w:i/>
          <w:sz w:val="18"/>
          <w:szCs w:val="14"/>
        </w:rPr>
        <w:t>Diversen – technische mutaties, niet-belastingontvangsten</w:t>
      </w:r>
    </w:p>
    <w:p w:rsidRPr="008A79DC" w:rsidR="008C4897" w:rsidP="008C4897" w:rsidRDefault="008C4897">
      <w:pPr>
        <w:spacing w:line="240" w:lineRule="exact"/>
        <w:rPr>
          <w:rFonts w:ascii="Verdana" w:hAnsi="Verdana" w:cs="Verdana"/>
          <w:b/>
          <w:bCs/>
          <w:sz w:val="18"/>
          <w:szCs w:val="18"/>
        </w:rPr>
      </w:pPr>
      <w:r w:rsidRPr="008A79DC">
        <w:rPr>
          <w:rFonts w:ascii="Verdana" w:hAnsi="Verdana"/>
          <w:sz w:val="18"/>
          <w:szCs w:val="14"/>
        </w:rPr>
        <w:t>De hogere ontvangsten betreffen met name een terugstorting (1,0 mln.) van de Sociale Verzekeringsbank vanwege minder uitkeringen dan geraamd voor de regeling tegemoetkoming niet-loondienst gerelateerde slachtoffers van mesothelioom (TNS regeling).</w:t>
      </w: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Economische Zaken en Klimaat</w:t>
            </w:r>
          </w:p>
          <w:p w:rsidRPr="008A79DC" w:rsidR="008C4897" w:rsidRDefault="008C4897">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XIII ECONOMISCHE ZAKEN EN KLIMAAT: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5.057,9</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912CEE" w:rsidTr="00412663">
        <w:trPr>
          <w:trHeight w:val="240"/>
        </w:trPr>
        <w:tc>
          <w:tcPr>
            <w:tcW w:w="5340" w:type="dxa"/>
            <w:tcBorders>
              <w:top w:val="nil"/>
              <w:left w:val="nil"/>
              <w:bottom w:val="nil"/>
              <w:right w:val="nil"/>
            </w:tcBorders>
            <w:shd w:val="clear" w:color="auto" w:fill="auto"/>
          </w:tcPr>
          <w:p w:rsidRPr="008A79DC" w:rsidR="00912CEE" w:rsidP="009D2588" w:rsidRDefault="003516F4">
            <w:pPr>
              <w:ind w:firstLine="360" w:firstLineChars="200"/>
              <w:rPr>
                <w:rFonts w:ascii="Verdana" w:hAnsi="Verdana"/>
                <w:color w:val="000000"/>
                <w:sz w:val="18"/>
                <w:szCs w:val="18"/>
              </w:rPr>
            </w:pPr>
            <w:r>
              <w:rPr>
                <w:rFonts w:ascii="Verdana" w:hAnsi="Verdana"/>
                <w:color w:val="000000"/>
                <w:sz w:val="18"/>
                <w:szCs w:val="18"/>
              </w:rPr>
              <w:t>Begrotingsreserve M</w:t>
            </w:r>
            <w:r w:rsidR="00912CEE">
              <w:rPr>
                <w:rFonts w:ascii="Verdana" w:hAnsi="Verdana"/>
                <w:color w:val="000000"/>
                <w:sz w:val="18"/>
                <w:szCs w:val="18"/>
              </w:rPr>
              <w:t>aatregelen CO2-reductie</w:t>
            </w:r>
          </w:p>
        </w:tc>
        <w:tc>
          <w:tcPr>
            <w:tcW w:w="1480" w:type="dxa"/>
            <w:tcBorders>
              <w:top w:val="nil"/>
              <w:left w:val="nil"/>
              <w:bottom w:val="nil"/>
              <w:right w:val="nil"/>
            </w:tcBorders>
            <w:shd w:val="clear" w:color="auto" w:fill="auto"/>
          </w:tcPr>
          <w:p w:rsidRPr="008A79DC" w:rsidR="00912CEE" w:rsidRDefault="00912CEE">
            <w:pPr>
              <w:jc w:val="right"/>
              <w:rPr>
                <w:rFonts w:ascii="Verdana" w:hAnsi="Verdana"/>
                <w:color w:val="000000"/>
                <w:sz w:val="18"/>
                <w:szCs w:val="18"/>
              </w:rPr>
            </w:pPr>
            <w:r>
              <w:rPr>
                <w:rFonts w:ascii="Verdana" w:hAnsi="Verdana"/>
                <w:color w:val="000000"/>
                <w:sz w:val="18"/>
                <w:szCs w:val="18"/>
              </w:rPr>
              <w:t>500,0</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-51,7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P="00912CEE" w:rsidRDefault="00912CEE">
            <w:pPr>
              <w:jc w:val="right"/>
              <w:rPr>
                <w:rFonts w:ascii="Verdana" w:hAnsi="Verdana"/>
                <w:color w:val="000000"/>
                <w:sz w:val="18"/>
                <w:szCs w:val="18"/>
              </w:rPr>
            </w:pPr>
            <w:r>
              <w:rPr>
                <w:rFonts w:ascii="Verdana" w:hAnsi="Verdana"/>
                <w:color w:val="000000"/>
                <w:sz w:val="18"/>
                <w:szCs w:val="18"/>
              </w:rPr>
              <w:t>448,3</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5,7</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P="00912CEE" w:rsidRDefault="00912CEE">
            <w:pPr>
              <w:jc w:val="right"/>
              <w:rPr>
                <w:rFonts w:ascii="Verdana" w:hAnsi="Verdana"/>
                <w:color w:val="000000"/>
                <w:sz w:val="18"/>
                <w:szCs w:val="18"/>
              </w:rPr>
            </w:pPr>
            <w:r>
              <w:rPr>
                <w:rFonts w:ascii="Verdana" w:hAnsi="Verdana"/>
                <w:color w:val="000000"/>
                <w:sz w:val="18"/>
                <w:szCs w:val="18"/>
              </w:rPr>
              <w:t>452,9</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P="00912CEE" w:rsidRDefault="00412663">
            <w:pPr>
              <w:jc w:val="right"/>
              <w:rPr>
                <w:rFonts w:ascii="Verdana" w:hAnsi="Verdana"/>
                <w:color w:val="000000"/>
                <w:sz w:val="18"/>
                <w:szCs w:val="18"/>
              </w:rPr>
            </w:pPr>
            <w:r w:rsidRPr="008A79DC">
              <w:rPr>
                <w:rFonts w:ascii="Verdana" w:hAnsi="Verdana"/>
                <w:color w:val="000000"/>
                <w:sz w:val="18"/>
                <w:szCs w:val="18"/>
              </w:rPr>
              <w:t>5.</w:t>
            </w:r>
            <w:r w:rsidR="00912CEE">
              <w:rPr>
                <w:rFonts w:ascii="Verdana" w:hAnsi="Verdana"/>
                <w:color w:val="000000"/>
                <w:sz w:val="18"/>
                <w:szCs w:val="18"/>
              </w:rPr>
              <w:t>5</w:t>
            </w:r>
            <w:r w:rsidRPr="008A79DC">
              <w:rPr>
                <w:rFonts w:ascii="Verdana" w:hAnsi="Verdana"/>
                <w:color w:val="000000"/>
                <w:sz w:val="18"/>
                <w:szCs w:val="18"/>
              </w:rPr>
              <w:t>10,8</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54,9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P="00912CEE" w:rsidRDefault="00412663">
            <w:pPr>
              <w:jc w:val="right"/>
              <w:rPr>
                <w:rFonts w:ascii="Verdana" w:hAnsi="Verdana"/>
                <w:color w:val="000000"/>
                <w:sz w:val="18"/>
                <w:szCs w:val="18"/>
              </w:rPr>
            </w:pPr>
            <w:r w:rsidRPr="008A79DC">
              <w:rPr>
                <w:rFonts w:ascii="Verdana" w:hAnsi="Verdana"/>
                <w:color w:val="000000"/>
                <w:sz w:val="18"/>
                <w:szCs w:val="18"/>
              </w:rPr>
              <w:t>5.</w:t>
            </w:r>
            <w:r w:rsidR="00912CEE">
              <w:rPr>
                <w:rFonts w:ascii="Verdana" w:hAnsi="Verdana"/>
                <w:color w:val="000000"/>
                <w:sz w:val="18"/>
                <w:szCs w:val="18"/>
              </w:rPr>
              <w:t>5</w:t>
            </w:r>
            <w:r w:rsidRPr="008A79DC">
              <w:rPr>
                <w:rFonts w:ascii="Verdana" w:hAnsi="Verdana"/>
                <w:color w:val="000000"/>
                <w:sz w:val="18"/>
                <w:szCs w:val="18"/>
              </w:rPr>
              <w:t>65,6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46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XIII ECONOMISCHE ZAKEN EN KLIMAAT: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40"/>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4.061,5</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Minder ontvangsten high trust</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-24,7</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-19,2</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27,2</w:t>
            </w:r>
          </w:p>
        </w:tc>
      </w:tr>
      <w:tr w:rsidRPr="008A79DC" w:rsidR="00412663" w:rsidTr="00412663">
        <w:trPr>
          <w:trHeight w:val="300"/>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24,2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5,0</w:t>
            </w:r>
          </w:p>
        </w:tc>
      </w:tr>
      <w:tr w:rsidRPr="008A79DC" w:rsidR="00412663" w:rsidTr="00412663">
        <w:trPr>
          <w:trHeight w:val="31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4.066,5</w:t>
            </w:r>
          </w:p>
        </w:tc>
      </w:tr>
      <w:tr w:rsidRPr="008A79DC" w:rsidR="00412663" w:rsidTr="00412663">
        <w:trPr>
          <w:trHeight w:val="2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4.066,5</w:t>
            </w:r>
          </w:p>
        </w:tc>
      </w:tr>
    </w:tbl>
    <w:p w:rsidRPr="008A79DC" w:rsidR="00412663" w:rsidP="00C41D99" w:rsidRDefault="00412663">
      <w:pPr>
        <w:spacing w:line="240" w:lineRule="exact"/>
        <w:rPr>
          <w:rFonts w:ascii="Verdana" w:hAnsi="Verdana" w:cs="Verdana"/>
          <w:b/>
          <w:bCs/>
          <w:sz w:val="18"/>
          <w:szCs w:val="18"/>
        </w:rPr>
      </w:pPr>
    </w:p>
    <w:p w:rsidR="00912CEE" w:rsidRDefault="00912CEE">
      <w:pPr>
        <w:rPr>
          <w:rFonts w:ascii="Verdana" w:hAnsi="Verdana"/>
          <w:color w:val="000000"/>
          <w:sz w:val="18"/>
          <w:szCs w:val="18"/>
        </w:rPr>
      </w:pPr>
    </w:p>
    <w:p w:rsidRPr="00912CEE" w:rsidR="008C4897" w:rsidRDefault="003516F4">
      <w:pPr>
        <w:rPr>
          <w:rFonts w:ascii="Verdana" w:hAnsi="Verdana" w:cs="Verdana"/>
          <w:b/>
          <w:bCs/>
          <w:i/>
          <w:sz w:val="18"/>
          <w:szCs w:val="18"/>
        </w:rPr>
      </w:pPr>
      <w:r>
        <w:rPr>
          <w:rFonts w:ascii="Verdana" w:hAnsi="Verdana"/>
          <w:i/>
          <w:color w:val="000000"/>
          <w:sz w:val="18"/>
          <w:szCs w:val="18"/>
        </w:rPr>
        <w:t>Begrotingsreserve M</w:t>
      </w:r>
      <w:r w:rsidRPr="00912CEE" w:rsidR="00912CEE">
        <w:rPr>
          <w:rFonts w:ascii="Verdana" w:hAnsi="Verdana"/>
          <w:i/>
          <w:color w:val="000000"/>
          <w:sz w:val="18"/>
          <w:szCs w:val="18"/>
        </w:rPr>
        <w:t>aatregelen CO2-reductie</w:t>
      </w:r>
    </w:p>
    <w:p w:rsidR="00912CEE" w:rsidP="00CE3421" w:rsidRDefault="00912CEE">
      <w:pPr>
        <w:rPr>
          <w:rFonts w:ascii="Verdana" w:hAnsi="Verdana" w:cs="Verdana"/>
          <w:bCs/>
          <w:sz w:val="18"/>
          <w:szCs w:val="18"/>
        </w:rPr>
      </w:pPr>
      <w:r w:rsidRPr="00912CEE">
        <w:rPr>
          <w:rFonts w:ascii="Verdana" w:hAnsi="Verdana" w:cs="Verdana"/>
          <w:bCs/>
          <w:sz w:val="18"/>
          <w:szCs w:val="18"/>
        </w:rPr>
        <w:t xml:space="preserve">Het kabinet zal mogelijk additionele maatregelen nemen om aanvullende CO2-reductie te realiseren. Omdat de aard en timing van de eventuele aanvullende maatregelen nog onzeker is, heeft het kabinet besloten deze eventuele maatregelen via een tijdelijke begrotingsreserve mogelijk te maken. De reserve loopt tot en met 2020, wordt gekoppeld aan artikel 4 (Een doelmatige energievoorziening en beperking van de klimaatverandering) van de EZK-begroting en staat onder voorafgaand toezicht van het Ministerie van Financiën. De reserve wordt eenmalig gevuld met 500 </w:t>
      </w:r>
      <w:r>
        <w:rPr>
          <w:rFonts w:ascii="Verdana" w:hAnsi="Verdana" w:cs="Verdana"/>
          <w:bCs/>
          <w:sz w:val="18"/>
          <w:szCs w:val="18"/>
        </w:rPr>
        <w:t xml:space="preserve">mln. </w:t>
      </w:r>
      <w:r w:rsidRPr="003233DC" w:rsidR="003233DC">
        <w:rPr>
          <w:rFonts w:ascii="Verdana" w:hAnsi="Verdana" w:cs="Verdana"/>
          <w:bCs/>
          <w:sz w:val="18"/>
          <w:szCs w:val="18"/>
        </w:rPr>
        <w:t>Het ministerie van Economische Zaken en Klimaat coördineert de set aan maatregelen om CO2 te reduceren. Andere departementen zoals LNV, IenW en BZK kunnen ook een beroep doen op deze middelen v</w:t>
      </w:r>
      <w:r w:rsidR="003233DC">
        <w:rPr>
          <w:rFonts w:ascii="Verdana" w:hAnsi="Verdana" w:cs="Verdana"/>
          <w:bCs/>
          <w:sz w:val="18"/>
          <w:szCs w:val="18"/>
        </w:rPr>
        <w:t>oor CO2-reducerende maatregelen</w:t>
      </w:r>
      <w:r w:rsidR="00576F35">
        <w:rPr>
          <w:rFonts w:ascii="Verdana" w:hAnsi="Verdana" w:cs="Verdana"/>
          <w:bCs/>
          <w:sz w:val="18"/>
          <w:szCs w:val="18"/>
        </w:rPr>
        <w:t>.</w:t>
      </w:r>
    </w:p>
    <w:p w:rsidRPr="00CE3421" w:rsidR="00CE3421" w:rsidP="00CE3421" w:rsidRDefault="00CE3421">
      <w:pPr>
        <w:rPr>
          <w:rFonts w:ascii="Verdana" w:hAnsi="Verdana" w:cs="Verdana"/>
          <w:bCs/>
          <w:i/>
          <w:sz w:val="18"/>
          <w:szCs w:val="18"/>
        </w:rPr>
      </w:pPr>
      <w:r w:rsidRPr="00CE3421">
        <w:rPr>
          <w:rFonts w:ascii="Verdana" w:hAnsi="Verdana" w:cs="Verdana"/>
          <w:bCs/>
          <w:i/>
          <w:sz w:val="18"/>
          <w:szCs w:val="18"/>
        </w:rPr>
        <w:lastRenderedPageBreak/>
        <w:t xml:space="preserve">Diversen – beleidsmatige mutaties uitgaven </w:t>
      </w:r>
    </w:p>
    <w:p w:rsidR="00CE3421" w:rsidP="00CE3421" w:rsidRDefault="00CE3421">
      <w:pPr>
        <w:rPr>
          <w:rFonts w:ascii="Verdana" w:hAnsi="Verdana" w:cs="Verdana"/>
          <w:bCs/>
          <w:sz w:val="18"/>
          <w:szCs w:val="18"/>
        </w:rPr>
      </w:pPr>
      <w:r w:rsidRPr="00CE3421">
        <w:rPr>
          <w:rFonts w:ascii="Verdana" w:hAnsi="Verdana" w:cs="Verdana"/>
          <w:bCs/>
          <w:sz w:val="18"/>
          <w:szCs w:val="18"/>
        </w:rPr>
        <w:t>Voor de EZK-begrotingsstaat betreft deze post middelen uit de klimaatenvelop 2018 van ongeveer 23 mln. die niet meer in 2018 tot uitbetaling komen: verduurzaming industrie (18,2 mln.) en implementatie minimum CO2-prijs NEa (1,85 mln.). Deze middelen moeten meerjarig beschikbaar blijven voor de klimaatdoelen en worden in 2019 weer aan de begroting toegevoegd. Inzake Groningen wordt de raming van de subsidieregeling verduurzaming bij versterken met 6,4 mln. naar beneden bijgesteld. Deze regeling blijft achter bij de oorspronkelijke ramingen, omdat er minder huizen in Groningen zijn versterkt dan verwacht. De verwachting is dat de versterking pas in 2019 goed op gang komt.</w:t>
      </w:r>
      <w:r w:rsidRPr="00AD094E" w:rsidR="00AD094E">
        <w:t xml:space="preserve"> </w:t>
      </w:r>
      <w:r w:rsidRPr="00AD094E" w:rsidR="00AD094E">
        <w:rPr>
          <w:rFonts w:ascii="Verdana" w:hAnsi="Verdana" w:cs="Verdana"/>
          <w:bCs/>
          <w:sz w:val="18"/>
          <w:szCs w:val="18"/>
        </w:rPr>
        <w:t xml:space="preserve">Verder wordt </w:t>
      </w:r>
      <w:r w:rsidR="00AD094E">
        <w:rPr>
          <w:rFonts w:ascii="Verdana" w:hAnsi="Verdana" w:cs="Verdana"/>
          <w:bCs/>
          <w:sz w:val="18"/>
          <w:szCs w:val="18"/>
        </w:rPr>
        <w:t>bij wijze van</w:t>
      </w:r>
      <w:r w:rsidRPr="00AD094E" w:rsidR="00AD094E">
        <w:rPr>
          <w:rFonts w:ascii="Verdana" w:hAnsi="Verdana" w:cs="Verdana"/>
          <w:bCs/>
          <w:sz w:val="18"/>
          <w:szCs w:val="18"/>
        </w:rPr>
        <w:t xml:space="preserve"> eenmalige uitzondering het eigen vermogen van Agentschap Telecom aangevuld met 1,6 mln, onder de voorwaarde dat er in 2019 een doorlichting wordt uitgevoerd en dat Agentschap Telecom gaat werken met kostendekkende tarieven</w:t>
      </w:r>
      <w:r w:rsidR="00AD094E">
        <w:rPr>
          <w:rFonts w:ascii="Verdana" w:hAnsi="Verdana" w:cs="Verdana"/>
          <w:bCs/>
          <w:sz w:val="18"/>
          <w:szCs w:val="18"/>
        </w:rPr>
        <w:t>.</w:t>
      </w:r>
    </w:p>
    <w:p w:rsidRPr="00CE3421" w:rsidR="00F85D42" w:rsidP="00CE3421" w:rsidRDefault="00F85D42">
      <w:pPr>
        <w:rPr>
          <w:rFonts w:ascii="Verdana" w:hAnsi="Verdana" w:cs="Verdana"/>
          <w:bCs/>
          <w:sz w:val="18"/>
          <w:szCs w:val="18"/>
        </w:rPr>
      </w:pPr>
    </w:p>
    <w:p w:rsidRPr="00CE3421" w:rsidR="00CE3421" w:rsidP="00CE3421" w:rsidRDefault="00CE3421">
      <w:pPr>
        <w:rPr>
          <w:rFonts w:ascii="Verdana" w:hAnsi="Verdana" w:cs="Verdana"/>
          <w:bCs/>
          <w:sz w:val="18"/>
          <w:szCs w:val="18"/>
        </w:rPr>
      </w:pPr>
      <w:r w:rsidRPr="00CE3421">
        <w:rPr>
          <w:rFonts w:ascii="Verdana" w:hAnsi="Verdana" w:cs="Verdana"/>
          <w:bCs/>
          <w:sz w:val="18"/>
          <w:szCs w:val="18"/>
        </w:rPr>
        <w:t>Voor de LNV-begrotingsstaat betreft deze post ook middelen uit de klimaatenvelop 2018 van 10 mln. die dit jaar niet meer tot uitbetaling komen. Deze middelen worden in 2019 weer aan de begroting toegevoegd. Daarnaast bevat deze post de bijdrage aan RVO voor het Fosfaatrechtenstelsel (10,6 mln.).</w:t>
      </w:r>
    </w:p>
    <w:p w:rsidRPr="00CE3421" w:rsidR="00CE3421" w:rsidP="00CE3421" w:rsidRDefault="00CE3421">
      <w:pPr>
        <w:rPr>
          <w:rFonts w:ascii="Verdana" w:hAnsi="Verdana" w:cs="Verdana"/>
          <w:bCs/>
          <w:sz w:val="18"/>
          <w:szCs w:val="18"/>
        </w:rPr>
      </w:pPr>
    </w:p>
    <w:p w:rsidRPr="00F85D42" w:rsidR="00CE3421" w:rsidP="00CE3421" w:rsidRDefault="00CE3421">
      <w:pPr>
        <w:rPr>
          <w:rFonts w:ascii="Verdana" w:hAnsi="Verdana" w:cs="Verdana"/>
          <w:bCs/>
          <w:i/>
          <w:sz w:val="18"/>
          <w:szCs w:val="18"/>
        </w:rPr>
      </w:pPr>
      <w:r w:rsidRPr="00F85D42">
        <w:rPr>
          <w:rFonts w:ascii="Verdana" w:hAnsi="Verdana" w:cs="Verdana"/>
          <w:bCs/>
          <w:i/>
          <w:sz w:val="18"/>
          <w:szCs w:val="18"/>
        </w:rPr>
        <w:t>Diversen – technische mutaties</w:t>
      </w:r>
      <w:r w:rsidR="00F85D42">
        <w:rPr>
          <w:rFonts w:ascii="Verdana" w:hAnsi="Verdana" w:cs="Verdana"/>
          <w:bCs/>
          <w:i/>
          <w:sz w:val="18"/>
          <w:szCs w:val="18"/>
        </w:rPr>
        <w:t>,</w:t>
      </w:r>
      <w:r w:rsidRPr="00F85D42">
        <w:rPr>
          <w:rFonts w:ascii="Verdana" w:hAnsi="Verdana" w:cs="Verdana"/>
          <w:bCs/>
          <w:i/>
          <w:sz w:val="18"/>
          <w:szCs w:val="18"/>
        </w:rPr>
        <w:t xml:space="preserve"> uitgaven</w:t>
      </w:r>
    </w:p>
    <w:p w:rsidR="00CE3421" w:rsidP="00CE3421" w:rsidRDefault="00CE3421">
      <w:pPr>
        <w:rPr>
          <w:rFonts w:ascii="Verdana" w:hAnsi="Verdana" w:cs="Verdana"/>
          <w:bCs/>
          <w:sz w:val="18"/>
          <w:szCs w:val="18"/>
        </w:rPr>
      </w:pPr>
      <w:r w:rsidRPr="00CE3421">
        <w:rPr>
          <w:rFonts w:ascii="Verdana" w:hAnsi="Verdana" w:cs="Verdana"/>
          <w:bCs/>
          <w:sz w:val="18"/>
          <w:szCs w:val="18"/>
        </w:rPr>
        <w:t xml:space="preserve">Deze post betreft diverse overboekingen van en naar andere departementen en desalderingen. Op de EZK-begrotingsstaat wordt er 16,1 mln. overgeboekt naar het Provinciefonds voor de decentrale uitvoering van de MKB Innovatiestimulering Topsectoren (MIT). Ook ontvangt EZK 9,8 mln. van VWS als bijdrage voor de eHealth tender Seed Capital. Ook bevat deze post een desaldering van EFRO van 4,2 mln. </w:t>
      </w:r>
    </w:p>
    <w:p w:rsidRPr="00CE3421" w:rsidR="00F85D42" w:rsidP="00CE3421" w:rsidRDefault="00F85D42">
      <w:pPr>
        <w:rPr>
          <w:rFonts w:ascii="Verdana" w:hAnsi="Verdana" w:cs="Verdana"/>
          <w:bCs/>
          <w:sz w:val="18"/>
          <w:szCs w:val="18"/>
        </w:rPr>
      </w:pPr>
    </w:p>
    <w:p w:rsidR="00CE3421" w:rsidP="00CE3421" w:rsidRDefault="00CE3421">
      <w:pPr>
        <w:rPr>
          <w:rFonts w:ascii="Verdana" w:hAnsi="Verdana" w:cs="Verdana"/>
          <w:bCs/>
          <w:sz w:val="18"/>
          <w:szCs w:val="18"/>
        </w:rPr>
      </w:pPr>
      <w:r w:rsidRPr="00CE3421">
        <w:rPr>
          <w:rFonts w:ascii="Verdana" w:hAnsi="Verdana" w:cs="Verdana"/>
          <w:bCs/>
          <w:sz w:val="18"/>
          <w:szCs w:val="18"/>
        </w:rPr>
        <w:t>Daarnaast betreft dit ook een overboeking van de Aanvullende Post naar de EZK-begroting van 50 mln. voor het Nationaal programma Groningen (NPG). Dit bedrag is vervolgens overgemaakt naar het Provinciefonds ten behoeve van de provincie Groningen. Op 5 oktober jl. hebben Rijk, provincie en gemeenten een akkoord gesloten in de vorm van een NPG. Voor het NPG is meerjarig totaal 1,15 mld. beschikbaar. Vooruitlopend op de nadere uitwerking van het Nationaal Programma in de komende maanden wordt gewerkt om binnen iedere programmalijn nog dit jaar een aantal projecten te starten. Op grond van de afspraken in het regeerakkoord is hiervoor in 2018 50 mln. be</w:t>
      </w:r>
      <w:r w:rsidR="00F85D42">
        <w:rPr>
          <w:rFonts w:ascii="Verdana" w:hAnsi="Verdana" w:cs="Verdana"/>
          <w:bCs/>
          <w:sz w:val="18"/>
          <w:szCs w:val="18"/>
        </w:rPr>
        <w:t>schikbaar op de Rijksbegroting.</w:t>
      </w:r>
    </w:p>
    <w:p w:rsidRPr="00CE3421" w:rsidR="00F85D42" w:rsidP="00CE3421" w:rsidRDefault="00F85D42">
      <w:pPr>
        <w:rPr>
          <w:rFonts w:ascii="Verdana" w:hAnsi="Verdana" w:cs="Verdana"/>
          <w:bCs/>
          <w:sz w:val="18"/>
          <w:szCs w:val="18"/>
        </w:rPr>
      </w:pPr>
    </w:p>
    <w:p w:rsidRPr="00CE3421" w:rsidR="00CE3421" w:rsidP="00CE3421" w:rsidRDefault="00CE3421">
      <w:pPr>
        <w:rPr>
          <w:rFonts w:ascii="Verdana" w:hAnsi="Verdana" w:cs="Verdana"/>
          <w:bCs/>
          <w:sz w:val="18"/>
          <w:szCs w:val="18"/>
        </w:rPr>
      </w:pPr>
      <w:r w:rsidRPr="00CE3421">
        <w:rPr>
          <w:rFonts w:ascii="Verdana" w:hAnsi="Verdana" w:cs="Verdana"/>
          <w:bCs/>
          <w:sz w:val="18"/>
          <w:szCs w:val="18"/>
        </w:rPr>
        <w:t>Voor de LNV-begrotingsstaat betre</w:t>
      </w:r>
      <w:r w:rsidR="00F85D42">
        <w:rPr>
          <w:rFonts w:ascii="Verdana" w:hAnsi="Verdana" w:cs="Verdana"/>
          <w:bCs/>
          <w:sz w:val="18"/>
          <w:szCs w:val="18"/>
        </w:rPr>
        <w:t>ft dit een overboeking aan het g</w:t>
      </w:r>
      <w:r w:rsidRPr="00CE3421">
        <w:rPr>
          <w:rFonts w:ascii="Verdana" w:hAnsi="Verdana" w:cs="Verdana"/>
          <w:bCs/>
          <w:sz w:val="18"/>
          <w:szCs w:val="18"/>
        </w:rPr>
        <w:t xml:space="preserve">emeentefonds voor Floriade 2022 van 2,5 mln. en een overboeking voor Rotterdam uit de Regio-envelop van 24 mln. </w:t>
      </w:r>
    </w:p>
    <w:p w:rsidRPr="00CE3421" w:rsidR="00CE3421" w:rsidP="00CE3421" w:rsidRDefault="00CE3421">
      <w:pPr>
        <w:rPr>
          <w:rFonts w:ascii="Verdana" w:hAnsi="Verdana" w:cs="Verdana"/>
          <w:bCs/>
          <w:sz w:val="18"/>
          <w:szCs w:val="18"/>
        </w:rPr>
      </w:pPr>
    </w:p>
    <w:p w:rsidRPr="00F85D42" w:rsidR="00CE3421" w:rsidP="00CE3421" w:rsidRDefault="00CE3421">
      <w:pPr>
        <w:rPr>
          <w:rFonts w:ascii="Verdana" w:hAnsi="Verdana" w:cs="Verdana"/>
          <w:bCs/>
          <w:i/>
          <w:sz w:val="18"/>
          <w:szCs w:val="18"/>
        </w:rPr>
      </w:pPr>
      <w:r w:rsidRPr="00F85D42">
        <w:rPr>
          <w:rFonts w:ascii="Verdana" w:hAnsi="Verdana" w:cs="Verdana"/>
          <w:bCs/>
          <w:i/>
          <w:sz w:val="18"/>
          <w:szCs w:val="18"/>
        </w:rPr>
        <w:t>Diversen – niet relevant voor het uitgavenplafond</w:t>
      </w:r>
      <w:r w:rsidR="00F85D42">
        <w:rPr>
          <w:rFonts w:ascii="Verdana" w:hAnsi="Verdana" w:cs="Verdana"/>
          <w:bCs/>
          <w:i/>
          <w:sz w:val="18"/>
          <w:szCs w:val="18"/>
        </w:rPr>
        <w:t>,</w:t>
      </w:r>
      <w:r w:rsidRPr="00F85D42">
        <w:rPr>
          <w:rFonts w:ascii="Verdana" w:hAnsi="Verdana" w:cs="Verdana"/>
          <w:bCs/>
          <w:i/>
          <w:sz w:val="18"/>
          <w:szCs w:val="18"/>
        </w:rPr>
        <w:t xml:space="preserve"> uitgaven </w:t>
      </w:r>
    </w:p>
    <w:p w:rsidRPr="00CE3421" w:rsidR="00CE3421" w:rsidP="00CE3421" w:rsidRDefault="00CE3421">
      <w:pPr>
        <w:rPr>
          <w:rFonts w:ascii="Verdana" w:hAnsi="Verdana" w:cs="Verdana"/>
          <w:bCs/>
          <w:sz w:val="18"/>
          <w:szCs w:val="18"/>
        </w:rPr>
      </w:pPr>
      <w:r w:rsidRPr="00CE3421">
        <w:rPr>
          <w:rFonts w:ascii="Verdana" w:hAnsi="Verdana" w:cs="Verdana"/>
          <w:bCs/>
          <w:sz w:val="18"/>
          <w:szCs w:val="18"/>
        </w:rPr>
        <w:t xml:space="preserve">Deze post betreft de EZK-begrotingsstaat. Onder deze post valt onder andere de overboeking van de Aanvullende Post van 6 mln. voor de gemeenten in het aardbevingsgebied. Dit budget is afkomstig van de reservering die afgelopen Voorjaarsnota is getroffen. Het budget is bedoeld om gemeenten te compenseren voor hun extra inspanningen op het terrein van psychosociale ondersteuning van bewoners en de openbare ruimten. Onder deze post valt ook een overboeking van kosten apparaat Nationaal Coördinator Groningen (6 mln. voor personeel en 0,7 mln. voor materieel) naar het apparaatsartikel van EZK. </w:t>
      </w:r>
    </w:p>
    <w:p w:rsidRPr="00CE3421" w:rsidR="00CE3421" w:rsidP="00CE3421" w:rsidRDefault="00CE3421">
      <w:pPr>
        <w:rPr>
          <w:rFonts w:ascii="Verdana" w:hAnsi="Verdana" w:cs="Verdana"/>
          <w:bCs/>
          <w:sz w:val="18"/>
          <w:szCs w:val="18"/>
        </w:rPr>
      </w:pPr>
    </w:p>
    <w:p w:rsidRPr="00F85D42" w:rsidR="00CE3421" w:rsidP="00CE3421" w:rsidRDefault="00CE3421">
      <w:pPr>
        <w:rPr>
          <w:rFonts w:ascii="Verdana" w:hAnsi="Verdana" w:cs="Verdana"/>
          <w:bCs/>
          <w:i/>
          <w:sz w:val="18"/>
          <w:szCs w:val="18"/>
        </w:rPr>
      </w:pPr>
      <w:r w:rsidRPr="00F85D42">
        <w:rPr>
          <w:rFonts w:ascii="Verdana" w:hAnsi="Verdana" w:cs="Verdana"/>
          <w:bCs/>
          <w:i/>
          <w:sz w:val="18"/>
          <w:szCs w:val="18"/>
        </w:rPr>
        <w:t>Minder ontvangsten high trust</w:t>
      </w:r>
    </w:p>
    <w:p w:rsidRPr="00CE3421" w:rsidR="00CE3421" w:rsidP="00CE3421" w:rsidRDefault="00CE3421">
      <w:pPr>
        <w:rPr>
          <w:rFonts w:ascii="Verdana" w:hAnsi="Verdana" w:cs="Verdana"/>
          <w:bCs/>
          <w:sz w:val="18"/>
          <w:szCs w:val="18"/>
        </w:rPr>
      </w:pPr>
      <w:r w:rsidRPr="00CE3421">
        <w:rPr>
          <w:rFonts w:ascii="Verdana" w:hAnsi="Verdana" w:cs="Verdana"/>
          <w:bCs/>
          <w:sz w:val="18"/>
          <w:szCs w:val="18"/>
        </w:rPr>
        <w:t xml:space="preserve">High Trust bestaat uit het saldo van de door ACM ontvangen en terugbetaalde boetes in het boekjaar. Door onzekerheid over gerechtelijke uitspraken en het moment waarop dit in de tijd plaatsvindt, fluctueert het saldo aan High trust ontvangsten door de jaren heen en laat zich  niet plannen. De ACM verwacht dit jaar per saldo 4,6 mln. aan boetes te ontvangen. </w:t>
      </w:r>
    </w:p>
    <w:p w:rsidR="00F85D42" w:rsidP="00CE3421" w:rsidRDefault="00F85D42">
      <w:pPr>
        <w:rPr>
          <w:rFonts w:ascii="Verdana" w:hAnsi="Verdana" w:cs="Verdana"/>
          <w:bCs/>
          <w:sz w:val="18"/>
          <w:szCs w:val="18"/>
        </w:rPr>
      </w:pPr>
    </w:p>
    <w:p w:rsidRPr="00F85D42" w:rsidR="00CE3421" w:rsidP="00CE3421" w:rsidRDefault="00CE3421">
      <w:pPr>
        <w:rPr>
          <w:rFonts w:ascii="Verdana" w:hAnsi="Verdana" w:cs="Verdana"/>
          <w:bCs/>
          <w:i/>
          <w:sz w:val="18"/>
          <w:szCs w:val="18"/>
        </w:rPr>
      </w:pPr>
      <w:r w:rsidRPr="00F85D42">
        <w:rPr>
          <w:rFonts w:ascii="Verdana" w:hAnsi="Verdana" w:cs="Verdana"/>
          <w:bCs/>
          <w:i/>
          <w:sz w:val="18"/>
          <w:szCs w:val="18"/>
        </w:rPr>
        <w:t>Diversen – beleidsmatige mutaties</w:t>
      </w:r>
      <w:r w:rsidR="00F85D42">
        <w:rPr>
          <w:rFonts w:ascii="Verdana" w:hAnsi="Verdana" w:cs="Verdana"/>
          <w:bCs/>
          <w:i/>
          <w:sz w:val="18"/>
          <w:szCs w:val="18"/>
        </w:rPr>
        <w:t>,</w:t>
      </w:r>
      <w:r w:rsidRPr="00F85D42">
        <w:rPr>
          <w:rFonts w:ascii="Verdana" w:hAnsi="Verdana" w:cs="Verdana"/>
          <w:bCs/>
          <w:i/>
          <w:sz w:val="18"/>
          <w:szCs w:val="18"/>
        </w:rPr>
        <w:t xml:space="preserve"> niet-belastingontvangsten</w:t>
      </w:r>
    </w:p>
    <w:p w:rsidRPr="00CE3421" w:rsidR="00CE3421" w:rsidP="00CE3421" w:rsidRDefault="00CE3421">
      <w:pPr>
        <w:rPr>
          <w:rFonts w:ascii="Verdana" w:hAnsi="Verdana" w:cs="Verdana"/>
          <w:bCs/>
          <w:sz w:val="18"/>
          <w:szCs w:val="18"/>
        </w:rPr>
      </w:pPr>
      <w:r w:rsidRPr="00CE3421">
        <w:rPr>
          <w:rFonts w:ascii="Verdana" w:hAnsi="Verdana" w:cs="Verdana"/>
          <w:bCs/>
          <w:sz w:val="18"/>
          <w:szCs w:val="18"/>
        </w:rPr>
        <w:t xml:space="preserve">Deze post bevat de EZK-begrotingsstaat. Onder deze post vallen onder andere de bijstelling van ontvangsten JSF met -1,6 mln. en 3,2 mln. hogere ontvangsten uit subsidieoverschotten die door RVO worden verstrekt. De ontvangsten JSF vallen lager uit door vertraging in de productie van de JSF waardoor ook de Nederlandse productie vertraagd is en de afdrachten lager uitvallen dan geraamd. </w:t>
      </w:r>
    </w:p>
    <w:p w:rsidRPr="00F85D42" w:rsidR="00CE3421" w:rsidP="00CE3421" w:rsidRDefault="00CE3421">
      <w:pPr>
        <w:rPr>
          <w:rFonts w:ascii="Verdana" w:hAnsi="Verdana" w:cs="Verdana"/>
          <w:bCs/>
          <w:i/>
          <w:sz w:val="18"/>
          <w:szCs w:val="18"/>
        </w:rPr>
      </w:pPr>
      <w:r w:rsidRPr="00F85D42">
        <w:rPr>
          <w:rFonts w:ascii="Verdana" w:hAnsi="Verdana" w:cs="Verdana"/>
          <w:bCs/>
          <w:i/>
          <w:sz w:val="18"/>
          <w:szCs w:val="18"/>
        </w:rPr>
        <w:t>Diversen – technische mutaties</w:t>
      </w:r>
      <w:r w:rsidR="00F85D42">
        <w:rPr>
          <w:rFonts w:ascii="Verdana" w:hAnsi="Verdana" w:cs="Verdana"/>
          <w:bCs/>
          <w:i/>
          <w:sz w:val="18"/>
          <w:szCs w:val="18"/>
        </w:rPr>
        <w:t>,</w:t>
      </w:r>
      <w:r w:rsidRPr="00F85D42">
        <w:rPr>
          <w:rFonts w:ascii="Verdana" w:hAnsi="Verdana" w:cs="Verdana"/>
          <w:bCs/>
          <w:i/>
          <w:sz w:val="18"/>
          <w:szCs w:val="18"/>
        </w:rPr>
        <w:t xml:space="preserve"> niet-belastingontvangsten </w:t>
      </w:r>
    </w:p>
    <w:p w:rsidRPr="00CE3421" w:rsidR="00CE3421" w:rsidP="00CE3421" w:rsidRDefault="00CE3421">
      <w:pPr>
        <w:rPr>
          <w:rFonts w:ascii="Verdana" w:hAnsi="Verdana" w:cs="Verdana"/>
          <w:bCs/>
          <w:sz w:val="18"/>
          <w:szCs w:val="18"/>
        </w:rPr>
      </w:pPr>
      <w:r w:rsidRPr="00CE3421">
        <w:rPr>
          <w:rFonts w:ascii="Verdana" w:hAnsi="Verdana" w:cs="Verdana"/>
          <w:bCs/>
          <w:sz w:val="18"/>
          <w:szCs w:val="18"/>
        </w:rPr>
        <w:t>Voor de EZK-begrotingsstaat bevat deze post een desaldering van EFRO van 4,2 mln. Deze terugontvangsten over de EFRO-periode 2007-2013 worden in gezet voor verplichtingen aan de Dutch Techzone, trilaterale samenwerking chemie met Vlaanderen en Noordrijn Westfalen.</w:t>
      </w:r>
    </w:p>
    <w:p w:rsidRPr="00CE3421" w:rsidR="00CE3421" w:rsidP="00CE3421" w:rsidRDefault="00CE3421">
      <w:pPr>
        <w:rPr>
          <w:rFonts w:ascii="Verdana" w:hAnsi="Verdana" w:cs="Verdana"/>
          <w:bCs/>
          <w:sz w:val="18"/>
          <w:szCs w:val="18"/>
        </w:rPr>
      </w:pPr>
      <w:r w:rsidRPr="00CE3421">
        <w:rPr>
          <w:rFonts w:ascii="Verdana" w:hAnsi="Verdana" w:cs="Verdana"/>
          <w:bCs/>
          <w:sz w:val="18"/>
          <w:szCs w:val="18"/>
        </w:rPr>
        <w:lastRenderedPageBreak/>
        <w:t xml:space="preserve">Voor de LNV-begrotingsstaat bevat deze post de EU-ontvangsten vanuit het EFMZV. Dit betreft een declaratie die bij de EU ingediend wordt voor kosten die deels in eerdere jaren gemaakt zijn. Dit leidt tot een meevaller van 5,2 mln. </w:t>
      </w:r>
    </w:p>
    <w:p w:rsidRPr="00CE3421" w:rsidR="00CE3421" w:rsidP="00CE3421" w:rsidRDefault="00CE3421">
      <w:pPr>
        <w:rPr>
          <w:rFonts w:ascii="Verdana" w:hAnsi="Verdana" w:cs="Verdana"/>
          <w:bCs/>
          <w:sz w:val="18"/>
          <w:szCs w:val="18"/>
        </w:rPr>
      </w:pPr>
    </w:p>
    <w:p w:rsidRPr="00F85D42" w:rsidR="00CE3421" w:rsidP="00CE3421" w:rsidRDefault="00CE3421">
      <w:pPr>
        <w:rPr>
          <w:rFonts w:ascii="Verdana" w:hAnsi="Verdana" w:cs="Verdana"/>
          <w:bCs/>
          <w:i/>
          <w:sz w:val="18"/>
          <w:szCs w:val="18"/>
        </w:rPr>
      </w:pPr>
      <w:r w:rsidRPr="00F85D42">
        <w:rPr>
          <w:rFonts w:ascii="Verdana" w:hAnsi="Verdana" w:cs="Verdana"/>
          <w:bCs/>
          <w:i/>
          <w:sz w:val="18"/>
          <w:szCs w:val="18"/>
        </w:rPr>
        <w:t>Diversen – niet relevant voor het uitgavenplafond</w:t>
      </w:r>
      <w:r w:rsidR="00F85D42">
        <w:rPr>
          <w:rFonts w:ascii="Verdana" w:hAnsi="Verdana" w:cs="Verdana"/>
          <w:bCs/>
          <w:i/>
          <w:sz w:val="18"/>
          <w:szCs w:val="18"/>
        </w:rPr>
        <w:t>,</w:t>
      </w:r>
      <w:r w:rsidRPr="00F85D42">
        <w:rPr>
          <w:rFonts w:ascii="Verdana" w:hAnsi="Verdana" w:cs="Verdana"/>
          <w:bCs/>
          <w:i/>
          <w:sz w:val="18"/>
          <w:szCs w:val="18"/>
        </w:rPr>
        <w:t xml:space="preserve"> niet-belastingontvangsten </w:t>
      </w:r>
    </w:p>
    <w:p w:rsidR="00F85D42" w:rsidRDefault="00CE3421">
      <w:pPr>
        <w:rPr>
          <w:rFonts w:ascii="Verdana" w:hAnsi="Verdana" w:cs="Verdana"/>
          <w:b/>
          <w:bCs/>
          <w:sz w:val="18"/>
          <w:szCs w:val="18"/>
        </w:rPr>
      </w:pPr>
      <w:r w:rsidRPr="00CE3421">
        <w:rPr>
          <w:rFonts w:ascii="Verdana" w:hAnsi="Verdana" w:cs="Verdana"/>
          <w:bCs/>
          <w:sz w:val="18"/>
          <w:szCs w:val="18"/>
        </w:rPr>
        <w:t>Dit betreft het bijstellen van de ontvangsten van de noordelijke provincies in het kader van de verkoop van NOM aandelen op de EZK-begrotingsstaat. De afwikkeling van de aandelenverkoop zal niet meer in 2018 plaatsvinden, maar waarschijnlijk in 2019. De 3 mln. zal daarom niet dit jaar worden ontvangen, maar in 2019.</w:t>
      </w:r>
      <w:r w:rsidR="00F85D42">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Sociale Zaken en Werkgelegenheid</w:t>
            </w:r>
          </w:p>
          <w:p w:rsidRPr="008A79DC" w:rsidR="00174EF8" w:rsidRDefault="00174EF8">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XV SOCIALE ZAKEN EN WERKGELEGENHEID: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34.598,3</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-29,8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Kindgebonden budget</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-21,6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Toeslagenwet</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-27,4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-81,3</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-7,9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-37,0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-32,0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-121,2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34.477,1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34.477,5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48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XV SOCIALE ZAKEN EN WERKGELEGENHEID: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1.878,9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Waarborgfonds kinderopvang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25,2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Kinderopvangtoeslag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-21,7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-17,6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1.861,3</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1.861,3</w:t>
            </w:r>
          </w:p>
        </w:tc>
      </w:tr>
    </w:tbl>
    <w:p w:rsidRPr="008A79DC" w:rsidR="00412663" w:rsidP="00C41D99" w:rsidRDefault="00412663">
      <w:pPr>
        <w:spacing w:line="240" w:lineRule="exact"/>
        <w:rPr>
          <w:rFonts w:ascii="Verdana" w:hAnsi="Verdana" w:cs="Verdana"/>
          <w:b/>
          <w:bCs/>
          <w:sz w:val="18"/>
          <w:szCs w:val="18"/>
        </w:rPr>
      </w:pPr>
    </w:p>
    <w:p w:rsidRPr="008A79DC" w:rsidR="00290B88" w:rsidRDefault="00290B88">
      <w:pPr>
        <w:rPr>
          <w:rFonts w:ascii="Verdana" w:hAnsi="Verdana" w:cs="Verdana"/>
          <w:b/>
          <w:bCs/>
          <w:sz w:val="18"/>
          <w:szCs w:val="18"/>
        </w:rPr>
      </w:pPr>
    </w:p>
    <w:p w:rsidR="00957BDF" w:rsidP="00290B88" w:rsidRDefault="00957BDF">
      <w:pPr>
        <w:spacing w:line="240" w:lineRule="exact"/>
        <w:rPr>
          <w:rFonts w:ascii="Verdana" w:hAnsi="Verdana"/>
          <w:b/>
          <w:sz w:val="18"/>
          <w:szCs w:val="18"/>
        </w:rPr>
      </w:pPr>
    </w:p>
    <w:p w:rsidR="00957BDF" w:rsidP="00290B88" w:rsidRDefault="00957BDF">
      <w:pPr>
        <w:spacing w:line="240" w:lineRule="exact"/>
        <w:rPr>
          <w:rFonts w:ascii="Verdana" w:hAnsi="Verdana"/>
          <w:b/>
          <w:sz w:val="18"/>
          <w:szCs w:val="18"/>
        </w:rPr>
      </w:pPr>
    </w:p>
    <w:p w:rsidR="00957BDF" w:rsidP="00290B88" w:rsidRDefault="00957BDF">
      <w:pPr>
        <w:spacing w:line="240" w:lineRule="exact"/>
        <w:rPr>
          <w:rFonts w:ascii="Verdana" w:hAnsi="Verdana"/>
          <w:b/>
          <w:sz w:val="18"/>
          <w:szCs w:val="18"/>
        </w:rPr>
      </w:pPr>
    </w:p>
    <w:p w:rsidR="00957BDF" w:rsidP="00290B88" w:rsidRDefault="00957BDF">
      <w:pPr>
        <w:spacing w:line="240" w:lineRule="exact"/>
        <w:rPr>
          <w:rFonts w:ascii="Verdana" w:hAnsi="Verdana"/>
          <w:b/>
          <w:sz w:val="18"/>
          <w:szCs w:val="18"/>
        </w:rPr>
      </w:pPr>
    </w:p>
    <w:p w:rsidRPr="008A79DC" w:rsidR="00290B88" w:rsidP="00290B88" w:rsidRDefault="00290B88">
      <w:pPr>
        <w:spacing w:line="240" w:lineRule="exact"/>
        <w:rPr>
          <w:rFonts w:ascii="Verdana" w:hAnsi="Verdana"/>
          <w:b/>
          <w:sz w:val="18"/>
          <w:szCs w:val="18"/>
        </w:rPr>
      </w:pPr>
      <w:r w:rsidRPr="008A79DC">
        <w:rPr>
          <w:rFonts w:ascii="Verdana" w:hAnsi="Verdana"/>
          <w:b/>
          <w:sz w:val="18"/>
          <w:szCs w:val="18"/>
        </w:rPr>
        <w:t>Uitgaven</w:t>
      </w:r>
    </w:p>
    <w:p w:rsidRPr="008A79DC" w:rsidR="00290B88" w:rsidP="00290B88" w:rsidRDefault="00290B88">
      <w:pPr>
        <w:spacing w:line="240" w:lineRule="exact"/>
        <w:rPr>
          <w:rFonts w:ascii="Verdana" w:hAnsi="Verdana"/>
          <w:b/>
          <w:sz w:val="18"/>
          <w:szCs w:val="18"/>
          <w:u w:val="single"/>
        </w:rPr>
      </w:pPr>
    </w:p>
    <w:p w:rsidRPr="008A79DC" w:rsidR="00290B88" w:rsidP="00290B88" w:rsidRDefault="00290B88">
      <w:pPr>
        <w:spacing w:line="240" w:lineRule="exact"/>
        <w:rPr>
          <w:rFonts w:ascii="Verdana" w:hAnsi="Verdana"/>
          <w:b/>
          <w:sz w:val="18"/>
          <w:szCs w:val="18"/>
          <w:u w:val="single"/>
        </w:rPr>
      </w:pPr>
      <w:r w:rsidRPr="008A79DC">
        <w:rPr>
          <w:rFonts w:ascii="Verdana" w:hAnsi="Verdana"/>
          <w:b/>
          <w:sz w:val="18"/>
          <w:szCs w:val="18"/>
          <w:u w:val="single"/>
        </w:rPr>
        <w:t>Mee- en tegenvallers</w:t>
      </w:r>
    </w:p>
    <w:p w:rsidRPr="008A79DC" w:rsidR="00290B88" w:rsidP="00290B88" w:rsidRDefault="00290B88">
      <w:pPr>
        <w:spacing w:line="240" w:lineRule="exact"/>
        <w:rPr>
          <w:rFonts w:ascii="Verdana" w:hAnsi="Verdana"/>
          <w:sz w:val="18"/>
          <w:szCs w:val="18"/>
          <w:u w:val="single"/>
        </w:rPr>
      </w:pPr>
    </w:p>
    <w:p w:rsidRPr="008A79DC" w:rsidR="00290B88" w:rsidP="00290B88" w:rsidRDefault="00290B88">
      <w:pPr>
        <w:spacing w:line="240" w:lineRule="exact"/>
        <w:rPr>
          <w:rFonts w:ascii="Verdana" w:hAnsi="Verdana"/>
          <w:sz w:val="18"/>
          <w:szCs w:val="18"/>
          <w:u w:val="single"/>
        </w:rPr>
      </w:pPr>
      <w:r w:rsidRPr="008A79DC">
        <w:rPr>
          <w:rFonts w:ascii="Verdana" w:hAnsi="Verdana"/>
          <w:sz w:val="18"/>
          <w:szCs w:val="18"/>
          <w:u w:val="single"/>
        </w:rPr>
        <w:t>Rijksbegroting</w:t>
      </w:r>
    </w:p>
    <w:p w:rsidRPr="008A79DC" w:rsidR="00290B88" w:rsidP="00290B88" w:rsidRDefault="00290B88">
      <w:pPr>
        <w:spacing w:line="240" w:lineRule="exact"/>
        <w:rPr>
          <w:rFonts w:ascii="Verdana" w:hAnsi="Verdana"/>
          <w:i/>
          <w:sz w:val="18"/>
          <w:szCs w:val="18"/>
        </w:rPr>
      </w:pPr>
      <w:r w:rsidRPr="008A79DC">
        <w:rPr>
          <w:rFonts w:ascii="Verdana" w:hAnsi="Verdana"/>
          <w:i/>
          <w:sz w:val="18"/>
          <w:szCs w:val="18"/>
        </w:rPr>
        <w:t>Diversen</w:t>
      </w:r>
    </w:p>
    <w:p w:rsidRPr="008A79DC" w:rsidR="00290B88" w:rsidP="00290B88" w:rsidRDefault="00290B88">
      <w:pPr>
        <w:spacing w:line="240" w:lineRule="exact"/>
        <w:rPr>
          <w:rFonts w:ascii="Verdana" w:hAnsi="Verdana"/>
          <w:sz w:val="18"/>
          <w:szCs w:val="18"/>
        </w:rPr>
      </w:pPr>
      <w:r w:rsidRPr="008A79DC">
        <w:rPr>
          <w:rFonts w:ascii="Verdana" w:hAnsi="Verdana"/>
          <w:sz w:val="18"/>
          <w:szCs w:val="18"/>
        </w:rPr>
        <w:t>Dit betreft voornamelijk onderuitputting op de budgetten van verschillende begrotingsartikelen.</w:t>
      </w:r>
    </w:p>
    <w:p w:rsidRPr="008A79DC" w:rsidR="00290B88" w:rsidP="00290B88" w:rsidRDefault="00290B88">
      <w:pPr>
        <w:spacing w:line="240" w:lineRule="exact"/>
        <w:rPr>
          <w:rFonts w:ascii="Verdana" w:hAnsi="Verdana"/>
          <w:sz w:val="18"/>
          <w:szCs w:val="18"/>
          <w:u w:val="single"/>
        </w:rPr>
      </w:pPr>
    </w:p>
    <w:p w:rsidRPr="008A79DC" w:rsidR="00290B88" w:rsidP="00290B88" w:rsidRDefault="00290B88">
      <w:pPr>
        <w:spacing w:line="240" w:lineRule="exact"/>
        <w:rPr>
          <w:rFonts w:ascii="Verdana" w:hAnsi="Verdana"/>
          <w:sz w:val="18"/>
          <w:szCs w:val="18"/>
          <w:u w:val="single"/>
        </w:rPr>
      </w:pPr>
      <w:r w:rsidRPr="008A79DC">
        <w:rPr>
          <w:rFonts w:ascii="Verdana" w:hAnsi="Verdana"/>
          <w:sz w:val="18"/>
          <w:szCs w:val="18"/>
          <w:u w:val="single"/>
        </w:rPr>
        <w:t>Sociale Zekerheid</w:t>
      </w:r>
    </w:p>
    <w:p w:rsidRPr="008A79DC" w:rsidR="00290B88" w:rsidP="00290B88" w:rsidRDefault="00290B88">
      <w:pPr>
        <w:spacing w:line="240" w:lineRule="exact"/>
        <w:rPr>
          <w:rFonts w:ascii="Verdana" w:hAnsi="Verdana"/>
          <w:i/>
          <w:sz w:val="18"/>
          <w:szCs w:val="18"/>
        </w:rPr>
      </w:pPr>
    </w:p>
    <w:p w:rsidRPr="008A79DC" w:rsidR="00290B88" w:rsidP="00290B88" w:rsidRDefault="00290B88">
      <w:pPr>
        <w:spacing w:line="240" w:lineRule="exact"/>
        <w:rPr>
          <w:rFonts w:ascii="Verdana" w:hAnsi="Verdana"/>
          <w:i/>
          <w:sz w:val="18"/>
          <w:szCs w:val="18"/>
        </w:rPr>
      </w:pPr>
      <w:r w:rsidRPr="008A79DC">
        <w:rPr>
          <w:rFonts w:ascii="Verdana" w:hAnsi="Verdana"/>
          <w:i/>
          <w:sz w:val="18"/>
          <w:szCs w:val="18"/>
        </w:rPr>
        <w:t>Kindgebonden budget</w:t>
      </w:r>
    </w:p>
    <w:p w:rsidRPr="008A79DC" w:rsidR="00290B88" w:rsidP="00290B88" w:rsidRDefault="00290B88">
      <w:pPr>
        <w:spacing w:line="240" w:lineRule="exact"/>
        <w:rPr>
          <w:rFonts w:ascii="Verdana" w:hAnsi="Verdana"/>
          <w:sz w:val="18"/>
          <w:szCs w:val="18"/>
        </w:rPr>
      </w:pPr>
      <w:r w:rsidRPr="008A79DC">
        <w:rPr>
          <w:rFonts w:ascii="Verdana" w:hAnsi="Verdana"/>
          <w:sz w:val="18"/>
          <w:szCs w:val="18"/>
        </w:rPr>
        <w:t>Er is een meevaller op de uitgaven aan het kindgebonden budget (WKB). Dit komt vooral door een lager niveau aan nabetalingen over toeslagjaren 2016 en 2017 dan verwacht.</w:t>
      </w:r>
    </w:p>
    <w:p w:rsidRPr="008A79DC" w:rsidR="00290B88" w:rsidP="00290B88" w:rsidRDefault="00290B88">
      <w:pPr>
        <w:spacing w:line="240" w:lineRule="exact"/>
        <w:rPr>
          <w:rFonts w:ascii="Verdana" w:hAnsi="Verdana"/>
          <w:sz w:val="18"/>
          <w:szCs w:val="18"/>
        </w:rPr>
      </w:pPr>
    </w:p>
    <w:p w:rsidRPr="008A79DC" w:rsidR="00290B88" w:rsidP="00290B88" w:rsidRDefault="00290B88">
      <w:pPr>
        <w:spacing w:line="240" w:lineRule="exact"/>
        <w:rPr>
          <w:rFonts w:ascii="Verdana" w:hAnsi="Verdana"/>
          <w:i/>
          <w:sz w:val="18"/>
          <w:szCs w:val="18"/>
        </w:rPr>
      </w:pPr>
      <w:r w:rsidRPr="008A79DC">
        <w:rPr>
          <w:rFonts w:ascii="Verdana" w:hAnsi="Verdana"/>
          <w:i/>
          <w:sz w:val="18"/>
          <w:szCs w:val="18"/>
        </w:rPr>
        <w:t>Toeslagenwet</w:t>
      </w:r>
    </w:p>
    <w:p w:rsidRPr="008A79DC" w:rsidR="00290B88" w:rsidP="00290B88" w:rsidRDefault="00290B88">
      <w:pPr>
        <w:spacing w:line="240" w:lineRule="exact"/>
        <w:rPr>
          <w:rFonts w:ascii="Verdana" w:hAnsi="Verdana"/>
          <w:sz w:val="18"/>
          <w:szCs w:val="18"/>
        </w:rPr>
      </w:pPr>
      <w:r w:rsidRPr="008A79DC">
        <w:rPr>
          <w:rFonts w:ascii="Verdana" w:hAnsi="Verdana"/>
          <w:sz w:val="18"/>
          <w:szCs w:val="18"/>
        </w:rPr>
        <w:t xml:space="preserve">De uitgaven aan de toeslagenwet (TW) zijn naar beneden bijgesteld. De neerwaartse bijstelling komt grotendeels door een lager aantal extra TW-aanvragen bij Wajong-uitkeringsgerechtigden dan oorspronkelijk verwacht. </w:t>
      </w:r>
    </w:p>
    <w:p w:rsidRPr="008A79DC" w:rsidR="00290B88" w:rsidP="00290B88" w:rsidRDefault="00290B88">
      <w:pPr>
        <w:spacing w:line="240" w:lineRule="exact"/>
        <w:rPr>
          <w:rFonts w:ascii="Verdana" w:hAnsi="Verdana"/>
          <w:sz w:val="18"/>
          <w:szCs w:val="18"/>
        </w:rPr>
      </w:pPr>
    </w:p>
    <w:p w:rsidRPr="008A79DC" w:rsidR="00290B88" w:rsidP="00290B88" w:rsidRDefault="00290B88">
      <w:pPr>
        <w:spacing w:line="240" w:lineRule="exact"/>
        <w:rPr>
          <w:rFonts w:ascii="Verdana" w:hAnsi="Verdana"/>
          <w:i/>
          <w:sz w:val="18"/>
          <w:szCs w:val="18"/>
        </w:rPr>
      </w:pPr>
      <w:r w:rsidRPr="008A79DC">
        <w:rPr>
          <w:rFonts w:ascii="Verdana" w:hAnsi="Verdana"/>
          <w:i/>
          <w:sz w:val="18"/>
          <w:szCs w:val="18"/>
        </w:rPr>
        <w:t>Diversen</w:t>
      </w:r>
    </w:p>
    <w:p w:rsidRPr="008A79DC" w:rsidR="00290B88" w:rsidP="00290B88" w:rsidRDefault="00290B88">
      <w:pPr>
        <w:spacing w:line="240" w:lineRule="exact"/>
        <w:rPr>
          <w:rFonts w:ascii="Verdana" w:hAnsi="Verdana"/>
          <w:sz w:val="18"/>
          <w:szCs w:val="18"/>
        </w:rPr>
      </w:pPr>
      <w:r w:rsidRPr="008A79DC">
        <w:rPr>
          <w:rFonts w:ascii="Verdana" w:hAnsi="Verdana"/>
          <w:sz w:val="18"/>
          <w:szCs w:val="18"/>
        </w:rPr>
        <w:t xml:space="preserve">Er zijn onder andere meevallers op de leningen voor inburgering en de bijdrage voor het COA. Tevens is er onderuitputting op verschillende budgetten. Ook zijn er tegenvallers op de kinderbijslag, kinderopvangtoeslag en de aanvullende inkomensvoorziening ouderen (AIO). </w:t>
      </w:r>
    </w:p>
    <w:p w:rsidRPr="008A79DC" w:rsidR="00290B88" w:rsidP="00290B88" w:rsidRDefault="00290B88">
      <w:pPr>
        <w:spacing w:line="240" w:lineRule="exact"/>
        <w:rPr>
          <w:rFonts w:ascii="Verdana" w:hAnsi="Verdana"/>
          <w:b/>
          <w:sz w:val="18"/>
          <w:szCs w:val="18"/>
          <w:u w:val="single"/>
        </w:rPr>
      </w:pPr>
    </w:p>
    <w:p w:rsidRPr="008A79DC" w:rsidR="00290B88" w:rsidP="00290B88" w:rsidRDefault="00290B88">
      <w:pPr>
        <w:spacing w:line="240" w:lineRule="exact"/>
        <w:rPr>
          <w:rFonts w:ascii="Verdana" w:hAnsi="Verdana"/>
          <w:b/>
          <w:sz w:val="18"/>
          <w:szCs w:val="18"/>
          <w:u w:val="single"/>
        </w:rPr>
      </w:pPr>
      <w:r w:rsidRPr="008A79DC">
        <w:rPr>
          <w:rFonts w:ascii="Verdana" w:hAnsi="Verdana"/>
          <w:b/>
          <w:sz w:val="18"/>
          <w:szCs w:val="18"/>
          <w:u w:val="single"/>
        </w:rPr>
        <w:t>Beleidsmatige mutaties</w:t>
      </w:r>
    </w:p>
    <w:p w:rsidRPr="008A79DC" w:rsidR="00290B88" w:rsidP="00290B88" w:rsidRDefault="00290B88">
      <w:pPr>
        <w:spacing w:line="240" w:lineRule="exact"/>
        <w:rPr>
          <w:rFonts w:ascii="Verdana" w:hAnsi="Verdana"/>
          <w:i/>
          <w:sz w:val="18"/>
          <w:szCs w:val="18"/>
        </w:rPr>
      </w:pPr>
    </w:p>
    <w:p w:rsidRPr="008A79DC" w:rsidR="00290B88" w:rsidP="00290B88" w:rsidRDefault="00290B88">
      <w:pPr>
        <w:spacing w:line="240" w:lineRule="exact"/>
        <w:rPr>
          <w:rFonts w:ascii="Verdana" w:hAnsi="Verdana"/>
          <w:i/>
          <w:sz w:val="18"/>
          <w:szCs w:val="18"/>
        </w:rPr>
      </w:pPr>
      <w:r w:rsidRPr="008A79DC">
        <w:rPr>
          <w:rFonts w:ascii="Verdana" w:hAnsi="Verdana"/>
          <w:i/>
          <w:sz w:val="18"/>
          <w:szCs w:val="18"/>
        </w:rPr>
        <w:t>Diversen - Rijksbegroting en Sociale Zekerheid</w:t>
      </w:r>
    </w:p>
    <w:p w:rsidRPr="008A79DC" w:rsidR="00290B88" w:rsidP="00290B88" w:rsidRDefault="00290B88">
      <w:pPr>
        <w:spacing w:line="240" w:lineRule="exact"/>
        <w:rPr>
          <w:rFonts w:ascii="Verdana" w:hAnsi="Verdana"/>
          <w:sz w:val="18"/>
          <w:szCs w:val="18"/>
        </w:rPr>
      </w:pPr>
      <w:r w:rsidRPr="008A79DC">
        <w:rPr>
          <w:rFonts w:ascii="Verdana" w:hAnsi="Verdana"/>
          <w:sz w:val="18"/>
          <w:szCs w:val="18"/>
        </w:rPr>
        <w:t>Dit betreft onderuitput</w:t>
      </w:r>
      <w:r w:rsidR="00AD094E">
        <w:rPr>
          <w:rFonts w:ascii="Verdana" w:hAnsi="Verdana"/>
          <w:sz w:val="18"/>
          <w:szCs w:val="18"/>
        </w:rPr>
        <w:t>ting op verschillende budgetten,</w:t>
      </w:r>
      <w:r w:rsidRPr="00AD094E" w:rsidR="00AD094E">
        <w:t xml:space="preserve"> </w:t>
      </w:r>
      <w:r w:rsidRPr="00AD094E" w:rsidR="00AD094E">
        <w:rPr>
          <w:rFonts w:ascii="Verdana" w:hAnsi="Verdana"/>
          <w:sz w:val="18"/>
          <w:szCs w:val="18"/>
        </w:rPr>
        <w:t>waaronder op het apparaatsartikel</w:t>
      </w:r>
      <w:r w:rsidR="00AD094E">
        <w:rPr>
          <w:rFonts w:ascii="Verdana" w:hAnsi="Verdana"/>
          <w:sz w:val="18"/>
          <w:szCs w:val="18"/>
        </w:rPr>
        <w:t>.</w:t>
      </w:r>
    </w:p>
    <w:p w:rsidRPr="008A79DC" w:rsidR="00290B88" w:rsidP="00290B88" w:rsidRDefault="00290B88">
      <w:pPr>
        <w:spacing w:line="240" w:lineRule="exact"/>
        <w:rPr>
          <w:rFonts w:ascii="Verdana" w:hAnsi="Verdana"/>
          <w:b/>
          <w:sz w:val="18"/>
          <w:szCs w:val="18"/>
          <w:u w:val="single"/>
        </w:rPr>
      </w:pPr>
    </w:p>
    <w:p w:rsidRPr="008A79DC" w:rsidR="00290B88" w:rsidP="00290B88" w:rsidRDefault="00290B88">
      <w:pPr>
        <w:spacing w:line="240" w:lineRule="exact"/>
        <w:rPr>
          <w:rFonts w:ascii="Verdana" w:hAnsi="Verdana"/>
          <w:b/>
          <w:sz w:val="18"/>
          <w:szCs w:val="18"/>
          <w:u w:val="single"/>
        </w:rPr>
      </w:pPr>
      <w:r w:rsidRPr="008A79DC">
        <w:rPr>
          <w:rFonts w:ascii="Verdana" w:hAnsi="Verdana"/>
          <w:b/>
          <w:sz w:val="18"/>
          <w:szCs w:val="18"/>
          <w:u w:val="single"/>
        </w:rPr>
        <w:t>Technische mutaties</w:t>
      </w:r>
    </w:p>
    <w:p w:rsidRPr="008A79DC" w:rsidR="00290B88" w:rsidP="00290B88" w:rsidRDefault="00290B88">
      <w:pPr>
        <w:spacing w:line="240" w:lineRule="exact"/>
        <w:rPr>
          <w:rFonts w:ascii="Verdana" w:hAnsi="Verdana"/>
          <w:sz w:val="18"/>
          <w:szCs w:val="18"/>
          <w:u w:val="single"/>
        </w:rPr>
      </w:pPr>
    </w:p>
    <w:p w:rsidRPr="008A79DC" w:rsidR="00290B88" w:rsidP="00290B88" w:rsidRDefault="00290B88">
      <w:pPr>
        <w:spacing w:line="240" w:lineRule="exact"/>
        <w:rPr>
          <w:rFonts w:ascii="Verdana" w:hAnsi="Verdana"/>
          <w:sz w:val="18"/>
          <w:szCs w:val="18"/>
          <w:u w:val="single"/>
        </w:rPr>
      </w:pPr>
      <w:r w:rsidRPr="008A79DC">
        <w:rPr>
          <w:rFonts w:ascii="Verdana" w:hAnsi="Verdana"/>
          <w:sz w:val="18"/>
          <w:szCs w:val="18"/>
          <w:u w:val="single"/>
        </w:rPr>
        <w:t>Rijksbegroting</w:t>
      </w:r>
    </w:p>
    <w:p w:rsidRPr="008A79DC" w:rsidR="00290B88" w:rsidP="00290B88" w:rsidRDefault="00290B88">
      <w:pPr>
        <w:spacing w:line="240" w:lineRule="exact"/>
        <w:rPr>
          <w:rFonts w:ascii="Verdana" w:hAnsi="Verdana"/>
          <w:i/>
          <w:sz w:val="18"/>
          <w:szCs w:val="18"/>
        </w:rPr>
      </w:pPr>
    </w:p>
    <w:p w:rsidRPr="008A79DC" w:rsidR="00290B88" w:rsidP="00290B88" w:rsidRDefault="00290B88">
      <w:pPr>
        <w:spacing w:line="240" w:lineRule="exact"/>
        <w:rPr>
          <w:rFonts w:ascii="Verdana" w:hAnsi="Verdana"/>
          <w:i/>
          <w:sz w:val="18"/>
          <w:szCs w:val="18"/>
        </w:rPr>
      </w:pPr>
      <w:r w:rsidRPr="008A79DC">
        <w:rPr>
          <w:rFonts w:ascii="Verdana" w:hAnsi="Verdana"/>
          <w:i/>
          <w:sz w:val="18"/>
          <w:szCs w:val="18"/>
        </w:rPr>
        <w:t>Diversen</w:t>
      </w:r>
    </w:p>
    <w:p w:rsidRPr="008A79DC" w:rsidR="00290B88" w:rsidP="00290B88" w:rsidRDefault="00290B88">
      <w:pPr>
        <w:spacing w:line="240" w:lineRule="exact"/>
        <w:rPr>
          <w:rFonts w:ascii="Verdana" w:hAnsi="Verdana"/>
          <w:sz w:val="18"/>
          <w:szCs w:val="18"/>
        </w:rPr>
      </w:pPr>
      <w:r w:rsidRPr="008A79DC">
        <w:rPr>
          <w:rFonts w:ascii="Verdana" w:hAnsi="Verdana"/>
          <w:sz w:val="18"/>
          <w:szCs w:val="18"/>
        </w:rPr>
        <w:t>Hieronder valt de uitwerking van motie Segers c.s. voor de ondersteuning van kwetsbare mensen (25 mln.). Deze middelen worden overgeboekt naar het Gemeentefonds. Tevens zijn er enkele andere overboekingen met andere begrotingshoofdstukken.</w:t>
      </w:r>
    </w:p>
    <w:p w:rsidRPr="008A79DC" w:rsidR="00290B88" w:rsidP="00290B88" w:rsidRDefault="00290B88">
      <w:pPr>
        <w:spacing w:line="240" w:lineRule="exact"/>
        <w:rPr>
          <w:rFonts w:ascii="Verdana" w:hAnsi="Verdana"/>
          <w:sz w:val="18"/>
          <w:szCs w:val="18"/>
          <w:u w:val="single"/>
        </w:rPr>
      </w:pPr>
    </w:p>
    <w:p w:rsidRPr="008A79DC" w:rsidR="00290B88" w:rsidP="00290B88" w:rsidRDefault="00290B88">
      <w:pPr>
        <w:spacing w:line="240" w:lineRule="exact"/>
        <w:rPr>
          <w:rFonts w:ascii="Verdana" w:hAnsi="Verdana"/>
          <w:sz w:val="18"/>
          <w:szCs w:val="18"/>
          <w:u w:val="single"/>
        </w:rPr>
      </w:pPr>
      <w:r w:rsidRPr="008A79DC">
        <w:rPr>
          <w:rFonts w:ascii="Verdana" w:hAnsi="Verdana"/>
          <w:sz w:val="18"/>
          <w:szCs w:val="18"/>
          <w:u w:val="single"/>
        </w:rPr>
        <w:t>Sociale Zekerheid</w:t>
      </w:r>
    </w:p>
    <w:p w:rsidRPr="008A79DC" w:rsidR="00290B88" w:rsidP="00290B88" w:rsidRDefault="00290B88">
      <w:pPr>
        <w:spacing w:line="240" w:lineRule="exact"/>
        <w:rPr>
          <w:rFonts w:ascii="Verdana" w:hAnsi="Verdana"/>
          <w:i/>
          <w:sz w:val="18"/>
          <w:szCs w:val="18"/>
        </w:rPr>
      </w:pPr>
    </w:p>
    <w:p w:rsidRPr="008A79DC" w:rsidR="00290B88" w:rsidP="00290B88" w:rsidRDefault="00290B88">
      <w:pPr>
        <w:spacing w:line="240" w:lineRule="exact"/>
        <w:rPr>
          <w:rFonts w:ascii="Verdana" w:hAnsi="Verdana"/>
          <w:i/>
          <w:sz w:val="18"/>
          <w:szCs w:val="18"/>
        </w:rPr>
      </w:pPr>
      <w:r w:rsidRPr="008A79DC">
        <w:rPr>
          <w:rFonts w:ascii="Verdana" w:hAnsi="Verdana"/>
          <w:i/>
          <w:sz w:val="18"/>
          <w:szCs w:val="18"/>
        </w:rPr>
        <w:t>Diversen</w:t>
      </w:r>
    </w:p>
    <w:p w:rsidRPr="008A79DC" w:rsidR="00290B88" w:rsidP="00290B88" w:rsidRDefault="00290B88">
      <w:pPr>
        <w:spacing w:line="240" w:lineRule="exact"/>
        <w:rPr>
          <w:rFonts w:ascii="Verdana" w:hAnsi="Verdana"/>
          <w:sz w:val="18"/>
          <w:szCs w:val="18"/>
        </w:rPr>
      </w:pPr>
      <w:r w:rsidRPr="008A79DC">
        <w:rPr>
          <w:rFonts w:ascii="Verdana" w:hAnsi="Verdana"/>
          <w:sz w:val="18"/>
          <w:szCs w:val="18"/>
        </w:rPr>
        <w:t>Hieronder vallen verschillende overboekingen tussen uitgavenplafond Sociale Zekerheid en uitgavenplafond Rijksbegroting.</w:t>
      </w:r>
    </w:p>
    <w:p w:rsidRPr="008A79DC" w:rsidR="00290B88" w:rsidP="00290B88" w:rsidRDefault="00290B88">
      <w:pPr>
        <w:spacing w:line="240" w:lineRule="exact"/>
        <w:rPr>
          <w:rFonts w:ascii="Verdana" w:hAnsi="Verdana"/>
          <w:sz w:val="18"/>
          <w:szCs w:val="18"/>
        </w:rPr>
      </w:pPr>
    </w:p>
    <w:p w:rsidRPr="008A79DC" w:rsidR="00290B88" w:rsidP="00290B88" w:rsidRDefault="00290B88">
      <w:pPr>
        <w:spacing w:line="240" w:lineRule="exact"/>
        <w:rPr>
          <w:rFonts w:ascii="Verdana" w:hAnsi="Verdana"/>
          <w:sz w:val="18"/>
          <w:szCs w:val="18"/>
          <w:u w:val="single"/>
        </w:rPr>
      </w:pPr>
      <w:r w:rsidRPr="008A79DC">
        <w:rPr>
          <w:rFonts w:ascii="Verdana" w:hAnsi="Verdana"/>
          <w:sz w:val="18"/>
          <w:szCs w:val="18"/>
          <w:u w:val="single"/>
        </w:rPr>
        <w:t>Niet relevant voor het uitgavenplafond</w:t>
      </w:r>
    </w:p>
    <w:p w:rsidRPr="008A79DC" w:rsidR="00290B88" w:rsidP="00290B88" w:rsidRDefault="00290B88">
      <w:pPr>
        <w:spacing w:line="240" w:lineRule="exact"/>
        <w:rPr>
          <w:rFonts w:ascii="Verdana" w:hAnsi="Verdana"/>
          <w:i/>
          <w:sz w:val="18"/>
          <w:szCs w:val="18"/>
        </w:rPr>
      </w:pPr>
    </w:p>
    <w:p w:rsidRPr="008A79DC" w:rsidR="00290B88" w:rsidP="00290B88" w:rsidRDefault="00290B88">
      <w:pPr>
        <w:spacing w:line="240" w:lineRule="exact"/>
        <w:rPr>
          <w:rFonts w:ascii="Verdana" w:hAnsi="Verdana"/>
          <w:i/>
          <w:sz w:val="18"/>
          <w:szCs w:val="18"/>
        </w:rPr>
      </w:pPr>
      <w:r w:rsidRPr="008A79DC">
        <w:rPr>
          <w:rFonts w:ascii="Verdana" w:hAnsi="Verdana"/>
          <w:i/>
          <w:sz w:val="18"/>
          <w:szCs w:val="18"/>
        </w:rPr>
        <w:t>Diversen</w:t>
      </w:r>
    </w:p>
    <w:p w:rsidRPr="008A79DC" w:rsidR="00290B88" w:rsidP="00290B88" w:rsidRDefault="00290B88">
      <w:pPr>
        <w:spacing w:line="240" w:lineRule="exact"/>
        <w:rPr>
          <w:rFonts w:ascii="Verdana" w:hAnsi="Verdana"/>
          <w:sz w:val="18"/>
          <w:szCs w:val="18"/>
        </w:rPr>
      </w:pPr>
      <w:r w:rsidRPr="008A79DC">
        <w:rPr>
          <w:rFonts w:ascii="Verdana" w:hAnsi="Verdana"/>
          <w:sz w:val="18"/>
          <w:szCs w:val="18"/>
        </w:rPr>
        <w:t>Dit betreft de aanpassing van de rijksbijdragen voor de tegemoetkoming arbeidsongeschikten als gevolg van de verwerking van de uitvoeringsinformatie van het UWV.</w:t>
      </w:r>
    </w:p>
    <w:p w:rsidRPr="008A79DC" w:rsidR="00290B88" w:rsidP="00290B88" w:rsidRDefault="00290B88">
      <w:pPr>
        <w:spacing w:line="240" w:lineRule="exact"/>
        <w:rPr>
          <w:rFonts w:ascii="Verdana" w:hAnsi="Verdana"/>
          <w:b/>
          <w:sz w:val="18"/>
          <w:szCs w:val="18"/>
          <w:u w:val="single"/>
        </w:rPr>
      </w:pPr>
    </w:p>
    <w:p w:rsidR="00957BDF" w:rsidRDefault="00957BDF">
      <w:pPr>
        <w:rPr>
          <w:rFonts w:ascii="Verdana" w:hAnsi="Verdana"/>
          <w:b/>
          <w:sz w:val="18"/>
          <w:szCs w:val="18"/>
        </w:rPr>
      </w:pPr>
      <w:r>
        <w:rPr>
          <w:rFonts w:ascii="Verdana" w:hAnsi="Verdana"/>
          <w:b/>
          <w:sz w:val="18"/>
          <w:szCs w:val="18"/>
        </w:rPr>
        <w:br w:type="page"/>
      </w:r>
    </w:p>
    <w:p w:rsidRPr="008A79DC" w:rsidR="00290B88" w:rsidP="00290B88" w:rsidRDefault="00290B88">
      <w:pPr>
        <w:spacing w:line="240" w:lineRule="exact"/>
        <w:rPr>
          <w:rFonts w:ascii="Verdana" w:hAnsi="Verdana"/>
          <w:b/>
          <w:sz w:val="18"/>
          <w:szCs w:val="18"/>
        </w:rPr>
      </w:pPr>
      <w:r w:rsidRPr="008A79DC">
        <w:rPr>
          <w:rFonts w:ascii="Verdana" w:hAnsi="Verdana"/>
          <w:b/>
          <w:sz w:val="18"/>
          <w:szCs w:val="18"/>
        </w:rPr>
        <w:lastRenderedPageBreak/>
        <w:t>Ontvangsten</w:t>
      </w:r>
    </w:p>
    <w:p w:rsidRPr="008A79DC" w:rsidR="00290B88" w:rsidP="00290B88" w:rsidRDefault="00290B88">
      <w:pPr>
        <w:spacing w:line="240" w:lineRule="exact"/>
        <w:rPr>
          <w:rFonts w:ascii="Verdana" w:hAnsi="Verdana"/>
          <w:b/>
          <w:sz w:val="18"/>
          <w:szCs w:val="18"/>
          <w:u w:val="single"/>
        </w:rPr>
      </w:pPr>
    </w:p>
    <w:p w:rsidRPr="008A79DC" w:rsidR="00290B88" w:rsidP="00290B88" w:rsidRDefault="00290B88">
      <w:pPr>
        <w:spacing w:line="240" w:lineRule="exact"/>
        <w:rPr>
          <w:rFonts w:ascii="Verdana" w:hAnsi="Verdana"/>
          <w:b/>
          <w:sz w:val="18"/>
          <w:szCs w:val="18"/>
          <w:u w:val="single"/>
        </w:rPr>
      </w:pPr>
      <w:r w:rsidRPr="008A79DC">
        <w:rPr>
          <w:rFonts w:ascii="Verdana" w:hAnsi="Verdana"/>
          <w:b/>
          <w:sz w:val="18"/>
          <w:szCs w:val="18"/>
          <w:u w:val="single"/>
        </w:rPr>
        <w:t>Mee- en tegenvallers</w:t>
      </w:r>
    </w:p>
    <w:p w:rsidRPr="008A79DC" w:rsidR="00290B88" w:rsidP="00290B88" w:rsidRDefault="00290B88">
      <w:pPr>
        <w:spacing w:line="240" w:lineRule="exact"/>
        <w:rPr>
          <w:rFonts w:ascii="Verdana" w:hAnsi="Verdana"/>
          <w:sz w:val="18"/>
          <w:szCs w:val="18"/>
          <w:u w:val="single"/>
        </w:rPr>
      </w:pPr>
    </w:p>
    <w:p w:rsidRPr="008A79DC" w:rsidR="00290B88" w:rsidP="00290B88" w:rsidRDefault="00290B88">
      <w:pPr>
        <w:spacing w:line="240" w:lineRule="exact"/>
        <w:rPr>
          <w:rFonts w:ascii="Verdana" w:hAnsi="Verdana"/>
          <w:sz w:val="18"/>
          <w:szCs w:val="18"/>
          <w:u w:val="single"/>
        </w:rPr>
      </w:pPr>
      <w:r w:rsidRPr="008A79DC">
        <w:rPr>
          <w:rFonts w:ascii="Verdana" w:hAnsi="Verdana"/>
          <w:sz w:val="18"/>
          <w:szCs w:val="18"/>
          <w:u w:val="single"/>
        </w:rPr>
        <w:t>Rijksbegroting</w:t>
      </w:r>
    </w:p>
    <w:p w:rsidRPr="008A79DC" w:rsidR="00290B88" w:rsidP="00290B88" w:rsidRDefault="00290B88">
      <w:pPr>
        <w:spacing w:line="240" w:lineRule="exact"/>
        <w:rPr>
          <w:rFonts w:ascii="Verdana" w:hAnsi="Verdana"/>
          <w:i/>
          <w:sz w:val="18"/>
          <w:szCs w:val="18"/>
        </w:rPr>
      </w:pPr>
    </w:p>
    <w:p w:rsidRPr="008A79DC" w:rsidR="00290B88" w:rsidP="00290B88" w:rsidRDefault="00290B88">
      <w:pPr>
        <w:spacing w:line="240" w:lineRule="exact"/>
        <w:rPr>
          <w:rFonts w:ascii="Verdana" w:hAnsi="Verdana"/>
          <w:i/>
          <w:sz w:val="18"/>
          <w:szCs w:val="18"/>
        </w:rPr>
      </w:pPr>
      <w:r w:rsidRPr="008A79DC">
        <w:rPr>
          <w:rFonts w:ascii="Verdana" w:hAnsi="Verdana"/>
          <w:i/>
          <w:sz w:val="18"/>
          <w:szCs w:val="18"/>
        </w:rPr>
        <w:t>Waarborgfonds kinderopvang</w:t>
      </w:r>
    </w:p>
    <w:p w:rsidRPr="008A79DC" w:rsidR="00290B88" w:rsidP="00290B88" w:rsidRDefault="00290B88">
      <w:pPr>
        <w:spacing w:line="240" w:lineRule="exact"/>
        <w:rPr>
          <w:rFonts w:ascii="Verdana" w:hAnsi="Verdana"/>
          <w:sz w:val="18"/>
          <w:szCs w:val="18"/>
        </w:rPr>
      </w:pPr>
      <w:r w:rsidRPr="008A79DC">
        <w:rPr>
          <w:rFonts w:ascii="Verdana" w:hAnsi="Verdana"/>
          <w:sz w:val="18"/>
          <w:szCs w:val="18"/>
        </w:rPr>
        <w:t>In 2004 zijn tijdelijk middelen beschikbaar gesteld aan de Stichting Waarborgfonds Kinderopvang. Dit om kinderopvangorganisaties middels een garantstelling te kunnen ondersteunen bij de overgang naar het huidige stelsel van kinderopvangtoeslag. Deze middelen worden nu terugbetaald.</w:t>
      </w:r>
    </w:p>
    <w:p w:rsidRPr="008A79DC" w:rsidR="00290B88" w:rsidP="00290B88" w:rsidRDefault="00290B88">
      <w:pPr>
        <w:spacing w:line="240" w:lineRule="exact"/>
        <w:rPr>
          <w:rFonts w:ascii="Verdana" w:hAnsi="Verdana"/>
          <w:sz w:val="18"/>
          <w:szCs w:val="18"/>
          <w:u w:val="single"/>
        </w:rPr>
      </w:pPr>
    </w:p>
    <w:p w:rsidRPr="008A79DC" w:rsidR="00290B88" w:rsidP="00290B88" w:rsidRDefault="00290B88">
      <w:pPr>
        <w:spacing w:line="240" w:lineRule="exact"/>
        <w:rPr>
          <w:rFonts w:ascii="Verdana" w:hAnsi="Verdana"/>
          <w:sz w:val="18"/>
          <w:szCs w:val="18"/>
          <w:u w:val="single"/>
        </w:rPr>
      </w:pPr>
      <w:r w:rsidRPr="008A79DC">
        <w:rPr>
          <w:rFonts w:ascii="Verdana" w:hAnsi="Verdana"/>
          <w:sz w:val="18"/>
          <w:szCs w:val="18"/>
          <w:u w:val="single"/>
        </w:rPr>
        <w:t>Sociale Zekerheid</w:t>
      </w:r>
    </w:p>
    <w:p w:rsidRPr="008A79DC" w:rsidR="00290B88" w:rsidP="00290B88" w:rsidRDefault="00290B88">
      <w:pPr>
        <w:spacing w:line="240" w:lineRule="exact"/>
        <w:rPr>
          <w:rFonts w:ascii="Verdana" w:hAnsi="Verdana"/>
          <w:i/>
          <w:sz w:val="18"/>
          <w:szCs w:val="18"/>
        </w:rPr>
      </w:pPr>
    </w:p>
    <w:p w:rsidRPr="008A79DC" w:rsidR="00290B88" w:rsidP="00290B88" w:rsidRDefault="00290B88">
      <w:pPr>
        <w:spacing w:line="240" w:lineRule="exact"/>
        <w:rPr>
          <w:rFonts w:ascii="Verdana" w:hAnsi="Verdana"/>
          <w:i/>
          <w:sz w:val="18"/>
          <w:szCs w:val="18"/>
        </w:rPr>
      </w:pPr>
      <w:r w:rsidRPr="008A79DC">
        <w:rPr>
          <w:rFonts w:ascii="Verdana" w:hAnsi="Verdana"/>
          <w:i/>
          <w:sz w:val="18"/>
          <w:szCs w:val="18"/>
        </w:rPr>
        <w:t>Kinderopvangtoeslag</w:t>
      </w:r>
    </w:p>
    <w:p w:rsidR="00290B88" w:rsidP="00290B88" w:rsidRDefault="00290B88">
      <w:pPr>
        <w:spacing w:line="240" w:lineRule="exact"/>
        <w:rPr>
          <w:rFonts w:ascii="Verdana" w:hAnsi="Verdana"/>
          <w:sz w:val="18"/>
          <w:szCs w:val="18"/>
        </w:rPr>
      </w:pPr>
      <w:r w:rsidRPr="008A79DC">
        <w:rPr>
          <w:rFonts w:ascii="Verdana" w:hAnsi="Verdana"/>
          <w:sz w:val="18"/>
          <w:szCs w:val="18"/>
        </w:rPr>
        <w:t>Er is een tegenvaller op de ontvangsten op de kinderopvangtoeslag (KOT). Voor de toeslagjaren 2016 tot en met 2018 worden de verwachte terugontva</w:t>
      </w:r>
      <w:r w:rsidR="00AD094E">
        <w:rPr>
          <w:rFonts w:ascii="Verdana" w:hAnsi="Verdana"/>
          <w:sz w:val="18"/>
          <w:szCs w:val="18"/>
        </w:rPr>
        <w:t>ngsten naar beneden bijgesteld.</w:t>
      </w:r>
    </w:p>
    <w:p w:rsidRPr="008A79DC" w:rsidR="00AD094E" w:rsidP="00290B88" w:rsidRDefault="00AD094E">
      <w:pPr>
        <w:spacing w:line="240" w:lineRule="exact"/>
        <w:rPr>
          <w:rFonts w:ascii="Verdana" w:hAnsi="Verdana"/>
          <w:sz w:val="18"/>
          <w:szCs w:val="18"/>
        </w:rPr>
      </w:pPr>
    </w:p>
    <w:p w:rsidRPr="008A79DC" w:rsidR="00290B88" w:rsidP="00290B88" w:rsidRDefault="00290B88">
      <w:pPr>
        <w:spacing w:line="240" w:lineRule="exact"/>
        <w:rPr>
          <w:rFonts w:ascii="Verdana" w:hAnsi="Verdana"/>
          <w:i/>
          <w:sz w:val="18"/>
          <w:szCs w:val="18"/>
        </w:rPr>
      </w:pPr>
      <w:r w:rsidRPr="008A79DC">
        <w:rPr>
          <w:rFonts w:ascii="Verdana" w:hAnsi="Verdana"/>
          <w:i/>
          <w:sz w:val="18"/>
          <w:szCs w:val="18"/>
        </w:rPr>
        <w:t>Diversen</w:t>
      </w:r>
    </w:p>
    <w:p w:rsidRPr="008A79DC" w:rsidR="00290B88" w:rsidP="00290B88" w:rsidRDefault="00AD094E">
      <w:pPr>
        <w:spacing w:line="240" w:lineRule="exact"/>
        <w:rPr>
          <w:rFonts w:ascii="Verdana" w:hAnsi="Verdana"/>
          <w:sz w:val="18"/>
          <w:szCs w:val="18"/>
        </w:rPr>
      </w:pPr>
      <w:r>
        <w:rPr>
          <w:rFonts w:ascii="Verdana" w:hAnsi="Verdana"/>
          <w:sz w:val="18"/>
          <w:szCs w:val="18"/>
        </w:rPr>
        <w:t>De</w:t>
      </w:r>
      <w:r w:rsidRPr="008A79DC" w:rsidR="00290B88">
        <w:rPr>
          <w:rFonts w:ascii="Verdana" w:hAnsi="Verdana"/>
          <w:sz w:val="18"/>
          <w:szCs w:val="18"/>
        </w:rPr>
        <w:t xml:space="preserve"> ontvangsten </w:t>
      </w:r>
      <w:r>
        <w:rPr>
          <w:rFonts w:ascii="Verdana" w:hAnsi="Verdana"/>
          <w:sz w:val="18"/>
          <w:szCs w:val="18"/>
        </w:rPr>
        <w:t xml:space="preserve">van onder andere </w:t>
      </w:r>
      <w:r w:rsidRPr="008A79DC" w:rsidR="00290B88">
        <w:rPr>
          <w:rFonts w:ascii="Verdana" w:hAnsi="Verdana"/>
          <w:sz w:val="18"/>
          <w:szCs w:val="18"/>
        </w:rPr>
        <w:t xml:space="preserve">kindgebonden budget (WKB) komen </w:t>
      </w:r>
      <w:r>
        <w:rPr>
          <w:rFonts w:ascii="Verdana" w:hAnsi="Verdana"/>
          <w:sz w:val="18"/>
          <w:szCs w:val="18"/>
        </w:rPr>
        <w:t xml:space="preserve">14 mln. </w:t>
      </w:r>
      <w:r w:rsidRPr="008A79DC" w:rsidR="00290B88">
        <w:rPr>
          <w:rFonts w:ascii="Verdana" w:hAnsi="Verdana"/>
          <w:sz w:val="18"/>
          <w:szCs w:val="18"/>
        </w:rPr>
        <w:t>lager uit dan verwacht, met name voor toeslagjaar 2017.</w:t>
      </w:r>
    </w:p>
    <w:p w:rsidRPr="008A79DC" w:rsidR="00290B88" w:rsidP="00290B88" w:rsidRDefault="00290B88">
      <w:pPr>
        <w:spacing w:line="240" w:lineRule="exact"/>
        <w:rPr>
          <w:rFonts w:ascii="Verdana" w:hAnsi="Verdana"/>
          <w:b/>
          <w:sz w:val="18"/>
          <w:szCs w:val="18"/>
          <w:u w:val="single"/>
        </w:rPr>
      </w:pPr>
    </w:p>
    <w:p w:rsidRPr="008A79DC" w:rsidR="00290B88" w:rsidP="00290B88" w:rsidRDefault="00290B88">
      <w:pPr>
        <w:spacing w:line="240" w:lineRule="exact"/>
        <w:rPr>
          <w:rFonts w:ascii="Verdana" w:hAnsi="Verdana"/>
          <w:b/>
          <w:sz w:val="18"/>
          <w:szCs w:val="18"/>
          <w:u w:val="single"/>
        </w:rPr>
      </w:pPr>
      <w:r w:rsidRPr="008A79DC">
        <w:rPr>
          <w:rFonts w:ascii="Verdana" w:hAnsi="Verdana"/>
          <w:b/>
          <w:sz w:val="18"/>
          <w:szCs w:val="18"/>
          <w:u w:val="single"/>
        </w:rPr>
        <w:t>Technische mutaties</w:t>
      </w:r>
    </w:p>
    <w:p w:rsidRPr="008A79DC" w:rsidR="00290B88" w:rsidP="00290B88" w:rsidRDefault="00290B88">
      <w:pPr>
        <w:spacing w:line="240" w:lineRule="exact"/>
        <w:rPr>
          <w:rFonts w:ascii="Verdana" w:hAnsi="Verdana"/>
          <w:sz w:val="18"/>
          <w:szCs w:val="18"/>
          <w:u w:val="single"/>
        </w:rPr>
      </w:pPr>
    </w:p>
    <w:p w:rsidRPr="008A79DC" w:rsidR="00290B88" w:rsidP="00290B88" w:rsidRDefault="00290B88">
      <w:pPr>
        <w:spacing w:line="240" w:lineRule="exact"/>
        <w:rPr>
          <w:rFonts w:ascii="Verdana" w:hAnsi="Verdana"/>
          <w:sz w:val="18"/>
          <w:szCs w:val="18"/>
          <w:u w:val="single"/>
        </w:rPr>
      </w:pPr>
      <w:r w:rsidRPr="008A79DC">
        <w:rPr>
          <w:rFonts w:ascii="Verdana" w:hAnsi="Verdana"/>
          <w:sz w:val="18"/>
          <w:szCs w:val="18"/>
          <w:u w:val="single"/>
        </w:rPr>
        <w:t>Rijksbegroting</w:t>
      </w:r>
    </w:p>
    <w:p w:rsidRPr="008A79DC" w:rsidR="00290B88" w:rsidP="00290B88" w:rsidRDefault="00290B88">
      <w:pPr>
        <w:spacing w:line="240" w:lineRule="exact"/>
        <w:rPr>
          <w:rFonts w:ascii="Verdana" w:hAnsi="Verdana"/>
          <w:i/>
          <w:sz w:val="18"/>
          <w:szCs w:val="18"/>
        </w:rPr>
      </w:pPr>
    </w:p>
    <w:p w:rsidRPr="008A79DC" w:rsidR="00290B88" w:rsidP="00290B88" w:rsidRDefault="00290B88">
      <w:pPr>
        <w:spacing w:line="240" w:lineRule="exact"/>
        <w:rPr>
          <w:rFonts w:ascii="Verdana" w:hAnsi="Verdana"/>
          <w:i/>
          <w:sz w:val="18"/>
          <w:szCs w:val="18"/>
        </w:rPr>
      </w:pPr>
      <w:r w:rsidRPr="008A79DC">
        <w:rPr>
          <w:rFonts w:ascii="Verdana" w:hAnsi="Verdana"/>
          <w:i/>
          <w:sz w:val="18"/>
          <w:szCs w:val="18"/>
        </w:rPr>
        <w:t>Diversen</w:t>
      </w:r>
    </w:p>
    <w:p w:rsidRPr="008A79DC" w:rsidR="00412663" w:rsidP="00290B88" w:rsidRDefault="00290B88">
      <w:pPr>
        <w:rPr>
          <w:rFonts w:ascii="Verdana" w:hAnsi="Verdana" w:cs="Verdana"/>
          <w:b/>
          <w:bCs/>
          <w:sz w:val="18"/>
          <w:szCs w:val="18"/>
        </w:rPr>
      </w:pPr>
      <w:r w:rsidRPr="008A79DC">
        <w:rPr>
          <w:rFonts w:ascii="Verdana" w:hAnsi="Verdana"/>
          <w:sz w:val="18"/>
          <w:szCs w:val="18"/>
        </w:rPr>
        <w:t>Dit betreft een desaldering (een budgettair neutrale schuif van middelen tussen begrotingsuitgaven en begrotingsontvangsten). Het tegengestelde bedrag is onderdeel van de technische mutaties bij de uitgaven</w:t>
      </w:r>
      <w:r w:rsidRPr="008A79DC" w:rsidR="00412663">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Volksgezondheid, Welzijn en Sport</w:t>
            </w:r>
          </w:p>
          <w:p w:rsidRPr="008A79DC" w:rsidR="00174EF8" w:rsidRDefault="00174EF8">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XVI VOLKSGEZONDHEID, WELZIJN EN SPORT: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14.775,1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Taakstellende onderuitputting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41,3</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-110,4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Zorg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12,1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-57,0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Zorg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-12,9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-67,7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14.707,4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14.728,0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51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XVI VOLKSGEZONDHEID, WELZIJN EN SPORT: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126,5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Meerontvangsten artikel 1</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18,4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13,8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32,2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33,8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160,2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160,2</w:t>
            </w:r>
          </w:p>
        </w:tc>
      </w:tr>
    </w:tbl>
    <w:p w:rsidRPr="008A79DC" w:rsidR="00412663" w:rsidP="00C41D99" w:rsidRDefault="00412663">
      <w:pPr>
        <w:spacing w:line="240" w:lineRule="exact"/>
        <w:rPr>
          <w:rFonts w:ascii="Verdana" w:hAnsi="Verdana" w:cs="Verdana"/>
          <w:b/>
          <w:bCs/>
          <w:sz w:val="18"/>
          <w:szCs w:val="18"/>
        </w:rPr>
      </w:pPr>
    </w:p>
    <w:p w:rsidRPr="008A79DC" w:rsidR="00174EF8" w:rsidRDefault="00174EF8">
      <w:pPr>
        <w:rPr>
          <w:rFonts w:ascii="Verdana" w:hAnsi="Verdana" w:cs="Verdana"/>
          <w:b/>
          <w:bCs/>
          <w:sz w:val="18"/>
          <w:szCs w:val="18"/>
        </w:rPr>
      </w:pPr>
    </w:p>
    <w:p w:rsidRPr="008A79DC" w:rsidR="00174EF8" w:rsidP="00174EF8" w:rsidRDefault="00174EF8">
      <w:pPr>
        <w:rPr>
          <w:rFonts w:ascii="Verdana" w:hAnsi="Verdana" w:cs="Verdana"/>
          <w:bCs/>
          <w:i/>
          <w:sz w:val="18"/>
          <w:szCs w:val="18"/>
        </w:rPr>
      </w:pPr>
      <w:r w:rsidRPr="008A79DC">
        <w:rPr>
          <w:rFonts w:ascii="Verdana" w:hAnsi="Verdana" w:cs="Verdana"/>
          <w:bCs/>
          <w:i/>
          <w:sz w:val="18"/>
          <w:szCs w:val="18"/>
        </w:rPr>
        <w:t>Taakstellende onderuitputting</w:t>
      </w:r>
    </w:p>
    <w:p w:rsidRPr="008A79DC" w:rsidR="00174EF8" w:rsidP="00174EF8" w:rsidRDefault="00174EF8">
      <w:pPr>
        <w:rPr>
          <w:rFonts w:ascii="Verdana" w:hAnsi="Verdana" w:cs="Verdana"/>
          <w:bCs/>
          <w:sz w:val="18"/>
          <w:szCs w:val="18"/>
        </w:rPr>
      </w:pPr>
      <w:r w:rsidRPr="008A79DC">
        <w:rPr>
          <w:rFonts w:ascii="Verdana" w:hAnsi="Verdana" w:cs="Verdana"/>
          <w:bCs/>
          <w:sz w:val="18"/>
          <w:szCs w:val="18"/>
        </w:rPr>
        <w:t>Dit betreft het invullen van de taakstellende onderuitputting. Deze wordt ingevuld met onderuitputting op diverse begrotingsartikelen bij de 2e suppletoire begrotingswet (onderdeel van de post ‘diversen’).</w:t>
      </w:r>
    </w:p>
    <w:p w:rsidRPr="008A79DC" w:rsidR="00174EF8" w:rsidP="00174EF8" w:rsidRDefault="00174EF8">
      <w:pPr>
        <w:rPr>
          <w:rFonts w:ascii="Verdana" w:hAnsi="Verdana" w:cs="Verdana"/>
          <w:bCs/>
          <w:sz w:val="18"/>
          <w:szCs w:val="18"/>
        </w:rPr>
      </w:pPr>
    </w:p>
    <w:p w:rsidRPr="008A79DC" w:rsidR="00174EF8" w:rsidP="00174EF8" w:rsidRDefault="00174EF8">
      <w:pPr>
        <w:rPr>
          <w:rFonts w:ascii="Verdana" w:hAnsi="Verdana" w:cs="Verdana"/>
          <w:bCs/>
          <w:i/>
          <w:sz w:val="18"/>
          <w:szCs w:val="18"/>
        </w:rPr>
      </w:pPr>
      <w:r w:rsidRPr="008A79DC">
        <w:rPr>
          <w:rFonts w:ascii="Verdana" w:hAnsi="Verdana" w:cs="Verdana"/>
          <w:bCs/>
          <w:i/>
          <w:sz w:val="18"/>
          <w:szCs w:val="18"/>
        </w:rPr>
        <w:t>Diversen – beleidsmatige mutaties, rijksbegroting</w:t>
      </w:r>
    </w:p>
    <w:p w:rsidRPr="008A79DC" w:rsidR="00174EF8" w:rsidP="00174EF8" w:rsidRDefault="00174EF8">
      <w:pPr>
        <w:rPr>
          <w:rFonts w:ascii="Verdana" w:hAnsi="Verdana" w:cs="Verdana"/>
          <w:bCs/>
          <w:sz w:val="18"/>
          <w:szCs w:val="18"/>
        </w:rPr>
      </w:pPr>
      <w:r w:rsidRPr="008A79DC">
        <w:rPr>
          <w:rFonts w:ascii="Verdana" w:hAnsi="Verdana" w:cs="Verdana"/>
          <w:bCs/>
          <w:sz w:val="18"/>
          <w:szCs w:val="18"/>
        </w:rPr>
        <w:t xml:space="preserve">Deze post is het saldo van een groot aantal kleinere mutaties. Het gaat onder meer om een onderschrijding van in totaal 32,6 mln. op Regeerakkoordmiddelen, hoofdzakelijk voor de enveloppe waardig ouder worden. Dit geld wordt d.m.v. een kasschuif doorgeschoven zodat ze beschikbaar blijven voor de uitvoering van het Regeerakkoord. </w:t>
      </w:r>
      <w:r w:rsidR="00C03595">
        <w:rPr>
          <w:rFonts w:ascii="Verdana" w:hAnsi="Verdana" w:cs="Verdana"/>
          <w:bCs/>
          <w:sz w:val="18"/>
          <w:szCs w:val="18"/>
        </w:rPr>
        <w:t>Daarnaast</w:t>
      </w:r>
      <w:r w:rsidRPr="008A79DC">
        <w:rPr>
          <w:rFonts w:ascii="Verdana" w:hAnsi="Verdana" w:cs="Verdana"/>
          <w:bCs/>
          <w:sz w:val="18"/>
          <w:szCs w:val="18"/>
        </w:rPr>
        <w:t xml:space="preserve"> is er onder meer vrijval van niet bestede loon- en prijscompensatie van in totaal 11,6 mln.</w:t>
      </w:r>
      <w:r w:rsidRPr="00C03595" w:rsidR="00C03595">
        <w:t xml:space="preserve"> </w:t>
      </w:r>
      <w:r w:rsidRPr="00C03595" w:rsidR="00C03595">
        <w:rPr>
          <w:rFonts w:ascii="Verdana" w:hAnsi="Verdana" w:cs="Verdana"/>
          <w:bCs/>
          <w:sz w:val="18"/>
          <w:szCs w:val="18"/>
        </w:rPr>
        <w:t xml:space="preserve">Verder wordt als eenmalige </w:t>
      </w:r>
      <w:r w:rsidRPr="00C03595" w:rsidR="00C03595">
        <w:rPr>
          <w:rFonts w:ascii="Verdana" w:hAnsi="Verdana" w:cs="Verdana"/>
          <w:bCs/>
          <w:sz w:val="18"/>
          <w:szCs w:val="18"/>
        </w:rPr>
        <w:lastRenderedPageBreak/>
        <w:t>uitzondering het vermogen van het CIBG aangevuld met 3,8 mln., onder de voorwaarde dat er in het voorjaar een doorlichting wordt uitgevoerd.</w:t>
      </w:r>
    </w:p>
    <w:p w:rsidRPr="008A79DC" w:rsidR="00174EF8" w:rsidP="00174EF8" w:rsidRDefault="00174EF8">
      <w:pPr>
        <w:rPr>
          <w:rFonts w:ascii="Verdana" w:hAnsi="Verdana" w:cs="Verdana"/>
          <w:bCs/>
          <w:sz w:val="18"/>
          <w:szCs w:val="18"/>
        </w:rPr>
      </w:pPr>
    </w:p>
    <w:p w:rsidRPr="008A79DC" w:rsidR="00174EF8" w:rsidP="00174EF8" w:rsidRDefault="00174EF8">
      <w:pPr>
        <w:rPr>
          <w:rFonts w:ascii="Verdana" w:hAnsi="Verdana" w:cs="Verdana"/>
          <w:bCs/>
          <w:i/>
          <w:sz w:val="18"/>
          <w:szCs w:val="18"/>
        </w:rPr>
      </w:pPr>
      <w:r w:rsidRPr="008A79DC">
        <w:rPr>
          <w:rFonts w:ascii="Verdana" w:hAnsi="Verdana" w:cs="Verdana"/>
          <w:bCs/>
          <w:i/>
          <w:sz w:val="18"/>
          <w:szCs w:val="18"/>
        </w:rPr>
        <w:t xml:space="preserve">Diversen – beleidsmatige mutaties, zorg </w:t>
      </w:r>
    </w:p>
    <w:p w:rsidRPr="008A79DC" w:rsidR="00174EF8" w:rsidP="00174EF8" w:rsidRDefault="00174EF8">
      <w:pPr>
        <w:rPr>
          <w:rFonts w:ascii="Verdana" w:hAnsi="Verdana" w:cs="Verdana"/>
          <w:bCs/>
          <w:sz w:val="18"/>
          <w:szCs w:val="18"/>
        </w:rPr>
      </w:pPr>
      <w:r w:rsidRPr="008A79DC">
        <w:rPr>
          <w:rFonts w:ascii="Verdana" w:hAnsi="Verdana" w:cs="Verdana"/>
          <w:bCs/>
          <w:sz w:val="18"/>
          <w:szCs w:val="18"/>
        </w:rPr>
        <w:t xml:space="preserve">Dit betreft voornamelijk een bijdrage van 7,2 mln. aan het Pensioenfonds Caribisch Nederland vanwege een te lage dekkingsgraad. Daarnaast zijn er contractafspraken gemaakt met het ziekenhuis op Bonaire om het budget op te hogen met jaarlijks 2,5 mln. De kosten voor 2017 en 2018 vallen nu allebei in 2018 en betreffen dus 5 mln. </w:t>
      </w:r>
    </w:p>
    <w:p w:rsidRPr="008A79DC" w:rsidR="00174EF8" w:rsidP="00174EF8" w:rsidRDefault="00174EF8">
      <w:pPr>
        <w:rPr>
          <w:rFonts w:ascii="Verdana" w:hAnsi="Verdana" w:cs="Verdana"/>
          <w:bCs/>
          <w:sz w:val="18"/>
          <w:szCs w:val="18"/>
        </w:rPr>
      </w:pPr>
    </w:p>
    <w:p w:rsidRPr="008A79DC" w:rsidR="00174EF8" w:rsidP="00174EF8" w:rsidRDefault="00174EF8">
      <w:pPr>
        <w:rPr>
          <w:rFonts w:ascii="Verdana" w:hAnsi="Verdana" w:cs="Verdana"/>
          <w:bCs/>
          <w:i/>
          <w:sz w:val="18"/>
          <w:szCs w:val="18"/>
        </w:rPr>
      </w:pPr>
      <w:r w:rsidRPr="008A79DC">
        <w:rPr>
          <w:rFonts w:ascii="Verdana" w:hAnsi="Verdana" w:cs="Verdana"/>
          <w:bCs/>
          <w:i/>
          <w:sz w:val="18"/>
          <w:szCs w:val="18"/>
        </w:rPr>
        <w:t xml:space="preserve">Diversen – technische mutaties, rijksbegroting  </w:t>
      </w:r>
    </w:p>
    <w:p w:rsidRPr="008A79DC" w:rsidR="00174EF8" w:rsidP="00174EF8" w:rsidRDefault="00174EF8">
      <w:pPr>
        <w:rPr>
          <w:rFonts w:ascii="Verdana" w:hAnsi="Verdana" w:cs="Verdana"/>
          <w:bCs/>
          <w:sz w:val="18"/>
          <w:szCs w:val="18"/>
        </w:rPr>
      </w:pPr>
      <w:r w:rsidRPr="008A79DC">
        <w:rPr>
          <w:rFonts w:ascii="Verdana" w:hAnsi="Verdana" w:cs="Verdana"/>
          <w:bCs/>
          <w:sz w:val="18"/>
          <w:szCs w:val="18"/>
        </w:rPr>
        <w:t xml:space="preserve">Dit betreft onder meer een overheveling van 9,8 mln. naar de begroting van EZK voor de uitvoering van </w:t>
      </w:r>
      <w:r w:rsidR="006F162A">
        <w:rPr>
          <w:rFonts w:ascii="Verdana" w:hAnsi="Verdana" w:cs="Verdana"/>
          <w:bCs/>
          <w:sz w:val="18"/>
          <w:szCs w:val="18"/>
        </w:rPr>
        <w:t xml:space="preserve">de </w:t>
      </w:r>
      <w:r w:rsidRPr="008A79DC">
        <w:rPr>
          <w:rFonts w:ascii="Verdana" w:hAnsi="Verdana" w:cs="Verdana"/>
          <w:bCs/>
          <w:sz w:val="18"/>
          <w:szCs w:val="18"/>
        </w:rPr>
        <w:t xml:space="preserve">e-health </w:t>
      </w:r>
      <w:r w:rsidR="006F162A">
        <w:rPr>
          <w:rFonts w:ascii="Verdana" w:hAnsi="Verdana" w:cs="Verdana"/>
          <w:bCs/>
          <w:sz w:val="18"/>
          <w:szCs w:val="18"/>
        </w:rPr>
        <w:t>tender Seed Capital</w:t>
      </w:r>
      <w:r w:rsidR="00F73610">
        <w:rPr>
          <w:rFonts w:ascii="Verdana" w:hAnsi="Verdana" w:cs="Verdana"/>
          <w:bCs/>
          <w:sz w:val="18"/>
          <w:szCs w:val="18"/>
        </w:rPr>
        <w:t>.</w:t>
      </w:r>
    </w:p>
    <w:p w:rsidRPr="008A79DC" w:rsidR="00174EF8" w:rsidP="00174EF8" w:rsidRDefault="00174EF8">
      <w:pPr>
        <w:rPr>
          <w:rFonts w:ascii="Verdana" w:hAnsi="Verdana" w:cs="Verdana"/>
          <w:bCs/>
          <w:sz w:val="18"/>
          <w:szCs w:val="18"/>
        </w:rPr>
      </w:pPr>
    </w:p>
    <w:p w:rsidRPr="008A79DC" w:rsidR="00174EF8" w:rsidP="00174EF8" w:rsidRDefault="00174EF8">
      <w:pPr>
        <w:rPr>
          <w:rFonts w:ascii="Verdana" w:hAnsi="Verdana" w:cs="Verdana"/>
          <w:bCs/>
          <w:sz w:val="18"/>
          <w:szCs w:val="18"/>
        </w:rPr>
      </w:pPr>
      <w:r w:rsidRPr="008A79DC">
        <w:rPr>
          <w:rFonts w:ascii="Verdana" w:hAnsi="Verdana" w:cs="Verdana"/>
          <w:bCs/>
          <w:sz w:val="18"/>
          <w:szCs w:val="18"/>
        </w:rPr>
        <w:t xml:space="preserve">Diversen – technische mutaties, zorg </w:t>
      </w:r>
    </w:p>
    <w:p w:rsidRPr="008A79DC" w:rsidR="00174EF8" w:rsidP="00174EF8" w:rsidRDefault="00174EF8">
      <w:pPr>
        <w:rPr>
          <w:rFonts w:ascii="Verdana" w:hAnsi="Verdana" w:cs="Verdana"/>
          <w:bCs/>
          <w:sz w:val="18"/>
          <w:szCs w:val="18"/>
        </w:rPr>
      </w:pPr>
      <w:r w:rsidRPr="008A79DC">
        <w:rPr>
          <w:rFonts w:ascii="Verdana" w:hAnsi="Verdana" w:cs="Verdana"/>
          <w:bCs/>
          <w:sz w:val="18"/>
          <w:szCs w:val="18"/>
        </w:rPr>
        <w:t xml:space="preserve">Dit betreft onder meer de overheveling van de (bovengenoemde) bijdrage aan het Pensioenfonds Caribisch Nederland naar het verantwoordelijke departement BZK. </w:t>
      </w:r>
    </w:p>
    <w:p w:rsidRPr="008A79DC" w:rsidR="00174EF8" w:rsidP="00174EF8" w:rsidRDefault="00174EF8">
      <w:pPr>
        <w:rPr>
          <w:rFonts w:ascii="Verdana" w:hAnsi="Verdana" w:cs="Verdana"/>
          <w:bCs/>
          <w:sz w:val="18"/>
          <w:szCs w:val="18"/>
        </w:rPr>
      </w:pPr>
    </w:p>
    <w:p w:rsidRPr="008A79DC" w:rsidR="00174EF8" w:rsidP="00174EF8" w:rsidRDefault="00174EF8">
      <w:pPr>
        <w:rPr>
          <w:rFonts w:ascii="Verdana" w:hAnsi="Verdana" w:cs="Verdana"/>
          <w:bCs/>
          <w:i/>
          <w:sz w:val="18"/>
          <w:szCs w:val="18"/>
        </w:rPr>
      </w:pPr>
      <w:r w:rsidRPr="008A79DC">
        <w:rPr>
          <w:rFonts w:ascii="Verdana" w:hAnsi="Verdana" w:cs="Verdana"/>
          <w:bCs/>
          <w:i/>
          <w:sz w:val="18"/>
          <w:szCs w:val="18"/>
        </w:rPr>
        <w:t>Diversen – technische mutaties, niet relevant voor het uitgavenplafond</w:t>
      </w:r>
    </w:p>
    <w:p w:rsidRPr="008A79DC" w:rsidR="00174EF8" w:rsidP="00174EF8" w:rsidRDefault="00174EF8">
      <w:pPr>
        <w:rPr>
          <w:rFonts w:ascii="Verdana" w:hAnsi="Verdana" w:cs="Verdana"/>
          <w:bCs/>
          <w:sz w:val="18"/>
          <w:szCs w:val="18"/>
        </w:rPr>
      </w:pPr>
      <w:r w:rsidRPr="008A79DC">
        <w:rPr>
          <w:rFonts w:ascii="Verdana" w:hAnsi="Verdana" w:cs="Verdana"/>
          <w:bCs/>
          <w:sz w:val="18"/>
          <w:szCs w:val="18"/>
        </w:rPr>
        <w:t>Dit betreft hogere uitgaven aan de Tegemoetkoming Specifieke Zorgkosten (TSZ) als gevolg van een versnelling van de verwerking van de aanvragen.</w:t>
      </w:r>
    </w:p>
    <w:p w:rsidRPr="008A79DC" w:rsidR="00174EF8" w:rsidP="00174EF8" w:rsidRDefault="00174EF8">
      <w:pPr>
        <w:rPr>
          <w:rFonts w:ascii="Verdana" w:hAnsi="Verdana" w:cs="Verdana"/>
          <w:bCs/>
          <w:sz w:val="18"/>
          <w:szCs w:val="18"/>
        </w:rPr>
      </w:pPr>
    </w:p>
    <w:p w:rsidRPr="008A79DC" w:rsidR="00174EF8" w:rsidP="00174EF8" w:rsidRDefault="00174EF8">
      <w:pPr>
        <w:rPr>
          <w:rFonts w:ascii="Verdana" w:hAnsi="Verdana" w:cs="Verdana"/>
          <w:bCs/>
          <w:i/>
          <w:sz w:val="18"/>
          <w:szCs w:val="18"/>
        </w:rPr>
      </w:pPr>
      <w:r w:rsidRPr="008A79DC">
        <w:rPr>
          <w:rFonts w:ascii="Verdana" w:hAnsi="Verdana" w:cs="Verdana"/>
          <w:bCs/>
          <w:i/>
          <w:sz w:val="18"/>
          <w:szCs w:val="18"/>
        </w:rPr>
        <w:t>Meerontvangsten artikel 1</w:t>
      </w:r>
    </w:p>
    <w:p w:rsidRPr="008A79DC" w:rsidR="00174EF8" w:rsidP="00174EF8" w:rsidRDefault="00174EF8">
      <w:pPr>
        <w:rPr>
          <w:rFonts w:ascii="Verdana" w:hAnsi="Verdana" w:cs="Verdana"/>
          <w:bCs/>
          <w:sz w:val="18"/>
          <w:szCs w:val="18"/>
        </w:rPr>
      </w:pPr>
      <w:r w:rsidRPr="008A79DC">
        <w:rPr>
          <w:rFonts w:ascii="Verdana" w:hAnsi="Verdana" w:cs="Verdana"/>
          <w:bCs/>
          <w:sz w:val="18"/>
          <w:szCs w:val="18"/>
        </w:rPr>
        <w:t>De hogere ontvangsten worden veroorzaakt door ontvangsten in verband met de afrekening van in 2017 betaalde voorschotten aan het RIVM voor het Nationaal Programma Grieppreventie, het Rijksvaccinatieprogramma en de invoering van de HPV-vaccinatie en de Nationale Hielprik Screening (6,7 mln.) en door ontvangsten vanuit de Subsidieregeling Publieke Gezondheid (8,7 mln.). Verder is er een ontvangst i.v.m. de liquidatie van de Stichting Garantiefonds voor Hemofiliepatiënten (2,9 mln.).</w:t>
      </w:r>
    </w:p>
    <w:p w:rsidRPr="008A79DC" w:rsidR="00174EF8" w:rsidP="00174EF8" w:rsidRDefault="00174EF8">
      <w:pPr>
        <w:rPr>
          <w:rFonts w:ascii="Verdana" w:hAnsi="Verdana" w:cs="Verdana"/>
          <w:bCs/>
          <w:sz w:val="18"/>
          <w:szCs w:val="18"/>
        </w:rPr>
      </w:pPr>
    </w:p>
    <w:p w:rsidRPr="008A79DC" w:rsidR="00174EF8" w:rsidP="00174EF8" w:rsidRDefault="00174EF8">
      <w:pPr>
        <w:rPr>
          <w:rFonts w:ascii="Verdana" w:hAnsi="Verdana" w:cs="Verdana"/>
          <w:bCs/>
          <w:i/>
          <w:sz w:val="18"/>
          <w:szCs w:val="18"/>
        </w:rPr>
      </w:pPr>
      <w:r w:rsidRPr="008A79DC">
        <w:rPr>
          <w:rFonts w:ascii="Verdana" w:hAnsi="Verdana" w:cs="Verdana"/>
          <w:bCs/>
          <w:i/>
          <w:sz w:val="18"/>
          <w:szCs w:val="18"/>
        </w:rPr>
        <w:t xml:space="preserve">Diversen – beleidsmatige mutaties </w:t>
      </w:r>
    </w:p>
    <w:p w:rsidRPr="008A79DC" w:rsidR="00174EF8" w:rsidP="00174EF8" w:rsidRDefault="00174EF8">
      <w:pPr>
        <w:rPr>
          <w:rFonts w:ascii="Verdana" w:hAnsi="Verdana" w:cs="Verdana"/>
          <w:bCs/>
          <w:sz w:val="18"/>
          <w:szCs w:val="18"/>
        </w:rPr>
      </w:pPr>
      <w:r w:rsidRPr="008A79DC">
        <w:rPr>
          <w:rFonts w:ascii="Verdana" w:hAnsi="Verdana" w:cs="Verdana"/>
          <w:bCs/>
          <w:sz w:val="18"/>
          <w:szCs w:val="18"/>
        </w:rPr>
        <w:t>Dit betreft voornamelijk een terugontvangst van het CIZ (8 mln.), hoofdzakelijk als gevolg van lagere gerealiseerde operationele kosten in 2016 en 2017.</w:t>
      </w:r>
    </w:p>
    <w:p w:rsidRPr="008A79DC" w:rsidR="00174EF8" w:rsidP="00174EF8" w:rsidRDefault="00174EF8">
      <w:pPr>
        <w:rPr>
          <w:rFonts w:ascii="Verdana" w:hAnsi="Verdana" w:cs="Verdana"/>
          <w:bCs/>
          <w:sz w:val="18"/>
          <w:szCs w:val="18"/>
        </w:rPr>
      </w:pPr>
    </w:p>
    <w:p w:rsidRPr="008A79DC" w:rsidR="00174EF8" w:rsidP="00174EF8" w:rsidRDefault="00174EF8">
      <w:pPr>
        <w:rPr>
          <w:rFonts w:ascii="Verdana" w:hAnsi="Verdana" w:cs="Verdana"/>
          <w:bCs/>
          <w:i/>
          <w:sz w:val="18"/>
          <w:szCs w:val="18"/>
        </w:rPr>
      </w:pPr>
      <w:r w:rsidRPr="008A79DC">
        <w:rPr>
          <w:rFonts w:ascii="Verdana" w:hAnsi="Verdana" w:cs="Verdana"/>
          <w:bCs/>
          <w:i/>
          <w:sz w:val="18"/>
          <w:szCs w:val="18"/>
        </w:rPr>
        <w:t>Diversen – technische mutaties</w:t>
      </w:r>
    </w:p>
    <w:p w:rsidRPr="008A79DC" w:rsidR="00412663" w:rsidP="00174EF8" w:rsidRDefault="00174EF8">
      <w:pPr>
        <w:rPr>
          <w:rFonts w:ascii="Verdana" w:hAnsi="Verdana" w:cs="Verdana"/>
          <w:b/>
          <w:bCs/>
          <w:sz w:val="18"/>
          <w:szCs w:val="18"/>
        </w:rPr>
      </w:pPr>
      <w:r w:rsidRPr="008A79DC">
        <w:rPr>
          <w:rFonts w:ascii="Verdana" w:hAnsi="Verdana" w:cs="Verdana"/>
          <w:bCs/>
          <w:sz w:val="18"/>
          <w:szCs w:val="18"/>
        </w:rPr>
        <w:t>Dit betreft drie kleine desalderingen.</w:t>
      </w:r>
      <w:r w:rsidRPr="008A79DC" w:rsidR="00412663">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174EF8" w:rsidTr="00DA57ED">
        <w:trPr>
          <w:trHeight w:val="510"/>
        </w:trPr>
        <w:tc>
          <w:tcPr>
            <w:tcW w:w="6820" w:type="dxa"/>
            <w:gridSpan w:val="2"/>
            <w:tcBorders>
              <w:top w:val="nil"/>
              <w:left w:val="nil"/>
              <w:bottom w:val="nil"/>
            </w:tcBorders>
            <w:shd w:val="clear" w:color="auto" w:fill="auto"/>
            <w:hideMark/>
          </w:tcPr>
          <w:p w:rsidRPr="008A79DC" w:rsidR="00174EF8" w:rsidRDefault="00174EF8">
            <w:pPr>
              <w:rPr>
                <w:rFonts w:ascii="Verdana" w:hAnsi="Verdana"/>
                <w:b/>
                <w:bCs/>
                <w:color w:val="000000"/>
                <w:sz w:val="18"/>
                <w:szCs w:val="18"/>
              </w:rPr>
            </w:pPr>
            <w:r w:rsidRPr="008A79DC">
              <w:rPr>
                <w:rFonts w:ascii="Verdana" w:hAnsi="Verdana"/>
                <w:b/>
                <w:bCs/>
                <w:color w:val="000000"/>
                <w:sz w:val="18"/>
                <w:szCs w:val="18"/>
              </w:rPr>
              <w:lastRenderedPageBreak/>
              <w:t>Buitenlandse Handel en Ontwikkelingssamenwerking</w:t>
            </w:r>
          </w:p>
          <w:p w:rsidRPr="008A79DC" w:rsidR="00174EF8" w:rsidRDefault="00174EF8">
            <w:pPr>
              <w:rPr>
                <w:rFonts w:ascii="Verdana" w:hAnsi="Verdana"/>
                <w:b/>
                <w:bCs/>
                <w:color w:val="000000"/>
                <w:sz w:val="18"/>
                <w:szCs w:val="18"/>
              </w:rPr>
            </w:pPr>
          </w:p>
        </w:tc>
      </w:tr>
      <w:tr w:rsidRPr="008A79DC" w:rsidR="00412663" w:rsidTr="00412663">
        <w:trPr>
          <w:trHeight w:val="54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XVII BUITENLANDSE HANDEL EN ONTWIKKELINGSSAMENWERKING: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3.031,8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3.031,8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720"/>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XVII BUITENLANDSE HANDEL EN ONTWIKKELINGSSAMENWERKING: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15,7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15,7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69,1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84,8</w:t>
            </w:r>
          </w:p>
        </w:tc>
      </w:tr>
    </w:tbl>
    <w:p w:rsidR="00412663" w:rsidP="00C41D99" w:rsidRDefault="00412663">
      <w:pPr>
        <w:spacing w:line="240" w:lineRule="exact"/>
        <w:rPr>
          <w:rFonts w:ascii="Verdana" w:hAnsi="Verdana" w:cs="Verdana"/>
          <w:b/>
          <w:bCs/>
          <w:sz w:val="18"/>
          <w:szCs w:val="18"/>
        </w:rPr>
      </w:pPr>
    </w:p>
    <w:p w:rsidR="00B05E55" w:rsidRDefault="00B05E55">
      <w:pPr>
        <w:rPr>
          <w:rFonts w:ascii="Verdana" w:hAnsi="Verdana" w:cs="Verdana"/>
          <w:b/>
          <w:bCs/>
          <w:sz w:val="18"/>
          <w:szCs w:val="18"/>
        </w:rPr>
      </w:pPr>
      <w:r>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B05E55" w:rsidTr="00DC1DCB">
        <w:trPr>
          <w:trHeight w:val="225"/>
        </w:trPr>
        <w:tc>
          <w:tcPr>
            <w:tcW w:w="6820" w:type="dxa"/>
            <w:gridSpan w:val="2"/>
            <w:tcBorders>
              <w:top w:val="nil"/>
              <w:left w:val="nil"/>
              <w:bottom w:val="nil"/>
              <w:right w:val="nil"/>
            </w:tcBorders>
            <w:shd w:val="clear" w:color="auto" w:fill="auto"/>
            <w:hideMark/>
          </w:tcPr>
          <w:p w:rsidR="00B05E55" w:rsidP="00DC1DCB" w:rsidRDefault="00B05E55">
            <w:pPr>
              <w:rPr>
                <w:rFonts w:ascii="Verdana" w:hAnsi="Verdana"/>
                <w:b/>
                <w:bCs/>
                <w:color w:val="000000"/>
                <w:sz w:val="18"/>
                <w:szCs w:val="18"/>
              </w:rPr>
            </w:pPr>
            <w:r w:rsidRPr="008A79DC">
              <w:rPr>
                <w:rFonts w:ascii="Verdana" w:hAnsi="Verdana"/>
                <w:b/>
                <w:bCs/>
                <w:color w:val="000000"/>
                <w:sz w:val="18"/>
                <w:szCs w:val="18"/>
              </w:rPr>
              <w:lastRenderedPageBreak/>
              <w:t>Sociale zekerheid</w:t>
            </w:r>
          </w:p>
          <w:p w:rsidRPr="008A79DC" w:rsidR="00B05E55" w:rsidP="00DC1DCB" w:rsidRDefault="00B05E55">
            <w:pPr>
              <w:rPr>
                <w:rFonts w:ascii="Verdana" w:hAnsi="Verdana"/>
                <w:b/>
                <w:bCs/>
                <w:color w:val="000000"/>
                <w:sz w:val="18"/>
                <w:szCs w:val="18"/>
              </w:rPr>
            </w:pPr>
          </w:p>
        </w:tc>
      </w:tr>
      <w:tr w:rsidRPr="008A79DC" w:rsidR="00B05E55" w:rsidTr="00DC1DCB">
        <w:trPr>
          <w:trHeight w:val="225"/>
        </w:trPr>
        <w:tc>
          <w:tcPr>
            <w:tcW w:w="6820" w:type="dxa"/>
            <w:gridSpan w:val="2"/>
            <w:tcBorders>
              <w:top w:val="nil"/>
              <w:left w:val="nil"/>
              <w:bottom w:val="single" w:color="000000" w:sz="8" w:space="0"/>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SOCIALE ZEKERHEID: UITGAVEN</w:t>
            </w:r>
          </w:p>
        </w:tc>
      </w:tr>
      <w:tr w:rsidRPr="008A79DC" w:rsidR="00B05E55" w:rsidTr="00DC1DCB">
        <w:trPr>
          <w:trHeight w:val="225"/>
        </w:trPr>
        <w:tc>
          <w:tcPr>
            <w:tcW w:w="5340" w:type="dxa"/>
            <w:tcBorders>
              <w:top w:val="nil"/>
              <w:left w:val="nil"/>
              <w:bottom w:val="single" w:color="000000" w:sz="8" w:space="0"/>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nil"/>
              <w:left w:val="nil"/>
              <w:bottom w:val="single" w:color="000000" w:sz="8" w:space="0"/>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2018</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Stand Miljoenennota 2019</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79.565,0</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180" w:firstLineChars="100"/>
              <w:rPr>
                <w:rFonts w:ascii="Verdana" w:hAnsi="Verdana"/>
                <w:color w:val="000000"/>
                <w:sz w:val="18"/>
                <w:szCs w:val="18"/>
              </w:rPr>
            </w:pPr>
            <w:r w:rsidRPr="008A79DC">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ind w:firstLine="180" w:firstLineChars="100"/>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360" w:firstLineChars="200"/>
              <w:rPr>
                <w:rFonts w:ascii="Verdana" w:hAnsi="Verdana"/>
                <w:color w:val="000000"/>
                <w:sz w:val="18"/>
                <w:szCs w:val="18"/>
              </w:rPr>
            </w:pPr>
            <w:r w:rsidRPr="008A79DC">
              <w:rPr>
                <w:rFonts w:ascii="Verdana" w:hAnsi="Verdana"/>
                <w:color w:val="000000"/>
                <w:sz w:val="18"/>
                <w:szCs w:val="18"/>
              </w:rPr>
              <w:t>Aow</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-35,0</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360" w:firstLineChars="200"/>
              <w:rPr>
                <w:rFonts w:ascii="Verdana" w:hAnsi="Verdana"/>
                <w:color w:val="000000"/>
                <w:sz w:val="18"/>
                <w:szCs w:val="18"/>
              </w:rPr>
            </w:pPr>
            <w:r w:rsidRPr="008A79DC">
              <w:rPr>
                <w:rFonts w:ascii="Verdana" w:hAnsi="Verdana"/>
                <w:color w:val="000000"/>
                <w:sz w:val="18"/>
                <w:szCs w:val="18"/>
              </w:rPr>
              <w:t>Toeslagenwet</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-27,4</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-1,4</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-63,8</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180" w:firstLineChars="100"/>
              <w:rPr>
                <w:rFonts w:ascii="Verdana" w:hAnsi="Verdana"/>
                <w:color w:val="000000"/>
                <w:sz w:val="18"/>
                <w:szCs w:val="18"/>
              </w:rPr>
            </w:pPr>
            <w:r w:rsidRPr="008A79DC">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ind w:firstLine="180" w:firstLineChars="100"/>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0,1</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0,1</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180" w:firstLineChars="100"/>
              <w:rPr>
                <w:rFonts w:ascii="Verdana" w:hAnsi="Verdana"/>
                <w:color w:val="000000"/>
                <w:sz w:val="18"/>
                <w:szCs w:val="18"/>
              </w:rPr>
            </w:pPr>
            <w:r w:rsidRPr="008A79DC">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ind w:firstLine="180" w:firstLineChars="100"/>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62,5</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62,5</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B05E55" w:rsidP="00DC1DCB" w:rsidRDefault="00B05E55">
            <w:pPr>
              <w:rPr>
                <w:rFonts w:ascii="Verdana" w:hAnsi="Verdana"/>
                <w:sz w:val="20"/>
                <w:szCs w:val="20"/>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-1,1</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79.563,9</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B05E55" w:rsidP="00DC1DCB" w:rsidRDefault="00B05E55">
            <w:pPr>
              <w:rPr>
                <w:rFonts w:ascii="Verdana" w:hAnsi="Verdana"/>
                <w:sz w:val="20"/>
                <w:szCs w:val="20"/>
              </w:rPr>
            </w:pPr>
          </w:p>
        </w:tc>
      </w:tr>
      <w:tr w:rsidRPr="008A79DC" w:rsidR="00B05E55" w:rsidTr="00DC1DCB">
        <w:trPr>
          <w:trHeight w:val="225"/>
        </w:trPr>
        <w:tc>
          <w:tcPr>
            <w:tcW w:w="6820" w:type="dxa"/>
            <w:gridSpan w:val="2"/>
            <w:tcBorders>
              <w:top w:val="nil"/>
              <w:left w:val="nil"/>
              <w:bottom w:val="single" w:color="000000" w:sz="8" w:space="0"/>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SOCIALE ZEKERHEID: NIET-BELASTINGONTVANGSTEN</w:t>
            </w:r>
          </w:p>
        </w:tc>
      </w:tr>
      <w:tr w:rsidRPr="008A79DC" w:rsidR="00B05E55" w:rsidTr="00DC1DCB">
        <w:trPr>
          <w:trHeight w:val="225"/>
        </w:trPr>
        <w:tc>
          <w:tcPr>
            <w:tcW w:w="5340" w:type="dxa"/>
            <w:tcBorders>
              <w:top w:val="nil"/>
              <w:left w:val="nil"/>
              <w:bottom w:val="single" w:color="000000" w:sz="8" w:space="0"/>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nil"/>
              <w:left w:val="nil"/>
              <w:bottom w:val="single" w:color="000000" w:sz="8" w:space="0"/>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2018</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Stand Miljoenennota 2019</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949,4</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180" w:firstLineChars="100"/>
              <w:rPr>
                <w:rFonts w:ascii="Verdana" w:hAnsi="Verdana"/>
                <w:color w:val="000000"/>
                <w:sz w:val="18"/>
                <w:szCs w:val="18"/>
              </w:rPr>
            </w:pPr>
            <w:r w:rsidRPr="008A79DC">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ind w:firstLine="180" w:firstLineChars="100"/>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-41,8</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-41,8</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180" w:firstLineChars="100"/>
              <w:rPr>
                <w:rFonts w:ascii="Verdana" w:hAnsi="Verdana"/>
                <w:color w:val="000000"/>
                <w:sz w:val="18"/>
                <w:szCs w:val="18"/>
              </w:rPr>
            </w:pPr>
            <w:r w:rsidRPr="008A79DC">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ind w:firstLine="180" w:firstLineChars="100"/>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-17,0</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-17,0</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B05E55" w:rsidP="00DC1DCB" w:rsidRDefault="00B05E55">
            <w:pPr>
              <w:rPr>
                <w:rFonts w:ascii="Verdana" w:hAnsi="Verdana"/>
                <w:sz w:val="20"/>
                <w:szCs w:val="20"/>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-58,8</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890,6</w:t>
            </w:r>
          </w:p>
        </w:tc>
      </w:tr>
    </w:tbl>
    <w:p w:rsidRPr="008A79DC" w:rsidR="00B05E55" w:rsidP="00B05E55" w:rsidRDefault="00B05E55">
      <w:pPr>
        <w:spacing w:line="240" w:lineRule="exact"/>
        <w:rPr>
          <w:rFonts w:ascii="Verdana" w:hAnsi="Verdana" w:cs="Verdana"/>
          <w:b/>
          <w:bCs/>
          <w:sz w:val="18"/>
          <w:szCs w:val="18"/>
        </w:rPr>
      </w:pPr>
    </w:p>
    <w:p w:rsidR="00B05E55" w:rsidP="00B05E55" w:rsidRDefault="00B05E55">
      <w:pPr>
        <w:rPr>
          <w:rFonts w:ascii="Verdana" w:hAnsi="Verdana" w:cs="Verdana"/>
          <w:b/>
          <w:bCs/>
          <w:sz w:val="18"/>
          <w:szCs w:val="18"/>
        </w:rPr>
      </w:pPr>
    </w:p>
    <w:p w:rsidRPr="00752067" w:rsidR="00B05E55" w:rsidP="00B05E55" w:rsidRDefault="00B05E55">
      <w:pPr>
        <w:spacing w:line="240" w:lineRule="exact"/>
        <w:rPr>
          <w:rFonts w:ascii="Verdana" w:hAnsi="Verdana"/>
          <w:b/>
          <w:sz w:val="18"/>
          <w:szCs w:val="18"/>
        </w:rPr>
      </w:pPr>
      <w:r>
        <w:rPr>
          <w:rFonts w:ascii="Verdana" w:hAnsi="Verdana"/>
          <w:b/>
          <w:sz w:val="18"/>
          <w:szCs w:val="18"/>
        </w:rPr>
        <w:t>Uitgaven</w:t>
      </w:r>
    </w:p>
    <w:p w:rsidR="00B05E55" w:rsidP="00B05E55" w:rsidRDefault="00B05E55">
      <w:pPr>
        <w:spacing w:line="240" w:lineRule="exact"/>
        <w:rPr>
          <w:rFonts w:ascii="Verdana" w:hAnsi="Verdana"/>
          <w:b/>
          <w:sz w:val="18"/>
          <w:szCs w:val="18"/>
          <w:u w:val="single"/>
        </w:rPr>
      </w:pPr>
    </w:p>
    <w:p w:rsidR="00B05E55" w:rsidP="00B05E55" w:rsidRDefault="00B05E55">
      <w:pPr>
        <w:spacing w:line="240" w:lineRule="exact"/>
        <w:rPr>
          <w:rFonts w:ascii="Verdana" w:hAnsi="Verdana"/>
          <w:b/>
          <w:sz w:val="18"/>
          <w:szCs w:val="18"/>
          <w:u w:val="single"/>
        </w:rPr>
      </w:pPr>
      <w:r>
        <w:rPr>
          <w:rFonts w:ascii="Verdana" w:hAnsi="Verdana"/>
          <w:b/>
          <w:sz w:val="18"/>
          <w:szCs w:val="18"/>
          <w:u w:val="single"/>
        </w:rPr>
        <w:t>Mee- en tegenvallers</w:t>
      </w:r>
    </w:p>
    <w:p w:rsidR="00B05E55" w:rsidP="00B05E55" w:rsidRDefault="00B05E55">
      <w:pPr>
        <w:spacing w:line="240" w:lineRule="exact"/>
        <w:rPr>
          <w:rFonts w:ascii="Verdana" w:hAnsi="Verdana"/>
          <w:i/>
          <w:sz w:val="18"/>
          <w:szCs w:val="18"/>
        </w:rPr>
      </w:pPr>
    </w:p>
    <w:p w:rsidR="00B05E55" w:rsidP="00B05E55" w:rsidRDefault="00B05E55">
      <w:pPr>
        <w:spacing w:line="240" w:lineRule="exact"/>
        <w:rPr>
          <w:rFonts w:ascii="Verdana" w:hAnsi="Verdana"/>
          <w:i/>
          <w:sz w:val="18"/>
          <w:szCs w:val="18"/>
        </w:rPr>
      </w:pPr>
      <w:r>
        <w:rPr>
          <w:rFonts w:ascii="Verdana" w:hAnsi="Verdana"/>
          <w:i/>
          <w:sz w:val="18"/>
          <w:szCs w:val="18"/>
        </w:rPr>
        <w:t>AOW</w:t>
      </w:r>
    </w:p>
    <w:p w:rsidRPr="00EC671F" w:rsidR="00B05E55" w:rsidP="00B05E55" w:rsidRDefault="00B05E55">
      <w:pPr>
        <w:spacing w:line="240" w:lineRule="exact"/>
        <w:rPr>
          <w:rFonts w:ascii="Verdana" w:hAnsi="Verdana"/>
          <w:sz w:val="18"/>
          <w:szCs w:val="18"/>
        </w:rPr>
      </w:pPr>
      <w:r>
        <w:rPr>
          <w:rFonts w:ascii="Verdana" w:hAnsi="Verdana"/>
          <w:sz w:val="18"/>
          <w:szCs w:val="18"/>
        </w:rPr>
        <w:t xml:space="preserve">De uitkeringslasten van de AOW vallen lager uit dan bij de vorige raming. Dit komt voornamelijk doordat het aantal AOW’ers naar verwachting lager uitkomt dan eerder geraamd. Dit is onder andere het gevolg van een relatief hogere sterfte aan het begin van het jaar. </w:t>
      </w:r>
    </w:p>
    <w:p w:rsidR="00B05E55" w:rsidP="00B05E55" w:rsidRDefault="00B05E55">
      <w:pPr>
        <w:spacing w:line="240" w:lineRule="exact"/>
        <w:rPr>
          <w:rFonts w:ascii="Verdana" w:hAnsi="Verdana"/>
          <w:i/>
          <w:sz w:val="18"/>
          <w:szCs w:val="18"/>
        </w:rPr>
      </w:pPr>
    </w:p>
    <w:p w:rsidR="00B05E55" w:rsidP="00B05E55" w:rsidRDefault="00B05E55">
      <w:pPr>
        <w:spacing w:line="240" w:lineRule="exact"/>
        <w:rPr>
          <w:rFonts w:ascii="Verdana" w:hAnsi="Verdana"/>
          <w:i/>
          <w:sz w:val="18"/>
          <w:szCs w:val="18"/>
        </w:rPr>
      </w:pPr>
      <w:r w:rsidRPr="00E12BE7">
        <w:rPr>
          <w:rFonts w:ascii="Verdana" w:hAnsi="Verdana"/>
          <w:i/>
          <w:sz w:val="18"/>
          <w:szCs w:val="18"/>
        </w:rPr>
        <w:t>Toeslagenwet</w:t>
      </w:r>
    </w:p>
    <w:p w:rsidRPr="000816C9" w:rsidR="00B05E55" w:rsidP="00B05E55" w:rsidRDefault="00B05E55">
      <w:pPr>
        <w:spacing w:line="240" w:lineRule="exact"/>
        <w:rPr>
          <w:rFonts w:ascii="Verdana" w:hAnsi="Verdana"/>
          <w:sz w:val="18"/>
          <w:szCs w:val="18"/>
        </w:rPr>
      </w:pPr>
      <w:r>
        <w:rPr>
          <w:rFonts w:ascii="Verdana" w:hAnsi="Verdana"/>
          <w:sz w:val="18"/>
          <w:szCs w:val="18"/>
        </w:rPr>
        <w:t xml:space="preserve">De uitgaven aan de toeslagenwet (TW) zijn naar beneden bijgesteld. De neerwaartse bijstelling komt grotendeels door een lager aantal extra TW-aanvragen bij Wajong-uitkeringsgerechtigden dan oorspronkelijk verwacht. </w:t>
      </w:r>
    </w:p>
    <w:p w:rsidR="00B05E55" w:rsidP="00B05E55" w:rsidRDefault="00B05E55">
      <w:pPr>
        <w:spacing w:line="240" w:lineRule="exact"/>
        <w:rPr>
          <w:rFonts w:ascii="Verdana" w:hAnsi="Verdana"/>
          <w:sz w:val="18"/>
          <w:szCs w:val="18"/>
        </w:rPr>
      </w:pPr>
    </w:p>
    <w:p w:rsidRPr="00E12BE7" w:rsidR="00B05E55" w:rsidP="00B05E55" w:rsidRDefault="00B05E55">
      <w:pPr>
        <w:spacing w:line="240" w:lineRule="exact"/>
        <w:rPr>
          <w:rFonts w:ascii="Verdana" w:hAnsi="Verdana"/>
          <w:i/>
          <w:sz w:val="18"/>
          <w:szCs w:val="18"/>
        </w:rPr>
      </w:pPr>
      <w:r w:rsidRPr="00E12BE7">
        <w:rPr>
          <w:rFonts w:ascii="Verdana" w:hAnsi="Verdana"/>
          <w:i/>
          <w:sz w:val="18"/>
          <w:szCs w:val="18"/>
        </w:rPr>
        <w:t>Diversen</w:t>
      </w:r>
    </w:p>
    <w:p w:rsidRPr="005226A9" w:rsidR="00B05E55" w:rsidP="00B05E55" w:rsidRDefault="00B05E55">
      <w:pPr>
        <w:spacing w:line="240" w:lineRule="exact"/>
        <w:rPr>
          <w:rFonts w:ascii="Verdana" w:hAnsi="Verdana"/>
          <w:sz w:val="18"/>
          <w:szCs w:val="18"/>
        </w:rPr>
      </w:pPr>
      <w:r>
        <w:rPr>
          <w:rFonts w:ascii="Verdana" w:hAnsi="Verdana"/>
          <w:sz w:val="18"/>
          <w:szCs w:val="18"/>
        </w:rPr>
        <w:t>Dit betreft het saldo van verschillende mee- en tegenvallers. Er zijn onder andere meevallers op de Wajong, het kindgebonden budget (WKB) en de leningen voor inburgering. Er zijn onder andere tegenvallers op de kinderbijslag, kinderopvangtoeslag en de aanvullende inkomensvoorziening ouderen (AIO).</w:t>
      </w:r>
      <w:r w:rsidRPr="000C4037">
        <w:rPr>
          <w:rFonts w:ascii="Verdana" w:hAnsi="Verdana"/>
          <w:sz w:val="18"/>
          <w:szCs w:val="18"/>
        </w:rPr>
        <w:t xml:space="preserve"> </w:t>
      </w:r>
    </w:p>
    <w:p w:rsidR="00B05E55" w:rsidP="00B05E55" w:rsidRDefault="00B05E55">
      <w:pPr>
        <w:spacing w:line="240" w:lineRule="exact"/>
        <w:rPr>
          <w:rFonts w:ascii="Verdana" w:hAnsi="Verdana"/>
          <w:b/>
          <w:sz w:val="18"/>
          <w:szCs w:val="18"/>
          <w:u w:val="single"/>
        </w:rPr>
      </w:pPr>
    </w:p>
    <w:p w:rsidR="00B05E55" w:rsidP="00B05E55" w:rsidRDefault="00B05E55">
      <w:pPr>
        <w:spacing w:line="240" w:lineRule="exact"/>
        <w:rPr>
          <w:rFonts w:ascii="Verdana" w:hAnsi="Verdana"/>
          <w:b/>
          <w:sz w:val="18"/>
          <w:szCs w:val="18"/>
          <w:u w:val="single"/>
        </w:rPr>
      </w:pPr>
      <w:r>
        <w:rPr>
          <w:rFonts w:ascii="Verdana" w:hAnsi="Verdana"/>
          <w:b/>
          <w:sz w:val="18"/>
          <w:szCs w:val="18"/>
          <w:u w:val="single"/>
        </w:rPr>
        <w:t>Technische mutaties</w:t>
      </w:r>
    </w:p>
    <w:p w:rsidR="00B05E55" w:rsidP="00B05E55" w:rsidRDefault="00B05E55">
      <w:pPr>
        <w:spacing w:line="240" w:lineRule="exact"/>
        <w:rPr>
          <w:rFonts w:ascii="Verdana" w:hAnsi="Verdana"/>
          <w:i/>
          <w:sz w:val="18"/>
          <w:szCs w:val="18"/>
        </w:rPr>
      </w:pPr>
    </w:p>
    <w:p w:rsidR="00B05E55" w:rsidP="00B05E55" w:rsidRDefault="00B05E55">
      <w:pPr>
        <w:spacing w:line="240" w:lineRule="exact"/>
        <w:rPr>
          <w:rFonts w:ascii="Verdana" w:hAnsi="Verdana"/>
          <w:i/>
          <w:sz w:val="18"/>
          <w:szCs w:val="18"/>
        </w:rPr>
      </w:pPr>
      <w:r w:rsidRPr="00356255">
        <w:rPr>
          <w:rFonts w:ascii="Verdana" w:hAnsi="Verdana"/>
          <w:i/>
          <w:sz w:val="18"/>
          <w:szCs w:val="18"/>
        </w:rPr>
        <w:t>Diversen</w:t>
      </w:r>
    </w:p>
    <w:p w:rsidRPr="009B3D74" w:rsidR="00B05E55" w:rsidP="00B05E55" w:rsidRDefault="00B05E55">
      <w:pPr>
        <w:spacing w:line="240" w:lineRule="exact"/>
        <w:rPr>
          <w:rFonts w:ascii="Verdana" w:hAnsi="Verdana"/>
          <w:i/>
          <w:sz w:val="18"/>
          <w:szCs w:val="18"/>
        </w:rPr>
      </w:pPr>
      <w:r>
        <w:rPr>
          <w:rFonts w:ascii="Verdana" w:hAnsi="Verdana"/>
          <w:sz w:val="18"/>
          <w:szCs w:val="18"/>
        </w:rPr>
        <w:t>De tegenvaller is voornamelijk het gevolg van een tegenvaller op de WW-uitgaven ten opzichte van eerdere ramingen. Het aantal uitkeringen komt hoger uit dan eerder geraamd. Ook bevat deze post verschillende overboekingen tussen uitgavenplafond Sociale Zekerheid en uitgavenplafond Rijksbegroting.</w:t>
      </w:r>
    </w:p>
    <w:p w:rsidR="00B05E55" w:rsidP="00B05E55" w:rsidRDefault="00B05E55">
      <w:pPr>
        <w:spacing w:line="240" w:lineRule="exact"/>
        <w:rPr>
          <w:rFonts w:ascii="Verdana" w:hAnsi="Verdana"/>
          <w:b/>
          <w:sz w:val="18"/>
          <w:szCs w:val="18"/>
        </w:rPr>
      </w:pPr>
    </w:p>
    <w:p w:rsidR="00B05E55" w:rsidP="00B05E55" w:rsidRDefault="00B05E55">
      <w:pPr>
        <w:spacing w:line="240" w:lineRule="exact"/>
        <w:rPr>
          <w:rFonts w:ascii="Verdana" w:hAnsi="Verdana"/>
          <w:b/>
          <w:sz w:val="18"/>
          <w:szCs w:val="18"/>
        </w:rPr>
      </w:pPr>
      <w:r>
        <w:rPr>
          <w:rFonts w:ascii="Verdana" w:hAnsi="Verdana"/>
          <w:b/>
          <w:sz w:val="18"/>
          <w:szCs w:val="18"/>
        </w:rPr>
        <w:t>Ontvangsten</w:t>
      </w:r>
    </w:p>
    <w:p w:rsidR="00B05E55" w:rsidP="00B05E55" w:rsidRDefault="00B05E55">
      <w:pPr>
        <w:spacing w:line="240" w:lineRule="exact"/>
        <w:rPr>
          <w:rFonts w:ascii="Verdana" w:hAnsi="Verdana"/>
          <w:b/>
          <w:sz w:val="18"/>
          <w:szCs w:val="18"/>
          <w:u w:val="single"/>
        </w:rPr>
      </w:pPr>
    </w:p>
    <w:p w:rsidR="00B05E55" w:rsidP="00B05E55" w:rsidRDefault="00B05E55">
      <w:pPr>
        <w:spacing w:line="240" w:lineRule="exact"/>
        <w:rPr>
          <w:rFonts w:ascii="Verdana" w:hAnsi="Verdana"/>
          <w:b/>
          <w:sz w:val="18"/>
          <w:szCs w:val="18"/>
          <w:u w:val="single"/>
        </w:rPr>
      </w:pPr>
      <w:r>
        <w:rPr>
          <w:rFonts w:ascii="Verdana" w:hAnsi="Verdana"/>
          <w:b/>
          <w:sz w:val="18"/>
          <w:szCs w:val="18"/>
          <w:u w:val="single"/>
        </w:rPr>
        <w:t>Mee- en tegenvallers</w:t>
      </w:r>
    </w:p>
    <w:p w:rsidR="00B05E55" w:rsidP="00B05E55" w:rsidRDefault="00B05E55">
      <w:pPr>
        <w:spacing w:line="240" w:lineRule="exact"/>
        <w:rPr>
          <w:rFonts w:ascii="Verdana" w:hAnsi="Verdana"/>
          <w:i/>
          <w:sz w:val="18"/>
          <w:szCs w:val="18"/>
        </w:rPr>
      </w:pPr>
    </w:p>
    <w:p w:rsidRPr="00356255" w:rsidR="00B05E55" w:rsidP="00B05E55" w:rsidRDefault="00B05E55">
      <w:pPr>
        <w:spacing w:line="240" w:lineRule="exact"/>
        <w:rPr>
          <w:rFonts w:ascii="Verdana" w:hAnsi="Verdana"/>
          <w:i/>
          <w:sz w:val="18"/>
          <w:szCs w:val="18"/>
        </w:rPr>
      </w:pPr>
      <w:r w:rsidRPr="00356255">
        <w:rPr>
          <w:rFonts w:ascii="Verdana" w:hAnsi="Verdana"/>
          <w:i/>
          <w:sz w:val="18"/>
          <w:szCs w:val="18"/>
        </w:rPr>
        <w:t>Diversen</w:t>
      </w:r>
    </w:p>
    <w:p w:rsidRPr="001C3059" w:rsidR="00B05E55" w:rsidP="00B05E55" w:rsidRDefault="00B05E55">
      <w:pPr>
        <w:spacing w:line="240" w:lineRule="exact"/>
        <w:rPr>
          <w:rFonts w:ascii="Verdana" w:hAnsi="Verdana"/>
          <w:sz w:val="18"/>
          <w:szCs w:val="18"/>
        </w:rPr>
      </w:pPr>
      <w:r>
        <w:rPr>
          <w:rFonts w:ascii="Verdana" w:hAnsi="Verdana"/>
          <w:sz w:val="18"/>
          <w:szCs w:val="18"/>
        </w:rPr>
        <w:t>Dit betreft onder andere een tegenvaller op de ontvangsten van de kinderopvangtoeslag (KOT). Voor de toeslagjaren 2016 en 2017 zijn de verwachte terugontvangsten naar beneden bijgesteld.</w:t>
      </w:r>
      <w:r w:rsidRPr="001325AD">
        <w:rPr>
          <w:rFonts w:ascii="Verdana" w:hAnsi="Verdana"/>
          <w:sz w:val="18"/>
          <w:szCs w:val="18"/>
        </w:rPr>
        <w:t xml:space="preserve"> </w:t>
      </w:r>
      <w:r>
        <w:rPr>
          <w:rFonts w:ascii="Verdana" w:hAnsi="Verdana"/>
          <w:sz w:val="18"/>
          <w:szCs w:val="18"/>
        </w:rPr>
        <w:t>Ook is er een tegenvaller op de ontvangsten van het kindgebonden budget (WKB).</w:t>
      </w:r>
    </w:p>
    <w:p w:rsidR="00B05E55" w:rsidP="00B05E55" w:rsidRDefault="00B05E55">
      <w:pPr>
        <w:spacing w:line="240" w:lineRule="exact"/>
        <w:rPr>
          <w:rFonts w:ascii="Verdana" w:hAnsi="Verdana"/>
          <w:b/>
          <w:sz w:val="18"/>
          <w:szCs w:val="18"/>
          <w:u w:val="single"/>
        </w:rPr>
      </w:pPr>
    </w:p>
    <w:p w:rsidR="00B05E55" w:rsidP="00B05E55" w:rsidRDefault="00B05E55">
      <w:pPr>
        <w:spacing w:line="240" w:lineRule="exact"/>
        <w:rPr>
          <w:rFonts w:ascii="Verdana" w:hAnsi="Verdana"/>
          <w:b/>
          <w:sz w:val="18"/>
          <w:szCs w:val="18"/>
          <w:u w:val="single"/>
        </w:rPr>
      </w:pPr>
      <w:r>
        <w:rPr>
          <w:rFonts w:ascii="Verdana" w:hAnsi="Verdana"/>
          <w:b/>
          <w:sz w:val="18"/>
          <w:szCs w:val="18"/>
          <w:u w:val="single"/>
        </w:rPr>
        <w:t>Technische mutaties</w:t>
      </w:r>
    </w:p>
    <w:p w:rsidR="00B05E55" w:rsidP="00B05E55" w:rsidRDefault="00B05E55">
      <w:pPr>
        <w:spacing w:line="240" w:lineRule="exact"/>
        <w:rPr>
          <w:rFonts w:ascii="Verdana" w:hAnsi="Verdana"/>
          <w:i/>
          <w:sz w:val="18"/>
          <w:szCs w:val="18"/>
        </w:rPr>
      </w:pPr>
    </w:p>
    <w:p w:rsidRPr="008557DF" w:rsidR="00B05E55" w:rsidP="00B05E55" w:rsidRDefault="00B05E55">
      <w:pPr>
        <w:spacing w:line="240" w:lineRule="exact"/>
        <w:rPr>
          <w:rFonts w:ascii="Verdana" w:hAnsi="Verdana"/>
          <w:i/>
          <w:sz w:val="18"/>
          <w:szCs w:val="18"/>
        </w:rPr>
      </w:pPr>
      <w:r w:rsidRPr="008557DF">
        <w:rPr>
          <w:rFonts w:ascii="Verdana" w:hAnsi="Verdana"/>
          <w:i/>
          <w:sz w:val="18"/>
          <w:szCs w:val="18"/>
        </w:rPr>
        <w:t>Diversen</w:t>
      </w:r>
    </w:p>
    <w:p w:rsidRPr="008A79DC" w:rsidR="00B05E55" w:rsidP="00B05E55" w:rsidRDefault="00B05E55">
      <w:pPr>
        <w:rPr>
          <w:rFonts w:ascii="Verdana" w:hAnsi="Verdana" w:cs="Verdana"/>
          <w:b/>
          <w:bCs/>
          <w:sz w:val="18"/>
          <w:szCs w:val="18"/>
        </w:rPr>
      </w:pPr>
      <w:r>
        <w:rPr>
          <w:rFonts w:ascii="Verdana" w:hAnsi="Verdana"/>
          <w:sz w:val="18"/>
          <w:szCs w:val="18"/>
        </w:rPr>
        <w:t>Op basis van realisatiegegevens van het UWV valt het verhalen van WW-lasten op overheidswerkgevers via de UFO-premie lager uit dan verwacht. Dit leidt tot een tegenvaller.</w:t>
      </w: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B05E55" w:rsidTr="00DC1DCB">
        <w:trPr>
          <w:trHeight w:val="225"/>
        </w:trPr>
        <w:tc>
          <w:tcPr>
            <w:tcW w:w="6820" w:type="dxa"/>
            <w:gridSpan w:val="2"/>
            <w:tcBorders>
              <w:top w:val="nil"/>
              <w:left w:val="nil"/>
              <w:bottom w:val="nil"/>
              <w:right w:val="nil"/>
            </w:tcBorders>
            <w:shd w:val="clear" w:color="auto" w:fill="auto"/>
            <w:hideMark/>
          </w:tcPr>
          <w:p w:rsidR="00B05E55" w:rsidP="00DC1DCB" w:rsidRDefault="00B05E55">
            <w:pPr>
              <w:rPr>
                <w:rFonts w:ascii="Verdana" w:hAnsi="Verdana"/>
                <w:b/>
                <w:bCs/>
                <w:color w:val="000000"/>
                <w:sz w:val="18"/>
                <w:szCs w:val="18"/>
              </w:rPr>
            </w:pPr>
            <w:r w:rsidRPr="008A79DC">
              <w:rPr>
                <w:rFonts w:ascii="Verdana" w:hAnsi="Verdana"/>
                <w:b/>
                <w:bCs/>
                <w:color w:val="000000"/>
                <w:sz w:val="18"/>
                <w:szCs w:val="18"/>
              </w:rPr>
              <w:lastRenderedPageBreak/>
              <w:t>Zorg</w:t>
            </w:r>
          </w:p>
          <w:p w:rsidRPr="008A79DC" w:rsidR="00B05E55" w:rsidP="00DC1DCB" w:rsidRDefault="00B05E55">
            <w:pPr>
              <w:rPr>
                <w:rFonts w:ascii="Verdana" w:hAnsi="Verdana"/>
                <w:b/>
                <w:bCs/>
                <w:color w:val="000000"/>
                <w:sz w:val="18"/>
                <w:szCs w:val="18"/>
              </w:rPr>
            </w:pPr>
          </w:p>
        </w:tc>
      </w:tr>
      <w:tr w:rsidRPr="008A79DC" w:rsidR="00B05E55" w:rsidTr="00DC1DCB">
        <w:trPr>
          <w:trHeight w:val="225"/>
        </w:trPr>
        <w:tc>
          <w:tcPr>
            <w:tcW w:w="6820" w:type="dxa"/>
            <w:gridSpan w:val="2"/>
            <w:tcBorders>
              <w:top w:val="nil"/>
              <w:left w:val="nil"/>
              <w:bottom w:val="single" w:color="000000" w:sz="8" w:space="0"/>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ZORG: UITGAVEN</w:t>
            </w:r>
          </w:p>
        </w:tc>
      </w:tr>
      <w:tr w:rsidRPr="008A79DC" w:rsidR="00B05E55" w:rsidTr="00DC1DCB">
        <w:trPr>
          <w:trHeight w:val="225"/>
        </w:trPr>
        <w:tc>
          <w:tcPr>
            <w:tcW w:w="5340" w:type="dxa"/>
            <w:tcBorders>
              <w:top w:val="nil"/>
              <w:left w:val="nil"/>
              <w:bottom w:val="single" w:color="000000" w:sz="8" w:space="0"/>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nil"/>
              <w:left w:val="nil"/>
              <w:bottom w:val="single" w:color="000000" w:sz="8" w:space="0"/>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2018</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Stand Miljoenennota 2019</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76.776,8</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180" w:firstLineChars="100"/>
              <w:rPr>
                <w:rFonts w:ascii="Verdana" w:hAnsi="Verdana"/>
                <w:color w:val="000000"/>
                <w:sz w:val="18"/>
                <w:szCs w:val="18"/>
              </w:rPr>
            </w:pPr>
            <w:r w:rsidRPr="008A79DC">
              <w:rPr>
                <w:rFonts w:ascii="Verdana" w:hAnsi="Verdana"/>
                <w:color w:val="000000"/>
                <w:sz w:val="18"/>
                <w:szCs w:val="18"/>
              </w:rPr>
              <w:t>Zorg</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ind w:firstLine="180" w:firstLineChars="100"/>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360" w:firstLineChars="200"/>
              <w:rPr>
                <w:rFonts w:ascii="Verdana" w:hAnsi="Verdana"/>
                <w:color w:val="000000"/>
                <w:sz w:val="18"/>
                <w:szCs w:val="18"/>
              </w:rPr>
            </w:pPr>
            <w:r w:rsidRPr="008A79DC">
              <w:rPr>
                <w:rFonts w:ascii="Verdana" w:hAnsi="Verdana"/>
                <w:color w:val="000000"/>
                <w:sz w:val="18"/>
                <w:szCs w:val="18"/>
              </w:rPr>
              <w:t>Actualisatie zorguitgaven</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-720,0</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-720,0</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180" w:firstLineChars="100"/>
              <w:rPr>
                <w:rFonts w:ascii="Verdana" w:hAnsi="Verdana"/>
                <w:color w:val="000000"/>
                <w:sz w:val="18"/>
                <w:szCs w:val="18"/>
              </w:rPr>
            </w:pPr>
            <w:r w:rsidRPr="008A79DC">
              <w:rPr>
                <w:rFonts w:ascii="Verdana" w:hAnsi="Verdana"/>
                <w:color w:val="000000"/>
                <w:sz w:val="18"/>
                <w:szCs w:val="18"/>
              </w:rPr>
              <w:t>Zorg</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ind w:firstLine="180" w:firstLineChars="100"/>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12,1</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12,1</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180" w:firstLineChars="100"/>
              <w:rPr>
                <w:rFonts w:ascii="Verdana" w:hAnsi="Verdana"/>
                <w:color w:val="000000"/>
                <w:sz w:val="18"/>
                <w:szCs w:val="18"/>
              </w:rPr>
            </w:pPr>
            <w:r w:rsidRPr="008A79DC">
              <w:rPr>
                <w:rFonts w:ascii="Verdana" w:hAnsi="Verdana"/>
                <w:color w:val="000000"/>
                <w:sz w:val="18"/>
                <w:szCs w:val="18"/>
              </w:rPr>
              <w:t>Zorg</w:t>
            </w:r>
          </w:p>
        </w:tc>
        <w:tc>
          <w:tcPr>
            <w:tcW w:w="1480" w:type="dxa"/>
            <w:tcBorders>
              <w:top w:val="nil"/>
              <w:left w:val="nil"/>
              <w:bottom w:val="nil"/>
              <w:right w:val="nil"/>
            </w:tcBorders>
            <w:shd w:val="clear" w:color="auto" w:fill="auto"/>
            <w:noWrap/>
            <w:vAlign w:val="bottom"/>
            <w:hideMark/>
          </w:tcPr>
          <w:p w:rsidRPr="008A79DC" w:rsidR="00B05E55" w:rsidP="00DC1DCB" w:rsidRDefault="00B05E55">
            <w:pPr>
              <w:ind w:firstLine="180" w:firstLineChars="100"/>
              <w:rPr>
                <w:rFonts w:ascii="Verdana" w:hAnsi="Verdana"/>
                <w:color w:val="000000"/>
                <w:sz w:val="18"/>
                <w:szCs w:val="18"/>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-12,9</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-12,9</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B05E55" w:rsidP="00DC1DCB" w:rsidRDefault="00B05E55">
            <w:pPr>
              <w:rPr>
                <w:rFonts w:ascii="Verdana" w:hAnsi="Verdana"/>
                <w:sz w:val="20"/>
                <w:szCs w:val="20"/>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-720,8</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76.056,0</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B05E55" w:rsidP="00DC1DCB" w:rsidRDefault="00B05E55">
            <w:pPr>
              <w:rPr>
                <w:rFonts w:ascii="Verdana" w:hAnsi="Verdana"/>
                <w:sz w:val="20"/>
                <w:szCs w:val="20"/>
              </w:rPr>
            </w:pPr>
          </w:p>
        </w:tc>
      </w:tr>
      <w:tr w:rsidRPr="008A79DC" w:rsidR="00B05E55" w:rsidTr="00DC1DCB">
        <w:trPr>
          <w:trHeight w:val="225"/>
        </w:trPr>
        <w:tc>
          <w:tcPr>
            <w:tcW w:w="6820" w:type="dxa"/>
            <w:gridSpan w:val="2"/>
            <w:tcBorders>
              <w:top w:val="nil"/>
              <w:left w:val="nil"/>
              <w:bottom w:val="single" w:color="000000" w:sz="8" w:space="0"/>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ZORG: NIET-BELASTINGONTVANGSTEN</w:t>
            </w:r>
          </w:p>
        </w:tc>
      </w:tr>
      <w:tr w:rsidRPr="008A79DC" w:rsidR="00B05E55" w:rsidTr="00DC1DCB">
        <w:trPr>
          <w:trHeight w:val="225"/>
        </w:trPr>
        <w:tc>
          <w:tcPr>
            <w:tcW w:w="5340" w:type="dxa"/>
            <w:tcBorders>
              <w:top w:val="nil"/>
              <w:left w:val="nil"/>
              <w:bottom w:val="single" w:color="000000" w:sz="8" w:space="0"/>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nil"/>
              <w:left w:val="nil"/>
              <w:bottom w:val="single" w:color="000000" w:sz="8" w:space="0"/>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2018</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Stand Miljoenennota 2019</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5.045,8</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B05E55" w:rsidP="00DC1DCB" w:rsidRDefault="00B05E55">
            <w:pPr>
              <w:rPr>
                <w:rFonts w:ascii="Verdana" w:hAnsi="Verdana"/>
                <w:sz w:val="20"/>
                <w:szCs w:val="20"/>
              </w:rPr>
            </w:pP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0,0</w:t>
            </w:r>
          </w:p>
        </w:tc>
      </w:tr>
      <w:tr w:rsidRPr="008A79DC" w:rsidR="00B05E55" w:rsidTr="00DC1DCB">
        <w:trPr>
          <w:trHeight w:val="225"/>
        </w:trPr>
        <w:tc>
          <w:tcPr>
            <w:tcW w:w="5340" w:type="dxa"/>
            <w:tcBorders>
              <w:top w:val="nil"/>
              <w:left w:val="nil"/>
              <w:bottom w:val="nil"/>
              <w:right w:val="nil"/>
            </w:tcBorders>
            <w:shd w:val="clear" w:color="auto" w:fill="auto"/>
            <w:hideMark/>
          </w:tcPr>
          <w:p w:rsidRPr="008A79DC" w:rsidR="00B05E55" w:rsidP="00DC1DCB" w:rsidRDefault="00B05E55">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B05E55" w:rsidP="00DC1DCB" w:rsidRDefault="00B05E55">
            <w:pPr>
              <w:jc w:val="right"/>
              <w:rPr>
                <w:rFonts w:ascii="Verdana" w:hAnsi="Verdana"/>
                <w:color w:val="000000"/>
                <w:sz w:val="18"/>
                <w:szCs w:val="18"/>
              </w:rPr>
            </w:pPr>
            <w:r w:rsidRPr="008A79DC">
              <w:rPr>
                <w:rFonts w:ascii="Verdana" w:hAnsi="Verdana"/>
                <w:color w:val="000000"/>
                <w:sz w:val="18"/>
                <w:szCs w:val="18"/>
              </w:rPr>
              <w:t>5.045,8</w:t>
            </w:r>
          </w:p>
        </w:tc>
      </w:tr>
    </w:tbl>
    <w:p w:rsidRPr="008A79DC" w:rsidR="00B05E55" w:rsidP="00B05E55" w:rsidRDefault="00B05E55">
      <w:pPr>
        <w:spacing w:line="240" w:lineRule="exact"/>
        <w:rPr>
          <w:rFonts w:ascii="Verdana" w:hAnsi="Verdana" w:cs="Verdana"/>
          <w:b/>
          <w:bCs/>
          <w:sz w:val="18"/>
          <w:szCs w:val="18"/>
        </w:rPr>
      </w:pPr>
    </w:p>
    <w:p w:rsidR="00B05E55" w:rsidP="00B05E55" w:rsidRDefault="00B05E55">
      <w:pPr>
        <w:rPr>
          <w:rFonts w:ascii="Verdana" w:hAnsi="Verdana" w:cs="Verdana"/>
          <w:b/>
          <w:bCs/>
          <w:sz w:val="18"/>
          <w:szCs w:val="18"/>
        </w:rPr>
      </w:pPr>
    </w:p>
    <w:p w:rsidRPr="000D667A" w:rsidR="00B05E55" w:rsidP="00B05E55" w:rsidRDefault="00B05E55">
      <w:pPr>
        <w:rPr>
          <w:rFonts w:ascii="Verdana" w:hAnsi="Verdana" w:cs="Verdana"/>
          <w:bCs/>
          <w:i/>
          <w:sz w:val="18"/>
          <w:szCs w:val="18"/>
        </w:rPr>
      </w:pPr>
      <w:r w:rsidRPr="000D667A">
        <w:rPr>
          <w:rFonts w:ascii="Verdana" w:hAnsi="Verdana" w:cs="Verdana"/>
          <w:bCs/>
          <w:i/>
          <w:sz w:val="18"/>
          <w:szCs w:val="18"/>
        </w:rPr>
        <w:t>Actualisering zorguitgaven</w:t>
      </w:r>
    </w:p>
    <w:p w:rsidRPr="000D667A" w:rsidR="00B05E55" w:rsidP="00B05E55" w:rsidRDefault="00B05E55">
      <w:pPr>
        <w:rPr>
          <w:rFonts w:ascii="Verdana" w:hAnsi="Verdana" w:cs="Verdana"/>
          <w:bCs/>
          <w:sz w:val="18"/>
          <w:szCs w:val="18"/>
        </w:rPr>
      </w:pPr>
      <w:r w:rsidRPr="000D667A">
        <w:rPr>
          <w:rFonts w:ascii="Verdana" w:hAnsi="Verdana" w:cs="Verdana"/>
          <w:bCs/>
          <w:sz w:val="18"/>
          <w:szCs w:val="18"/>
        </w:rPr>
        <w:t>Op basis van voorlopige gegevens van het Zorginstituut Nederland en de Nederlandse Zorgautoriteit over het eerste half jaar van 2018 zijn de ramingen van de zorguitgaven 2018 geactualiseerd. Deze cijfers hebben hierdoor een voorlopig karakter. Het beeld dat hieruit naar voren komt, leidt tot een neerwaartse bijstelling van uitgaven onder de Zorgverzekeringswet van 600 mln. en een neerwaartse bijstelling van de uitgaven onder de Wet langdurige zorg van 120 mln. De belangrijkste sectoren in de Zvw waarin naar verwachting sprake is van een onderschrijding zijn de wijkverpleging, de eerstelijnszorg, ggz en genees- en hulpmiddelen. Deze geraamde onderschrijding kan nog wijzigen op grond van de realisatiecijfers over geheel 2018. Daarover wordt in het jaarverslag 2018 nader gerapporteerd.</w:t>
      </w:r>
    </w:p>
    <w:p w:rsidRPr="000D667A" w:rsidR="00B05E55" w:rsidP="00B05E55" w:rsidRDefault="00B05E55">
      <w:pPr>
        <w:rPr>
          <w:rFonts w:ascii="Verdana" w:hAnsi="Verdana" w:cs="Verdana"/>
          <w:bCs/>
          <w:sz w:val="18"/>
          <w:szCs w:val="18"/>
        </w:rPr>
      </w:pPr>
    </w:p>
    <w:p w:rsidRPr="000D667A" w:rsidR="00B05E55" w:rsidP="00B05E55" w:rsidRDefault="00B05E55">
      <w:pPr>
        <w:rPr>
          <w:rFonts w:ascii="Verdana" w:hAnsi="Verdana" w:cs="Verdana"/>
          <w:bCs/>
          <w:i/>
          <w:sz w:val="18"/>
          <w:szCs w:val="18"/>
        </w:rPr>
      </w:pPr>
      <w:r w:rsidRPr="000D667A">
        <w:rPr>
          <w:rFonts w:ascii="Verdana" w:hAnsi="Verdana" w:cs="Verdana"/>
          <w:bCs/>
          <w:i/>
          <w:sz w:val="18"/>
          <w:szCs w:val="18"/>
        </w:rPr>
        <w:t>Diversen – beleidsmatige mutaties</w:t>
      </w:r>
      <w:r>
        <w:rPr>
          <w:rFonts w:ascii="Verdana" w:hAnsi="Verdana" w:cs="Verdana"/>
          <w:bCs/>
          <w:i/>
          <w:sz w:val="18"/>
          <w:szCs w:val="18"/>
        </w:rPr>
        <w:t xml:space="preserve">, </w:t>
      </w:r>
      <w:r w:rsidRPr="000D667A">
        <w:rPr>
          <w:rFonts w:ascii="Verdana" w:hAnsi="Verdana" w:cs="Verdana"/>
          <w:bCs/>
          <w:i/>
          <w:sz w:val="18"/>
          <w:szCs w:val="18"/>
        </w:rPr>
        <w:t xml:space="preserve">zorg </w:t>
      </w:r>
    </w:p>
    <w:p w:rsidRPr="000D667A" w:rsidR="00B05E55" w:rsidP="00B05E55" w:rsidRDefault="00B05E55">
      <w:pPr>
        <w:rPr>
          <w:rFonts w:ascii="Verdana" w:hAnsi="Verdana" w:cs="Verdana"/>
          <w:bCs/>
          <w:sz w:val="18"/>
          <w:szCs w:val="18"/>
        </w:rPr>
      </w:pPr>
      <w:r w:rsidRPr="000D667A">
        <w:rPr>
          <w:rFonts w:ascii="Verdana" w:hAnsi="Verdana" w:cs="Verdana"/>
          <w:bCs/>
          <w:sz w:val="18"/>
          <w:szCs w:val="18"/>
        </w:rPr>
        <w:t xml:space="preserve">Dit betreft voornamelijk een bijdrage van 7,2 mln. aan het Pensioenfonds Caribisch Nederland vanwege een te lage dekkingsgraad. Daarnaast zijn er zijn contractafspraken gemaakt met het ziekenhuis op Bonaire om het budget op te hogen met jaarlijks 2,5 mln. De kosten voor 2017 en 2018 vallen nu allebei in 2018 en betreffen dus 5 mln. </w:t>
      </w:r>
    </w:p>
    <w:p w:rsidRPr="000D667A" w:rsidR="00B05E55" w:rsidP="00B05E55" w:rsidRDefault="00B05E55">
      <w:pPr>
        <w:rPr>
          <w:rFonts w:ascii="Verdana" w:hAnsi="Verdana" w:cs="Verdana"/>
          <w:bCs/>
          <w:sz w:val="18"/>
          <w:szCs w:val="18"/>
        </w:rPr>
      </w:pPr>
    </w:p>
    <w:p w:rsidRPr="000D667A" w:rsidR="00B05E55" w:rsidP="00B05E55" w:rsidRDefault="00B05E55">
      <w:pPr>
        <w:rPr>
          <w:rFonts w:ascii="Verdana" w:hAnsi="Verdana" w:cs="Verdana"/>
          <w:bCs/>
          <w:i/>
          <w:sz w:val="18"/>
          <w:szCs w:val="18"/>
        </w:rPr>
      </w:pPr>
      <w:r w:rsidRPr="000D667A">
        <w:rPr>
          <w:rFonts w:ascii="Verdana" w:hAnsi="Verdana" w:cs="Verdana"/>
          <w:bCs/>
          <w:i/>
          <w:sz w:val="18"/>
          <w:szCs w:val="18"/>
        </w:rPr>
        <w:t>Diversen – te</w:t>
      </w:r>
      <w:r>
        <w:rPr>
          <w:rFonts w:ascii="Verdana" w:hAnsi="Verdana" w:cs="Verdana"/>
          <w:bCs/>
          <w:i/>
          <w:sz w:val="18"/>
          <w:szCs w:val="18"/>
        </w:rPr>
        <w:t>chnische mutaties,</w:t>
      </w:r>
      <w:r w:rsidRPr="000D667A">
        <w:rPr>
          <w:rFonts w:ascii="Verdana" w:hAnsi="Verdana" w:cs="Verdana"/>
          <w:bCs/>
          <w:i/>
          <w:sz w:val="18"/>
          <w:szCs w:val="18"/>
        </w:rPr>
        <w:t xml:space="preserve"> zorg</w:t>
      </w:r>
    </w:p>
    <w:p w:rsidRPr="000D667A" w:rsidR="00B05E55" w:rsidP="00B05E55" w:rsidRDefault="00B05E55">
      <w:pPr>
        <w:rPr>
          <w:rFonts w:ascii="Verdana" w:hAnsi="Verdana" w:cs="Verdana"/>
          <w:bCs/>
          <w:sz w:val="18"/>
          <w:szCs w:val="18"/>
        </w:rPr>
      </w:pPr>
      <w:r w:rsidRPr="000D667A">
        <w:rPr>
          <w:rFonts w:ascii="Verdana" w:hAnsi="Verdana" w:cs="Verdana"/>
          <w:bCs/>
          <w:sz w:val="18"/>
          <w:szCs w:val="18"/>
        </w:rPr>
        <w:t>Dit betreft onder meer de overheveling van de (bovengenoemde) bijdrage aan het Pensioenfonds Caribisch Nederland naar het verantwoordelijke departement BZK.</w:t>
      </w:r>
    </w:p>
    <w:p w:rsidRPr="008A79DC" w:rsidR="00B05E55" w:rsidP="00C41D99" w:rsidRDefault="00B05E55">
      <w:pPr>
        <w:spacing w:line="240" w:lineRule="exact"/>
        <w:rPr>
          <w:rFonts w:ascii="Verdana" w:hAnsi="Verdana" w:cs="Verdana"/>
          <w:b/>
          <w:bCs/>
          <w:sz w:val="18"/>
          <w:szCs w:val="18"/>
        </w:rPr>
      </w:pP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Gemeentefonds</w:t>
            </w:r>
          </w:p>
          <w:p w:rsidRPr="008A79DC" w:rsidR="004234D2" w:rsidRDefault="004234D2">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 GEMEENTEFONDS: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29.169,1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Aardgasvrije wijken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91,6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109,7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Sociale zekerheid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12,2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213,5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213,4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29.382,5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29.382,5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 GEMEENTEFONDS: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0,2</w:t>
            </w:r>
          </w:p>
        </w:tc>
      </w:tr>
    </w:tbl>
    <w:p w:rsidRPr="008A79DC" w:rsidR="00412663" w:rsidP="00C41D99" w:rsidRDefault="00412663">
      <w:pPr>
        <w:spacing w:line="240" w:lineRule="exact"/>
        <w:rPr>
          <w:rFonts w:ascii="Verdana" w:hAnsi="Verdana" w:cs="Verdana"/>
          <w:b/>
          <w:bCs/>
          <w:sz w:val="18"/>
          <w:szCs w:val="18"/>
        </w:rPr>
      </w:pPr>
    </w:p>
    <w:p w:rsidRPr="008A79DC" w:rsidR="004234D2" w:rsidRDefault="004234D2">
      <w:pPr>
        <w:rPr>
          <w:rFonts w:ascii="Verdana" w:hAnsi="Verdana" w:cs="Verdana"/>
          <w:bCs/>
          <w:sz w:val="18"/>
          <w:szCs w:val="18"/>
        </w:rPr>
      </w:pPr>
    </w:p>
    <w:p w:rsidRPr="008A79DC" w:rsidR="004234D2" w:rsidP="004234D2" w:rsidRDefault="004234D2">
      <w:pPr>
        <w:rPr>
          <w:rFonts w:ascii="Verdana" w:hAnsi="Verdana" w:cs="Verdana"/>
          <w:bCs/>
          <w:i/>
          <w:sz w:val="18"/>
          <w:szCs w:val="18"/>
        </w:rPr>
      </w:pPr>
      <w:r w:rsidRPr="008A79DC">
        <w:rPr>
          <w:rFonts w:ascii="Verdana" w:hAnsi="Verdana" w:cs="Verdana"/>
          <w:bCs/>
          <w:i/>
          <w:sz w:val="18"/>
          <w:szCs w:val="18"/>
        </w:rPr>
        <w:t>Aardgasvrije wijken</w:t>
      </w:r>
    </w:p>
    <w:p w:rsidR="004234D2" w:rsidP="004234D2" w:rsidRDefault="008A7D1D">
      <w:pPr>
        <w:rPr>
          <w:rFonts w:ascii="Verdana" w:hAnsi="Verdana" w:cs="Verdana"/>
          <w:bCs/>
          <w:sz w:val="18"/>
          <w:szCs w:val="18"/>
        </w:rPr>
      </w:pPr>
      <w:r w:rsidRPr="008A7D1D">
        <w:rPr>
          <w:rFonts w:ascii="Verdana" w:hAnsi="Verdana" w:cs="Verdana"/>
          <w:bCs/>
          <w:sz w:val="18"/>
          <w:szCs w:val="18"/>
        </w:rPr>
        <w:t>Voor 27 proeftuinen in het programma Aardgasvrije wijken boekt BZK in 2018 85 mln over naar het gemeentefonds vanuit de klimaatenvelop. Het resterende bedrag heeft BZK binnen de eigen begroting vrijgemaakt</w:t>
      </w:r>
      <w:r>
        <w:rPr>
          <w:rFonts w:ascii="Verdana" w:hAnsi="Verdana" w:cs="Verdana"/>
          <w:bCs/>
          <w:sz w:val="18"/>
          <w:szCs w:val="18"/>
        </w:rPr>
        <w:t>.</w:t>
      </w:r>
    </w:p>
    <w:p w:rsidRPr="008A79DC" w:rsidR="008A7D1D" w:rsidP="004234D2" w:rsidRDefault="008A7D1D">
      <w:pPr>
        <w:rPr>
          <w:rFonts w:ascii="Verdana" w:hAnsi="Verdana" w:cs="Verdana"/>
          <w:bCs/>
          <w:sz w:val="18"/>
          <w:szCs w:val="18"/>
        </w:rPr>
      </w:pPr>
    </w:p>
    <w:p w:rsidRPr="008A79DC" w:rsidR="004234D2" w:rsidP="004234D2" w:rsidRDefault="004234D2">
      <w:pPr>
        <w:rPr>
          <w:rFonts w:ascii="Verdana" w:hAnsi="Verdana" w:cs="Verdana"/>
          <w:bCs/>
          <w:i/>
          <w:sz w:val="18"/>
          <w:szCs w:val="18"/>
        </w:rPr>
      </w:pPr>
      <w:r w:rsidRPr="008A79DC">
        <w:rPr>
          <w:rFonts w:ascii="Verdana" w:hAnsi="Verdana" w:cs="Verdana"/>
          <w:bCs/>
          <w:i/>
          <w:sz w:val="18"/>
          <w:szCs w:val="18"/>
        </w:rPr>
        <w:t xml:space="preserve">Diversen </w:t>
      </w:r>
      <w:r w:rsidRPr="008A79DC" w:rsidR="00424802">
        <w:rPr>
          <w:rFonts w:ascii="Verdana" w:hAnsi="Verdana" w:cs="Verdana"/>
          <w:bCs/>
          <w:i/>
          <w:sz w:val="18"/>
          <w:szCs w:val="18"/>
        </w:rPr>
        <w:t>–</w:t>
      </w:r>
      <w:r w:rsidRPr="008A79DC">
        <w:rPr>
          <w:rFonts w:ascii="Verdana" w:hAnsi="Verdana" w:cs="Verdana"/>
          <w:bCs/>
          <w:i/>
          <w:sz w:val="18"/>
          <w:szCs w:val="18"/>
        </w:rPr>
        <w:t xml:space="preserve"> rijksbegroting</w:t>
      </w:r>
    </w:p>
    <w:p w:rsidRPr="008A79DC" w:rsidR="004234D2" w:rsidP="004234D2" w:rsidRDefault="004234D2">
      <w:pPr>
        <w:rPr>
          <w:rFonts w:ascii="Verdana" w:hAnsi="Verdana" w:cs="Verdana"/>
          <w:bCs/>
          <w:sz w:val="18"/>
          <w:szCs w:val="18"/>
        </w:rPr>
      </w:pPr>
      <w:r w:rsidRPr="008A79DC">
        <w:rPr>
          <w:rFonts w:ascii="Verdana" w:hAnsi="Verdana" w:cs="Verdana"/>
          <w:bCs/>
          <w:sz w:val="18"/>
          <w:szCs w:val="18"/>
        </w:rPr>
        <w:t>Er vinden diverse overboekingen plaats. De belangrijke mutaties worden hieronder toegelicht. Zo maakt LNV 24 mln. over voor de regio-envelo</w:t>
      </w:r>
      <w:r w:rsidRPr="008A79DC" w:rsidR="00424802">
        <w:rPr>
          <w:rFonts w:ascii="Verdana" w:hAnsi="Verdana" w:cs="Verdana"/>
          <w:bCs/>
          <w:sz w:val="18"/>
          <w:szCs w:val="18"/>
        </w:rPr>
        <w:t>p</w:t>
      </w:r>
      <w:r w:rsidRPr="008A79DC">
        <w:rPr>
          <w:rFonts w:ascii="Verdana" w:hAnsi="Verdana" w:cs="Verdana"/>
          <w:bCs/>
          <w:sz w:val="18"/>
          <w:szCs w:val="18"/>
        </w:rPr>
        <w:t xml:space="preserve"> Rotterdam-Zuid 2018. Ook draagt SZW 17 mln. bij voor het programma Baankansen. Voor een aanvullende bijdrage voor de aanpak van bodemsanering in vier gemeenten draagt IenW 13,6 mln. bij. Om de vergoeding van raadsleden in kleine gemeenten te verhogen</w:t>
      </w:r>
      <w:r w:rsidRPr="008A79DC" w:rsidR="00424802">
        <w:rPr>
          <w:rFonts w:ascii="Verdana" w:hAnsi="Verdana" w:cs="Verdana"/>
          <w:bCs/>
          <w:sz w:val="18"/>
          <w:szCs w:val="18"/>
        </w:rPr>
        <w:t>,</w:t>
      </w:r>
      <w:r w:rsidRPr="008A79DC">
        <w:rPr>
          <w:rFonts w:ascii="Verdana" w:hAnsi="Verdana" w:cs="Verdana"/>
          <w:bCs/>
          <w:sz w:val="18"/>
          <w:szCs w:val="18"/>
        </w:rPr>
        <w:t xml:space="preserve"> draagt BZK eenmalig 10 mln. bij. Ook omvat deze post de vrijval op de Bonus beschut werk (-12,2 mln.), die tussen de plafonds wordt verschoven (zie toelichting hieronder bij </w:t>
      </w:r>
      <w:r w:rsidRPr="008A79DC" w:rsidR="00424802">
        <w:rPr>
          <w:rFonts w:ascii="Verdana" w:hAnsi="Verdana" w:cs="Verdana"/>
          <w:bCs/>
          <w:sz w:val="18"/>
          <w:szCs w:val="18"/>
        </w:rPr>
        <w:t>D</w:t>
      </w:r>
      <w:r w:rsidRPr="008A79DC">
        <w:rPr>
          <w:rFonts w:ascii="Verdana" w:hAnsi="Verdana" w:cs="Verdana"/>
          <w:bCs/>
          <w:sz w:val="18"/>
          <w:szCs w:val="18"/>
        </w:rPr>
        <w:t>iverse</w:t>
      </w:r>
      <w:r w:rsidRPr="008A79DC" w:rsidR="00424802">
        <w:rPr>
          <w:rFonts w:ascii="Verdana" w:hAnsi="Verdana" w:cs="Verdana"/>
          <w:bCs/>
          <w:sz w:val="18"/>
          <w:szCs w:val="18"/>
        </w:rPr>
        <w:t>n</w:t>
      </w:r>
      <w:r w:rsidRPr="008A79DC">
        <w:rPr>
          <w:rFonts w:ascii="Verdana" w:hAnsi="Verdana" w:cs="Verdana"/>
          <w:bCs/>
          <w:sz w:val="18"/>
          <w:szCs w:val="18"/>
        </w:rPr>
        <w:t xml:space="preserve">, sociale zekerheid). Door middel van een kasschuif wordt in 2018 door SZW 8 mln. meer bijgedragen aan de voorkoming van schulden en bestrijding van armoede in gemeenten. In de Voorjaarsnota 2019 zal eenzelfde bedrag teruggeboekt worden naar SZW, om daarmee middelen beschikbaar te maken voor de uitvoering van de motie-Segers (Kamerstukken II, 35 000, nr. 25) voor ondersteuning van kwetsbare mensen. Verder betreft </w:t>
      </w:r>
      <w:r w:rsidRPr="008A79DC" w:rsidR="00424802">
        <w:rPr>
          <w:rFonts w:ascii="Verdana" w:hAnsi="Verdana" w:cs="Verdana"/>
          <w:bCs/>
          <w:sz w:val="18"/>
          <w:szCs w:val="18"/>
        </w:rPr>
        <w:t xml:space="preserve">deze post diverse </w:t>
      </w:r>
      <w:r w:rsidRPr="008A79DC">
        <w:rPr>
          <w:rFonts w:ascii="Verdana" w:hAnsi="Verdana" w:cs="Verdana"/>
          <w:bCs/>
          <w:sz w:val="18"/>
          <w:szCs w:val="18"/>
        </w:rPr>
        <w:t>overboekingen voor decentralisatie-uitkeringen. Een overzicht van alle decentralisatie-uitkeringen zal worden opgenomen in de tweede suppletoire begroting van het gemeentefonds en in de decembercirculaire van het gemeentefonds.</w:t>
      </w:r>
    </w:p>
    <w:p w:rsidRPr="008A79DC" w:rsidR="004234D2" w:rsidP="004234D2" w:rsidRDefault="004234D2">
      <w:pPr>
        <w:rPr>
          <w:rFonts w:ascii="Verdana" w:hAnsi="Verdana" w:cs="Verdana"/>
          <w:bCs/>
          <w:sz w:val="18"/>
          <w:szCs w:val="18"/>
        </w:rPr>
      </w:pPr>
    </w:p>
    <w:p w:rsidRPr="008A79DC" w:rsidR="004234D2" w:rsidP="004234D2" w:rsidRDefault="00424802">
      <w:pPr>
        <w:rPr>
          <w:rFonts w:ascii="Verdana" w:hAnsi="Verdana" w:cs="Verdana"/>
          <w:bCs/>
          <w:i/>
          <w:sz w:val="18"/>
          <w:szCs w:val="18"/>
        </w:rPr>
      </w:pPr>
      <w:r w:rsidRPr="008A79DC">
        <w:rPr>
          <w:rFonts w:ascii="Verdana" w:hAnsi="Verdana" w:cs="Verdana"/>
          <w:bCs/>
          <w:i/>
          <w:sz w:val="18"/>
          <w:szCs w:val="18"/>
        </w:rPr>
        <w:t xml:space="preserve">Diversen - </w:t>
      </w:r>
      <w:r w:rsidRPr="008A79DC" w:rsidR="004234D2">
        <w:rPr>
          <w:rFonts w:ascii="Verdana" w:hAnsi="Verdana" w:cs="Verdana"/>
          <w:bCs/>
          <w:i/>
          <w:sz w:val="18"/>
          <w:szCs w:val="18"/>
        </w:rPr>
        <w:t>sociale zekerheid</w:t>
      </w:r>
    </w:p>
    <w:p w:rsidRPr="008A79DC" w:rsidR="00412663" w:rsidP="004234D2" w:rsidRDefault="004234D2">
      <w:pPr>
        <w:rPr>
          <w:rFonts w:ascii="Verdana" w:hAnsi="Verdana" w:cs="Verdana"/>
          <w:b/>
          <w:bCs/>
          <w:sz w:val="18"/>
          <w:szCs w:val="18"/>
        </w:rPr>
      </w:pPr>
      <w:r w:rsidRPr="008A79DC">
        <w:rPr>
          <w:rFonts w:ascii="Verdana" w:hAnsi="Verdana" w:cs="Verdana"/>
          <w:bCs/>
          <w:sz w:val="18"/>
          <w:szCs w:val="18"/>
        </w:rPr>
        <w:t>Dit betreft de vrijval op de Bonus beschut werk. De staatssecretaris van SZW heeft toegezegd dat de middelen die in enig jaar niet nodig zijn in het kader van de decentralisatie-uitkering Bonus beschut werk, beschikbaar blijven voor gemeenten. De vrijval wordt toegevoegd aan de integratie-uitkering sociaal domein, onderdeel participatie. Dit betreft een mutatie tussen plafonds, van plafond Rijksbegroting naar plafond Sociale zekerheid.</w:t>
      </w:r>
      <w:r w:rsidRPr="008A79DC" w:rsidR="00412663">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Provinciefonds</w:t>
            </w:r>
          </w:p>
          <w:p w:rsidRPr="008A79DC" w:rsidR="00581616" w:rsidRDefault="00581616">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C PROVINCIEFONDS: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2.314,2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Aansluiting a6 lelystad</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14,1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Extra sneltrein groningen - leeuwarden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30,4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Mkb innovatiestimulering topsectoren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Nationaal programma groningen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140,6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140,5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2.454,7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2.454,7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C PROVINCIEFONDS: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bl>
    <w:p w:rsidRPr="008A79DC" w:rsidR="00412663" w:rsidP="00C41D99" w:rsidRDefault="00412663">
      <w:pPr>
        <w:spacing w:line="240" w:lineRule="exact"/>
        <w:rPr>
          <w:rFonts w:ascii="Verdana" w:hAnsi="Verdana" w:cs="Verdana"/>
          <w:b/>
          <w:bCs/>
          <w:sz w:val="18"/>
          <w:szCs w:val="18"/>
        </w:rPr>
      </w:pPr>
    </w:p>
    <w:p w:rsidRPr="008A79DC" w:rsidR="00424802" w:rsidRDefault="00424802">
      <w:pPr>
        <w:rPr>
          <w:rFonts w:ascii="Verdana" w:hAnsi="Verdana" w:cs="Verdana"/>
          <w:b/>
          <w:bCs/>
          <w:sz w:val="18"/>
          <w:szCs w:val="18"/>
        </w:rPr>
      </w:pPr>
    </w:p>
    <w:p w:rsidRPr="008A79DC" w:rsidR="00424802" w:rsidP="00424802" w:rsidRDefault="00424802">
      <w:pPr>
        <w:rPr>
          <w:rFonts w:ascii="Verdana" w:hAnsi="Verdana" w:cs="Verdana"/>
          <w:bCs/>
          <w:i/>
          <w:sz w:val="18"/>
          <w:szCs w:val="18"/>
        </w:rPr>
      </w:pPr>
      <w:r w:rsidRPr="008A79DC">
        <w:rPr>
          <w:rFonts w:ascii="Verdana" w:hAnsi="Verdana" w:cs="Verdana"/>
          <w:bCs/>
          <w:i/>
          <w:sz w:val="18"/>
          <w:szCs w:val="18"/>
        </w:rPr>
        <w:t>Aansluiting A6 Lelystad</w:t>
      </w:r>
    </w:p>
    <w:p w:rsidRPr="008A79DC" w:rsidR="00424802" w:rsidP="00424802" w:rsidRDefault="00424802">
      <w:pPr>
        <w:rPr>
          <w:rFonts w:ascii="Verdana" w:hAnsi="Verdana" w:cs="Verdana"/>
          <w:bCs/>
          <w:sz w:val="18"/>
          <w:szCs w:val="18"/>
        </w:rPr>
      </w:pPr>
      <w:r w:rsidRPr="008A79DC">
        <w:rPr>
          <w:rFonts w:ascii="Verdana" w:hAnsi="Verdana" w:cs="Verdana"/>
          <w:bCs/>
          <w:sz w:val="18"/>
          <w:szCs w:val="18"/>
        </w:rPr>
        <w:t>Voor de aansluiting</w:t>
      </w:r>
      <w:r w:rsidR="008A7D1D">
        <w:rPr>
          <w:rFonts w:ascii="Verdana" w:hAnsi="Verdana" w:cs="Verdana"/>
          <w:bCs/>
          <w:sz w:val="18"/>
          <w:szCs w:val="18"/>
        </w:rPr>
        <w:t xml:space="preserve"> en ruimtelijke inpassing van de</w:t>
      </w:r>
      <w:r w:rsidRPr="008A79DC">
        <w:rPr>
          <w:rFonts w:ascii="Verdana" w:hAnsi="Verdana" w:cs="Verdana"/>
          <w:bCs/>
          <w:sz w:val="18"/>
          <w:szCs w:val="18"/>
        </w:rPr>
        <w:t xml:space="preserve"> A6 Lelystad-Airport wordt 14,1 mln. beschikbaar gesteld aan de provincie Flevoland, inclusief de resterende 0,1 mln. voor de ruimtelijke inpassing.</w:t>
      </w:r>
    </w:p>
    <w:p w:rsidRPr="008A79DC" w:rsidR="00424802" w:rsidP="00424802" w:rsidRDefault="00424802">
      <w:pPr>
        <w:rPr>
          <w:rFonts w:ascii="Verdana" w:hAnsi="Verdana" w:cs="Verdana"/>
          <w:bCs/>
          <w:sz w:val="18"/>
          <w:szCs w:val="18"/>
        </w:rPr>
      </w:pPr>
    </w:p>
    <w:p w:rsidRPr="008A79DC" w:rsidR="00424802" w:rsidP="00424802" w:rsidRDefault="00424802">
      <w:pPr>
        <w:rPr>
          <w:rFonts w:ascii="Verdana" w:hAnsi="Verdana" w:cs="Verdana"/>
          <w:bCs/>
          <w:i/>
          <w:sz w:val="18"/>
          <w:szCs w:val="18"/>
        </w:rPr>
      </w:pPr>
      <w:r w:rsidRPr="008A79DC">
        <w:rPr>
          <w:rFonts w:ascii="Verdana" w:hAnsi="Verdana" w:cs="Verdana"/>
          <w:bCs/>
          <w:i/>
          <w:sz w:val="18"/>
          <w:szCs w:val="18"/>
        </w:rPr>
        <w:t>Extra sneltrein Groningen – Leeuwarden</w:t>
      </w:r>
    </w:p>
    <w:p w:rsidRPr="008A79DC" w:rsidR="00424802" w:rsidP="00424802" w:rsidRDefault="00424802">
      <w:pPr>
        <w:rPr>
          <w:rFonts w:ascii="Verdana" w:hAnsi="Verdana" w:cs="Verdana"/>
          <w:bCs/>
          <w:sz w:val="18"/>
          <w:szCs w:val="18"/>
        </w:rPr>
      </w:pPr>
      <w:r w:rsidRPr="008A79DC">
        <w:rPr>
          <w:rFonts w:ascii="Verdana" w:hAnsi="Verdana" w:cs="Verdana"/>
          <w:bCs/>
          <w:sz w:val="18"/>
          <w:szCs w:val="18"/>
        </w:rPr>
        <w:t>Het project Extra Sneltrein Groningen - Leeuwarden gaat over naar de realisatiefase. De betrokken provincies zijn opdrachtgever. Daarvoor ontvangt, na afronding, Groningen 13,7 mln. en Fryslân 16,6 mln.</w:t>
      </w:r>
    </w:p>
    <w:p w:rsidRPr="008A79DC" w:rsidR="00424802" w:rsidP="00424802" w:rsidRDefault="00424802">
      <w:pPr>
        <w:rPr>
          <w:rFonts w:ascii="Verdana" w:hAnsi="Verdana" w:cs="Verdana"/>
          <w:bCs/>
          <w:sz w:val="18"/>
          <w:szCs w:val="18"/>
        </w:rPr>
      </w:pPr>
    </w:p>
    <w:p w:rsidRPr="008A79DC" w:rsidR="00424802" w:rsidP="00424802" w:rsidRDefault="00424802">
      <w:pPr>
        <w:rPr>
          <w:rFonts w:ascii="Verdana" w:hAnsi="Verdana" w:cs="Verdana"/>
          <w:bCs/>
          <w:i/>
          <w:sz w:val="18"/>
          <w:szCs w:val="18"/>
        </w:rPr>
      </w:pPr>
      <w:r w:rsidRPr="008A79DC">
        <w:rPr>
          <w:rFonts w:ascii="Verdana" w:hAnsi="Verdana" w:cs="Verdana"/>
          <w:bCs/>
          <w:i/>
          <w:sz w:val="18"/>
          <w:szCs w:val="18"/>
        </w:rPr>
        <w:t>Nationaal programma Groningen</w:t>
      </w:r>
    </w:p>
    <w:p w:rsidRPr="008A79DC" w:rsidR="00424802" w:rsidP="00424802" w:rsidRDefault="00424802">
      <w:pPr>
        <w:rPr>
          <w:rFonts w:ascii="Verdana" w:hAnsi="Verdana" w:cs="Verdana"/>
          <w:bCs/>
          <w:sz w:val="18"/>
          <w:szCs w:val="18"/>
        </w:rPr>
      </w:pPr>
      <w:r w:rsidRPr="008A79DC">
        <w:rPr>
          <w:rFonts w:ascii="Verdana" w:hAnsi="Verdana" w:cs="Verdana"/>
          <w:bCs/>
          <w:sz w:val="18"/>
          <w:szCs w:val="18"/>
        </w:rPr>
        <w:t xml:space="preserve">Het kabinet heeft, gelijktijdig met het besluit om de gaswinning te beëindigen, de toezegging gedaan om een substantiële meerjarige bijdrage te leveren aan een toekomstbestendig Groningen. De middelen voor het Nationaal programma Groningen tranche 2018 worden </w:t>
      </w:r>
      <w:r w:rsidR="00273A91">
        <w:rPr>
          <w:rFonts w:ascii="Verdana" w:hAnsi="Verdana" w:cs="Verdana"/>
          <w:bCs/>
          <w:sz w:val="18"/>
          <w:szCs w:val="18"/>
        </w:rPr>
        <w:t xml:space="preserve">via de EZK-begroting en </w:t>
      </w:r>
      <w:r w:rsidRPr="008A79DC">
        <w:rPr>
          <w:rFonts w:ascii="Verdana" w:hAnsi="Verdana" w:cs="Verdana"/>
          <w:bCs/>
          <w:sz w:val="18"/>
          <w:szCs w:val="18"/>
        </w:rPr>
        <w:t>middels een decentralisatie-uitkering overgemaakt aan de provincie Groningen.</w:t>
      </w:r>
    </w:p>
    <w:p w:rsidRPr="008A79DC" w:rsidR="00424802" w:rsidP="00424802" w:rsidRDefault="00424802">
      <w:pPr>
        <w:rPr>
          <w:rFonts w:ascii="Verdana" w:hAnsi="Verdana" w:cs="Verdana"/>
          <w:bCs/>
          <w:sz w:val="18"/>
          <w:szCs w:val="18"/>
        </w:rPr>
      </w:pPr>
    </w:p>
    <w:p w:rsidRPr="008A79DC" w:rsidR="00424802" w:rsidP="00424802" w:rsidRDefault="00424802">
      <w:pPr>
        <w:rPr>
          <w:rFonts w:ascii="Verdana" w:hAnsi="Verdana" w:cs="Verdana"/>
          <w:bCs/>
          <w:i/>
          <w:sz w:val="18"/>
          <w:szCs w:val="18"/>
        </w:rPr>
      </w:pPr>
      <w:r w:rsidRPr="008A79DC">
        <w:rPr>
          <w:rFonts w:ascii="Verdana" w:hAnsi="Verdana" w:cs="Verdana"/>
          <w:bCs/>
          <w:i/>
          <w:sz w:val="18"/>
          <w:szCs w:val="18"/>
        </w:rPr>
        <w:t>Mkb-innovatiestimulering Topsectoren</w:t>
      </w:r>
    </w:p>
    <w:p w:rsidRPr="008A79DC" w:rsidR="00424802" w:rsidP="00424802" w:rsidRDefault="00424802">
      <w:pPr>
        <w:rPr>
          <w:rFonts w:ascii="Verdana" w:hAnsi="Verdana" w:cs="Verdana"/>
          <w:bCs/>
          <w:sz w:val="18"/>
          <w:szCs w:val="18"/>
        </w:rPr>
      </w:pPr>
      <w:r w:rsidRPr="008A79DC">
        <w:rPr>
          <w:rFonts w:ascii="Verdana" w:hAnsi="Verdana" w:cs="Verdana"/>
          <w:bCs/>
          <w:sz w:val="18"/>
          <w:szCs w:val="18"/>
        </w:rPr>
        <w:t>Ten behoeve van de decentrale uitvoering van de Mkb-innovatiestimulering Topsectoren (MIT) voor regiogrens overschrijdende innovatiesubsidies worden er middelen overgeboekt naar het provinciefonds.</w:t>
      </w:r>
    </w:p>
    <w:p w:rsidRPr="008A79DC" w:rsidR="00424802" w:rsidP="00424802" w:rsidRDefault="00424802">
      <w:pPr>
        <w:rPr>
          <w:rFonts w:ascii="Verdana" w:hAnsi="Verdana" w:cs="Verdana"/>
          <w:bCs/>
          <w:sz w:val="18"/>
          <w:szCs w:val="18"/>
        </w:rPr>
      </w:pPr>
    </w:p>
    <w:p w:rsidRPr="008A79DC" w:rsidR="00424802" w:rsidP="00424802" w:rsidRDefault="00424802">
      <w:pPr>
        <w:rPr>
          <w:rFonts w:ascii="Verdana" w:hAnsi="Verdana" w:cs="Verdana"/>
          <w:bCs/>
          <w:i/>
          <w:sz w:val="18"/>
          <w:szCs w:val="18"/>
        </w:rPr>
      </w:pPr>
      <w:r w:rsidRPr="008A79DC">
        <w:rPr>
          <w:rFonts w:ascii="Verdana" w:hAnsi="Verdana" w:cs="Verdana"/>
          <w:bCs/>
          <w:i/>
          <w:sz w:val="18"/>
          <w:szCs w:val="18"/>
        </w:rPr>
        <w:t>Diversen</w:t>
      </w:r>
    </w:p>
    <w:p w:rsidRPr="008A79DC" w:rsidR="00412663" w:rsidP="00424802" w:rsidRDefault="00424802">
      <w:pPr>
        <w:rPr>
          <w:rFonts w:ascii="Verdana" w:hAnsi="Verdana" w:cs="Verdana"/>
          <w:b/>
          <w:bCs/>
          <w:sz w:val="18"/>
          <w:szCs w:val="18"/>
        </w:rPr>
      </w:pPr>
      <w:r w:rsidRPr="008A79DC">
        <w:rPr>
          <w:rFonts w:ascii="Verdana" w:hAnsi="Verdana" w:cs="Verdana"/>
          <w:bCs/>
          <w:sz w:val="18"/>
          <w:szCs w:val="18"/>
        </w:rPr>
        <w:t>Het betreft diverse kleinere overboekingen. Zo boekt EZK, in het kader van de regeling Regionale Investeringssteun Groningen (RIG), 5 mln. over voor investeringssteun aan ondernemingen in de Eemsdelta en de Zernike-campus. Voor het programma Beter benutten vindt er een budgetoverboeking van 4,1 mln. plaats ten behoeve van de provincies Flevoland en Noord-Holland. LNV boekt 3,2 mln. over voor een bijdrage aan de provincies Zuid-Holland en Utrecht voor de pilot klimaatslimme landbouw in de veenweiden. Verder betreft het diverse overboekingen voor decentralisatie-uitkeringen. Een compleet overzicht van alle decentralisatie-uitkeringen zal worden opgenomen in de decembercirculaire van het provinciefonds.</w:t>
      </w:r>
      <w:r w:rsidRPr="008A79DC" w:rsidR="00412663">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Infrastructuurfonds</w:t>
            </w:r>
          </w:p>
          <w:p w:rsidRPr="008A79DC" w:rsidR="00581616" w:rsidRDefault="00581616">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A INFRASTRUCTUURFONDS: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6.201,0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Saldo 2018 hoofdvaarwegennet</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-44,4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Saldo 2018 hoofdwegennet</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-167,1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Saldo 2018 megaprojecten verkeer en vervoer</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-103,0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Saldo 2018 regionaal, lokale infrastructuur</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-57,1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Saldo 2018 spoorwegen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53,4</w:t>
            </w:r>
          </w:p>
        </w:tc>
      </w:tr>
      <w:tr w:rsidRPr="008A79DC" w:rsidR="00412663" w:rsidTr="00412663">
        <w:trPr>
          <w:trHeight w:val="450"/>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Saldo 2018 verkenningen, reserveringen en investeringsruimte</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33,0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-12,7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-297,9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-41,4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-41,4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-339,4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5.861,6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5.861,6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46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A INFRASTRUCTUURFONDS: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6.201,0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Saldo 2018 spoorwegen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-22,2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-3,3</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-25,5</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-41,4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-41,4</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-67,0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6.134,0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6.134,0</w:t>
            </w:r>
          </w:p>
        </w:tc>
      </w:tr>
    </w:tbl>
    <w:p w:rsidRPr="008A79DC" w:rsidR="00412663" w:rsidP="00C41D99" w:rsidRDefault="00412663">
      <w:pPr>
        <w:spacing w:line="240" w:lineRule="exact"/>
        <w:rPr>
          <w:rFonts w:ascii="Verdana" w:hAnsi="Verdana" w:cs="Verdana"/>
          <w:b/>
          <w:bCs/>
          <w:sz w:val="18"/>
          <w:szCs w:val="18"/>
        </w:rPr>
      </w:pPr>
    </w:p>
    <w:p w:rsidRPr="008A79DC" w:rsidR="00581616" w:rsidRDefault="00581616">
      <w:pPr>
        <w:rPr>
          <w:rFonts w:ascii="Verdana" w:hAnsi="Verdana" w:cs="Verdana"/>
          <w:b/>
          <w:bCs/>
          <w:sz w:val="18"/>
          <w:szCs w:val="18"/>
        </w:rPr>
      </w:pPr>
    </w:p>
    <w:p w:rsidRPr="008A79DC" w:rsidR="00581616" w:rsidP="00581616" w:rsidRDefault="00581616">
      <w:pPr>
        <w:rPr>
          <w:rFonts w:ascii="Verdana" w:hAnsi="Verdana"/>
          <w:i/>
          <w:sz w:val="18"/>
          <w:szCs w:val="18"/>
        </w:rPr>
      </w:pPr>
      <w:r w:rsidRPr="008A79DC">
        <w:rPr>
          <w:rFonts w:ascii="Verdana" w:hAnsi="Verdana"/>
          <w:i/>
          <w:sz w:val="18"/>
          <w:szCs w:val="18"/>
        </w:rPr>
        <w:t>Saldo 2018 Hoofdvaarwegennet</w:t>
      </w:r>
    </w:p>
    <w:p w:rsidRPr="008A79DC" w:rsidR="00581616" w:rsidP="00581616" w:rsidRDefault="00581616">
      <w:pPr>
        <w:rPr>
          <w:rFonts w:ascii="Verdana" w:hAnsi="Verdana"/>
          <w:sz w:val="18"/>
          <w:szCs w:val="18"/>
        </w:rPr>
      </w:pPr>
      <w:r w:rsidRPr="008A79DC">
        <w:rPr>
          <w:rFonts w:ascii="Verdana" w:hAnsi="Verdana"/>
          <w:sz w:val="18"/>
          <w:szCs w:val="18"/>
        </w:rPr>
        <w:t xml:space="preserve">Er is </w:t>
      </w:r>
      <w:r w:rsidR="001F38B0">
        <w:rPr>
          <w:rFonts w:ascii="Verdana" w:hAnsi="Verdana"/>
          <w:sz w:val="18"/>
          <w:szCs w:val="18"/>
        </w:rPr>
        <w:t xml:space="preserve">per saldo </w:t>
      </w:r>
      <w:r w:rsidRPr="008A79DC">
        <w:rPr>
          <w:rFonts w:ascii="Verdana" w:hAnsi="Verdana"/>
          <w:sz w:val="18"/>
          <w:szCs w:val="18"/>
        </w:rPr>
        <w:t>minder uitgegeven dan verwacht op het artikel Hoofdvaarwegennet. Dit bedrag bestaat met name uit:</w:t>
      </w:r>
    </w:p>
    <w:p w:rsidRPr="008A79DC" w:rsidR="00581616" w:rsidP="00581616" w:rsidRDefault="00581616">
      <w:pPr>
        <w:pStyle w:val="Lijstalinea"/>
        <w:numPr>
          <w:ilvl w:val="0"/>
          <w:numId w:val="12"/>
        </w:numPr>
        <w:rPr>
          <w:rFonts w:ascii="Verdana" w:hAnsi="Verdana"/>
          <w:sz w:val="18"/>
          <w:szCs w:val="18"/>
        </w:rPr>
      </w:pPr>
      <w:r w:rsidRPr="008A79DC">
        <w:rPr>
          <w:rFonts w:ascii="Verdana" w:hAnsi="Verdana"/>
          <w:sz w:val="18"/>
          <w:szCs w:val="18"/>
        </w:rPr>
        <w:t xml:space="preserve">Lagere uitgaven aan beheer en onderhoud (-34,2 mln.) door vertraging in vervanging- en renovatieprojecten Renovatie Waalbrug, Damwanden Eemskanaal, Bediening op Afstand Friesland en Modernisering Objecten Bediening Zeeland. </w:t>
      </w:r>
    </w:p>
    <w:p w:rsidR="001F38B0" w:rsidP="001F38B0" w:rsidRDefault="00581616">
      <w:pPr>
        <w:pStyle w:val="Lijstalinea"/>
        <w:numPr>
          <w:ilvl w:val="0"/>
          <w:numId w:val="12"/>
        </w:numPr>
        <w:rPr>
          <w:rFonts w:ascii="Verdana" w:hAnsi="Verdana"/>
          <w:sz w:val="18"/>
          <w:szCs w:val="18"/>
        </w:rPr>
      </w:pPr>
      <w:r w:rsidRPr="008A79DC">
        <w:rPr>
          <w:rFonts w:ascii="Verdana" w:hAnsi="Verdana"/>
          <w:sz w:val="18"/>
          <w:szCs w:val="18"/>
        </w:rPr>
        <w:t>Lagere uitgaven aan aanleg (-10,9 mln.) door vertraging bij onder andere het project Nieuwe Sluis Terneuzen als gevolg van onverwachte verontreiniging en het project Verbreding Julianakanaal als g</w:t>
      </w:r>
      <w:r w:rsidR="001F38B0">
        <w:rPr>
          <w:rFonts w:ascii="Verdana" w:hAnsi="Verdana"/>
          <w:sz w:val="18"/>
          <w:szCs w:val="18"/>
        </w:rPr>
        <w:t>evolg van contractproblematiek.</w:t>
      </w:r>
    </w:p>
    <w:p w:rsidRPr="001F38B0" w:rsidR="001F38B0" w:rsidP="001F38B0" w:rsidRDefault="001F38B0">
      <w:pPr>
        <w:pStyle w:val="Lijstalinea"/>
        <w:numPr>
          <w:ilvl w:val="0"/>
          <w:numId w:val="12"/>
        </w:numPr>
        <w:rPr>
          <w:rFonts w:ascii="Verdana" w:hAnsi="Verdana"/>
          <w:sz w:val="18"/>
          <w:szCs w:val="18"/>
        </w:rPr>
      </w:pPr>
      <w:r w:rsidRPr="001F38B0">
        <w:rPr>
          <w:rFonts w:ascii="Verdana" w:hAnsi="Verdana"/>
          <w:sz w:val="18"/>
          <w:szCs w:val="18"/>
        </w:rPr>
        <w:t>Daarnaast is er sprake van een lichte overschrijding op DBFM-contracten (0,7 mln.)</w:t>
      </w:r>
      <w:r>
        <w:rPr>
          <w:rFonts w:ascii="Verdana" w:hAnsi="Verdana"/>
          <w:sz w:val="18"/>
          <w:szCs w:val="18"/>
        </w:rPr>
        <w:t>.</w:t>
      </w:r>
    </w:p>
    <w:p w:rsidRPr="008A79DC" w:rsidR="00581616" w:rsidP="00581616" w:rsidRDefault="00581616">
      <w:pPr>
        <w:rPr>
          <w:rFonts w:ascii="Verdana" w:hAnsi="Verdana"/>
          <w:sz w:val="18"/>
          <w:szCs w:val="18"/>
        </w:rPr>
      </w:pPr>
    </w:p>
    <w:p w:rsidRPr="008A79DC" w:rsidR="00581616" w:rsidP="00581616" w:rsidRDefault="00581616">
      <w:pPr>
        <w:rPr>
          <w:rFonts w:ascii="Verdana" w:hAnsi="Verdana"/>
          <w:i/>
          <w:sz w:val="18"/>
          <w:szCs w:val="18"/>
        </w:rPr>
      </w:pPr>
      <w:r w:rsidRPr="008A79DC">
        <w:rPr>
          <w:rFonts w:ascii="Verdana" w:hAnsi="Verdana"/>
          <w:i/>
          <w:sz w:val="18"/>
          <w:szCs w:val="18"/>
        </w:rPr>
        <w:t>Saldo 2018 Hoofdwegennet</w:t>
      </w:r>
    </w:p>
    <w:p w:rsidRPr="008A79DC" w:rsidR="00581616" w:rsidP="00581616" w:rsidRDefault="00581616">
      <w:pPr>
        <w:rPr>
          <w:rFonts w:ascii="Verdana" w:hAnsi="Verdana"/>
          <w:sz w:val="18"/>
          <w:szCs w:val="18"/>
        </w:rPr>
      </w:pPr>
      <w:r w:rsidRPr="008A79DC">
        <w:rPr>
          <w:rFonts w:ascii="Verdana" w:hAnsi="Verdana"/>
          <w:sz w:val="18"/>
          <w:szCs w:val="18"/>
        </w:rPr>
        <w:lastRenderedPageBreak/>
        <w:t xml:space="preserve">Er is </w:t>
      </w:r>
      <w:r w:rsidR="001F38B0">
        <w:rPr>
          <w:rFonts w:ascii="Verdana" w:hAnsi="Verdana"/>
          <w:sz w:val="18"/>
          <w:szCs w:val="18"/>
        </w:rPr>
        <w:t xml:space="preserve">per saldo </w:t>
      </w:r>
      <w:r w:rsidRPr="008A79DC">
        <w:rPr>
          <w:rFonts w:ascii="Verdana" w:hAnsi="Verdana"/>
          <w:sz w:val="18"/>
          <w:szCs w:val="18"/>
        </w:rPr>
        <w:t>minder uitgegeven dan verwacht op het artikel Hoofdwegennet. Dit bedrag bestaat uit drie componenten:</w:t>
      </w:r>
    </w:p>
    <w:p w:rsidRPr="008A79DC" w:rsidR="00581616" w:rsidP="00581616" w:rsidRDefault="00581616">
      <w:pPr>
        <w:pStyle w:val="Lijstalinea"/>
        <w:numPr>
          <w:ilvl w:val="0"/>
          <w:numId w:val="13"/>
        </w:numPr>
        <w:rPr>
          <w:rFonts w:ascii="Verdana" w:hAnsi="Verdana"/>
          <w:sz w:val="18"/>
          <w:szCs w:val="18"/>
        </w:rPr>
      </w:pPr>
      <w:r w:rsidRPr="008A79DC">
        <w:rPr>
          <w:rFonts w:ascii="Verdana" w:hAnsi="Verdana"/>
          <w:sz w:val="18"/>
          <w:szCs w:val="18"/>
        </w:rPr>
        <w:t>Op beheer en onderhoud (+0,3 mln.) is meer uitgegeven dan verwacht op het programma Groot Variabel Onderhoud.</w:t>
      </w:r>
    </w:p>
    <w:p w:rsidRPr="008A79DC" w:rsidR="00581616" w:rsidP="00581616" w:rsidRDefault="00581616">
      <w:pPr>
        <w:pStyle w:val="Lijstalinea"/>
        <w:numPr>
          <w:ilvl w:val="0"/>
          <w:numId w:val="13"/>
        </w:numPr>
        <w:rPr>
          <w:rFonts w:ascii="Verdana" w:hAnsi="Verdana"/>
          <w:sz w:val="18"/>
          <w:szCs w:val="18"/>
        </w:rPr>
      </w:pPr>
      <w:r w:rsidRPr="008A79DC">
        <w:rPr>
          <w:rFonts w:ascii="Verdana" w:hAnsi="Verdana"/>
          <w:sz w:val="18"/>
          <w:szCs w:val="18"/>
        </w:rPr>
        <w:t xml:space="preserve">Er is minder uitgegeven aan aanleg (-101,8 mln.) dan verwacht. </w:t>
      </w:r>
    </w:p>
    <w:p w:rsidRPr="008A79DC" w:rsidR="00581616" w:rsidP="00581616" w:rsidRDefault="00581616">
      <w:pPr>
        <w:pStyle w:val="Lijstalinea"/>
        <w:numPr>
          <w:ilvl w:val="1"/>
          <w:numId w:val="13"/>
        </w:numPr>
        <w:rPr>
          <w:rFonts w:ascii="Verdana" w:hAnsi="Verdana"/>
          <w:sz w:val="18"/>
          <w:szCs w:val="18"/>
        </w:rPr>
      </w:pPr>
      <w:r w:rsidRPr="008A79DC">
        <w:rPr>
          <w:rFonts w:ascii="Verdana" w:hAnsi="Verdana"/>
          <w:sz w:val="18"/>
          <w:szCs w:val="18"/>
        </w:rPr>
        <w:t>Dit omvat lagere uitgaven aan planuitwerking en verkenning (-77,4 mln.) met name door overschotten bij het programma Beter Benutten (-33 mln.) en vertraging op het project Eindhoven Airport (-25 mln.).</w:t>
      </w:r>
    </w:p>
    <w:p w:rsidR="001F38B0" w:rsidP="001F38B0" w:rsidRDefault="00581616">
      <w:pPr>
        <w:pStyle w:val="Lijstalinea"/>
        <w:numPr>
          <w:ilvl w:val="1"/>
          <w:numId w:val="13"/>
        </w:numPr>
        <w:rPr>
          <w:rFonts w:ascii="Verdana" w:hAnsi="Verdana"/>
          <w:sz w:val="18"/>
          <w:szCs w:val="18"/>
        </w:rPr>
      </w:pPr>
      <w:r w:rsidRPr="001F38B0">
        <w:rPr>
          <w:rFonts w:ascii="Verdana" w:hAnsi="Verdana"/>
          <w:sz w:val="18"/>
          <w:szCs w:val="18"/>
        </w:rPr>
        <w:t xml:space="preserve">Tevens zijn er per saldo lagere uitgaven aan realisatie (-24,4 mln.) dit zit in veel verschillende vertragingen onder andere bij Schiphol-Amsterdam-Almere waar minder risico’s optraden, het Programma Aansluiting waar vertraging ontstaat door afstemming en A7 Zuidelijke Ringweg Groningen in verband met een capaciteitsprobleem bij de aannemer. </w:t>
      </w:r>
    </w:p>
    <w:p w:rsidRPr="001F38B0" w:rsidR="00581616" w:rsidP="001F38B0" w:rsidRDefault="001F38B0">
      <w:pPr>
        <w:pStyle w:val="Lijstalinea"/>
        <w:numPr>
          <w:ilvl w:val="0"/>
          <w:numId w:val="13"/>
        </w:numPr>
        <w:rPr>
          <w:rFonts w:ascii="Verdana" w:hAnsi="Verdana"/>
          <w:sz w:val="18"/>
          <w:szCs w:val="18"/>
        </w:rPr>
      </w:pPr>
      <w:r w:rsidRPr="001F38B0">
        <w:rPr>
          <w:rFonts w:ascii="Verdana" w:hAnsi="Verdana"/>
          <w:sz w:val="18"/>
          <w:szCs w:val="18"/>
        </w:rPr>
        <w:t xml:space="preserve">Er wordt minder uitgegeven (-65,6 mln.) aan </w:t>
      </w:r>
      <w:r>
        <w:rPr>
          <w:rFonts w:ascii="Verdana" w:hAnsi="Verdana"/>
          <w:sz w:val="18"/>
          <w:szCs w:val="18"/>
        </w:rPr>
        <w:t>g</w:t>
      </w:r>
      <w:r w:rsidRPr="001F38B0">
        <w:rPr>
          <w:rFonts w:ascii="Verdana" w:hAnsi="Verdana"/>
          <w:sz w:val="18"/>
          <w:szCs w:val="18"/>
        </w:rPr>
        <w:t xml:space="preserve">eintegreerde contractvormen doordat </w:t>
      </w:r>
      <w:r>
        <w:rPr>
          <w:rFonts w:ascii="Verdana" w:hAnsi="Verdana"/>
          <w:sz w:val="18"/>
          <w:szCs w:val="18"/>
        </w:rPr>
        <w:t>het</w:t>
      </w:r>
      <w:r w:rsidRPr="001F38B0">
        <w:rPr>
          <w:rFonts w:ascii="Verdana" w:hAnsi="Verdana"/>
          <w:sz w:val="18"/>
          <w:szCs w:val="18"/>
        </w:rPr>
        <w:t xml:space="preserve"> afsluiten van een contract vertraagd is.</w:t>
      </w:r>
    </w:p>
    <w:p w:rsidRPr="008A79DC" w:rsidR="00581616" w:rsidP="00581616" w:rsidRDefault="00581616">
      <w:pPr>
        <w:rPr>
          <w:rFonts w:ascii="Verdana" w:hAnsi="Verdana"/>
          <w:sz w:val="18"/>
          <w:szCs w:val="18"/>
        </w:rPr>
      </w:pPr>
    </w:p>
    <w:p w:rsidRPr="008A79DC" w:rsidR="00581616" w:rsidP="00581616" w:rsidRDefault="00581616">
      <w:pPr>
        <w:rPr>
          <w:rFonts w:ascii="Verdana" w:hAnsi="Verdana"/>
          <w:i/>
          <w:sz w:val="18"/>
          <w:szCs w:val="18"/>
        </w:rPr>
      </w:pPr>
      <w:r w:rsidRPr="008A79DC">
        <w:rPr>
          <w:rFonts w:ascii="Verdana" w:hAnsi="Verdana"/>
          <w:i/>
          <w:sz w:val="18"/>
          <w:szCs w:val="18"/>
        </w:rPr>
        <w:t>Saldo 2018 Megaprojecten verkeer en vervoer</w:t>
      </w:r>
    </w:p>
    <w:p w:rsidRPr="008A79DC" w:rsidR="00581616" w:rsidP="00581616" w:rsidRDefault="00581616">
      <w:pPr>
        <w:rPr>
          <w:rFonts w:ascii="Verdana" w:hAnsi="Verdana"/>
          <w:sz w:val="18"/>
          <w:szCs w:val="18"/>
        </w:rPr>
      </w:pPr>
      <w:r w:rsidRPr="008A79DC">
        <w:rPr>
          <w:rFonts w:ascii="Verdana" w:hAnsi="Verdana"/>
          <w:sz w:val="18"/>
          <w:szCs w:val="18"/>
        </w:rPr>
        <w:t xml:space="preserve">Er is minder uitgegeven dan verwacht op het artikel Megaprojecten verkeer en vervoer. Dit betreft met name het verschuiven van de programmabeslissing naar 2019 voor het project ERTMS (-43,9 mln.), het project ZuidasDok (-33,7 mln.) in verband met een herijkingsfase van het project en verschillende vertragende oorzaken zoals veranderingen in de constructie en verwerving van gronden en panden bij projecten in het Programma Hoogfrequent Spoorvervoer (-21,6 mln.). </w:t>
      </w:r>
    </w:p>
    <w:p w:rsidRPr="008A79DC" w:rsidR="00581616" w:rsidP="00581616" w:rsidRDefault="00581616">
      <w:pPr>
        <w:rPr>
          <w:rFonts w:ascii="Verdana" w:hAnsi="Verdana"/>
          <w:sz w:val="18"/>
          <w:szCs w:val="18"/>
        </w:rPr>
      </w:pPr>
    </w:p>
    <w:p w:rsidRPr="008A79DC" w:rsidR="00581616" w:rsidP="00581616" w:rsidRDefault="00581616">
      <w:pPr>
        <w:rPr>
          <w:rFonts w:ascii="Verdana" w:hAnsi="Verdana"/>
          <w:i/>
          <w:sz w:val="18"/>
          <w:szCs w:val="18"/>
        </w:rPr>
      </w:pPr>
      <w:r w:rsidRPr="008A79DC">
        <w:rPr>
          <w:rFonts w:ascii="Verdana" w:hAnsi="Verdana"/>
          <w:i/>
          <w:sz w:val="18"/>
          <w:szCs w:val="18"/>
        </w:rPr>
        <w:t>Saldo 2018 Regionaal, lokale infrastructuur</w:t>
      </w:r>
    </w:p>
    <w:p w:rsidRPr="008A79DC" w:rsidR="00581616" w:rsidP="00581616" w:rsidRDefault="00581616">
      <w:pPr>
        <w:rPr>
          <w:rFonts w:ascii="Verdana" w:hAnsi="Verdana"/>
          <w:sz w:val="18"/>
          <w:szCs w:val="18"/>
        </w:rPr>
      </w:pPr>
      <w:r w:rsidRPr="008A79DC">
        <w:rPr>
          <w:rFonts w:ascii="Verdana" w:hAnsi="Verdana"/>
          <w:sz w:val="18"/>
          <w:szCs w:val="18"/>
        </w:rPr>
        <w:t xml:space="preserve">Er is minder uitgegeven dan verwacht op het artikel Regionaal, lokale infrastructuur. Dit bedrag ontstaat </w:t>
      </w:r>
      <w:r w:rsidR="001F38B0">
        <w:rPr>
          <w:rFonts w:ascii="Verdana" w:hAnsi="Verdana"/>
          <w:sz w:val="18"/>
          <w:szCs w:val="18"/>
        </w:rPr>
        <w:t xml:space="preserve">hoofdzakelijk </w:t>
      </w:r>
      <w:r w:rsidRPr="008A79DC">
        <w:rPr>
          <w:rFonts w:ascii="Verdana" w:hAnsi="Verdana"/>
          <w:sz w:val="18"/>
          <w:szCs w:val="18"/>
        </w:rPr>
        <w:t xml:space="preserve">door vertraging in de betalingstermijnen door een gewijzigde planning bij project Uithoflijn (-30 mln.) en een andere uitvoeringsstrategie bij de Amstelveenlijn (-25 mln.). </w:t>
      </w:r>
    </w:p>
    <w:p w:rsidRPr="008A79DC" w:rsidR="00581616" w:rsidP="00581616" w:rsidRDefault="00581616">
      <w:pPr>
        <w:rPr>
          <w:rFonts w:ascii="Verdana" w:hAnsi="Verdana"/>
          <w:sz w:val="18"/>
          <w:szCs w:val="18"/>
        </w:rPr>
      </w:pPr>
    </w:p>
    <w:p w:rsidRPr="008A79DC" w:rsidR="00581616" w:rsidP="00581616" w:rsidRDefault="00581616">
      <w:pPr>
        <w:rPr>
          <w:rFonts w:ascii="Verdana" w:hAnsi="Verdana"/>
          <w:i/>
          <w:sz w:val="18"/>
          <w:szCs w:val="18"/>
        </w:rPr>
      </w:pPr>
      <w:r w:rsidRPr="008A79DC">
        <w:rPr>
          <w:rFonts w:ascii="Verdana" w:hAnsi="Verdana"/>
          <w:i/>
          <w:sz w:val="18"/>
          <w:szCs w:val="18"/>
        </w:rPr>
        <w:t>Saldo 2018 Spoorwegen</w:t>
      </w:r>
    </w:p>
    <w:p w:rsidRPr="008A79DC" w:rsidR="00581616" w:rsidP="00581616" w:rsidRDefault="00581616">
      <w:pPr>
        <w:rPr>
          <w:rFonts w:ascii="Verdana" w:hAnsi="Verdana"/>
          <w:sz w:val="18"/>
          <w:szCs w:val="18"/>
        </w:rPr>
      </w:pPr>
      <w:r w:rsidRPr="008A79DC">
        <w:rPr>
          <w:rFonts w:ascii="Verdana" w:hAnsi="Verdana"/>
          <w:sz w:val="18"/>
          <w:szCs w:val="18"/>
        </w:rPr>
        <w:t>Op dit artikel is per saldo sprake van overschrijding. Deze bestaat uit verschillende onderdelen</w:t>
      </w:r>
      <w:r w:rsidR="001F38B0">
        <w:rPr>
          <w:rFonts w:ascii="Verdana" w:hAnsi="Verdana"/>
          <w:sz w:val="18"/>
          <w:szCs w:val="18"/>
        </w:rPr>
        <w:t>:</w:t>
      </w:r>
    </w:p>
    <w:p w:rsidRPr="008A79DC" w:rsidR="00581616" w:rsidP="00581616" w:rsidRDefault="001F38B0">
      <w:pPr>
        <w:pStyle w:val="Lijstalinea"/>
        <w:numPr>
          <w:ilvl w:val="0"/>
          <w:numId w:val="14"/>
        </w:numPr>
        <w:rPr>
          <w:rFonts w:ascii="Verdana" w:hAnsi="Verdana"/>
          <w:sz w:val="18"/>
          <w:szCs w:val="18"/>
        </w:rPr>
      </w:pPr>
      <w:r>
        <w:rPr>
          <w:rFonts w:ascii="Verdana" w:hAnsi="Verdana"/>
          <w:sz w:val="18"/>
          <w:szCs w:val="18"/>
        </w:rPr>
        <w:t>Hogere uitgaven (</w:t>
      </w:r>
      <w:r w:rsidRPr="008A79DC" w:rsidR="00581616">
        <w:rPr>
          <w:rFonts w:ascii="Verdana" w:hAnsi="Verdana"/>
          <w:sz w:val="18"/>
          <w:szCs w:val="18"/>
        </w:rPr>
        <w:t>98 mln.) aan beheer en onderhoud doordat de planning hiervoor versneld is uitgevoerd. De vervangingsinvesteringen zijn naar voren gehaald (zie TK 29 984, nr. 723 van 19 december 2017).</w:t>
      </w:r>
    </w:p>
    <w:p w:rsidRPr="008A79DC" w:rsidR="00581616" w:rsidP="00581616" w:rsidRDefault="00581616">
      <w:pPr>
        <w:pStyle w:val="Lijstalinea"/>
        <w:numPr>
          <w:ilvl w:val="0"/>
          <w:numId w:val="14"/>
        </w:numPr>
        <w:rPr>
          <w:rFonts w:ascii="Verdana" w:hAnsi="Verdana"/>
          <w:sz w:val="18"/>
          <w:szCs w:val="18"/>
        </w:rPr>
      </w:pPr>
      <w:r w:rsidRPr="008A79DC">
        <w:rPr>
          <w:rFonts w:ascii="Verdana" w:hAnsi="Verdana"/>
          <w:sz w:val="18"/>
          <w:szCs w:val="18"/>
        </w:rPr>
        <w:t xml:space="preserve">Er is sprake van per saldo lagere uitgaven op aanleg (-29,3 mln.). </w:t>
      </w:r>
    </w:p>
    <w:p w:rsidRPr="008A79DC" w:rsidR="00581616" w:rsidP="00581616" w:rsidRDefault="00581616">
      <w:pPr>
        <w:pStyle w:val="Lijstalinea"/>
        <w:numPr>
          <w:ilvl w:val="1"/>
          <w:numId w:val="14"/>
        </w:numPr>
        <w:rPr>
          <w:rFonts w:ascii="Verdana" w:hAnsi="Verdana"/>
          <w:sz w:val="18"/>
          <w:szCs w:val="18"/>
        </w:rPr>
      </w:pPr>
      <w:r w:rsidRPr="008A79DC">
        <w:rPr>
          <w:rFonts w:ascii="Verdana" w:hAnsi="Verdana"/>
          <w:sz w:val="18"/>
          <w:szCs w:val="18"/>
        </w:rPr>
        <w:t>Er zijn lagere uitgaven voor het Programma Overwegen (-19 mln.) omdat de gemeente Venlo meer tijd nodig heeft voor de voorbereidende planuitwerking voor de aanleg van de tunnel bij de overweg Vierpaadjes. Daarnaast zijn er lagere uitgaven voor Grensoverschrijdend Spoorvervoer (-9 mln.) en Fietsparkeren bij stations (-6 mln.)</w:t>
      </w:r>
    </w:p>
    <w:p w:rsidRPr="008A79DC" w:rsidR="00581616" w:rsidP="00581616" w:rsidRDefault="00581616">
      <w:pPr>
        <w:pStyle w:val="Lijstalinea"/>
        <w:numPr>
          <w:ilvl w:val="1"/>
          <w:numId w:val="14"/>
        </w:numPr>
        <w:rPr>
          <w:rFonts w:ascii="Verdana" w:hAnsi="Verdana"/>
          <w:sz w:val="18"/>
          <w:szCs w:val="18"/>
        </w:rPr>
      </w:pPr>
      <w:r w:rsidRPr="008A79DC">
        <w:rPr>
          <w:rFonts w:ascii="Verdana" w:hAnsi="Verdana"/>
          <w:sz w:val="18"/>
          <w:szCs w:val="18"/>
        </w:rPr>
        <w:t>Er zijn hogere</w:t>
      </w:r>
      <w:r w:rsidR="001F38B0">
        <w:rPr>
          <w:rFonts w:ascii="Verdana" w:hAnsi="Verdana"/>
          <w:sz w:val="18"/>
          <w:szCs w:val="18"/>
        </w:rPr>
        <w:t xml:space="preserve"> uitgaven op het Traject Oost (</w:t>
      </w:r>
      <w:r w:rsidRPr="008A79DC">
        <w:rPr>
          <w:rFonts w:ascii="Verdana" w:hAnsi="Verdana"/>
          <w:sz w:val="18"/>
          <w:szCs w:val="18"/>
        </w:rPr>
        <w:t>13 mln.) en de optimalisering goe</w:t>
      </w:r>
      <w:r w:rsidR="001F38B0">
        <w:rPr>
          <w:rFonts w:ascii="Verdana" w:hAnsi="Verdana"/>
          <w:sz w:val="18"/>
          <w:szCs w:val="18"/>
        </w:rPr>
        <w:t>derencorridor Rotterdam-Genua (</w:t>
      </w:r>
      <w:r w:rsidRPr="008A79DC">
        <w:rPr>
          <w:rFonts w:ascii="Verdana" w:hAnsi="Verdana"/>
          <w:sz w:val="18"/>
          <w:szCs w:val="18"/>
        </w:rPr>
        <w:t>7 mln.).</w:t>
      </w:r>
    </w:p>
    <w:p w:rsidRPr="008A79DC" w:rsidR="00581616" w:rsidP="00581616" w:rsidRDefault="00581616">
      <w:pPr>
        <w:pStyle w:val="Lijstalinea"/>
        <w:numPr>
          <w:ilvl w:val="0"/>
          <w:numId w:val="14"/>
        </w:numPr>
        <w:rPr>
          <w:rFonts w:ascii="Verdana" w:hAnsi="Verdana"/>
          <w:sz w:val="18"/>
          <w:szCs w:val="18"/>
        </w:rPr>
      </w:pPr>
      <w:r w:rsidRPr="008A79DC">
        <w:rPr>
          <w:rFonts w:ascii="Verdana" w:hAnsi="Verdana"/>
          <w:sz w:val="18"/>
          <w:szCs w:val="18"/>
        </w:rPr>
        <w:t xml:space="preserve">Er is sprake van lagere uitgaven aan </w:t>
      </w:r>
      <w:r w:rsidR="001F38B0">
        <w:rPr>
          <w:rFonts w:ascii="Verdana" w:hAnsi="Verdana"/>
          <w:sz w:val="18"/>
          <w:szCs w:val="18"/>
        </w:rPr>
        <w:t xml:space="preserve">het </w:t>
      </w:r>
      <w:r w:rsidRPr="008A79DC">
        <w:rPr>
          <w:rFonts w:ascii="Verdana" w:hAnsi="Verdana"/>
          <w:sz w:val="18"/>
          <w:szCs w:val="18"/>
        </w:rPr>
        <w:t>project HSL-Zuid (-15,9 mln.)</w:t>
      </w:r>
      <w:r w:rsidR="001F38B0">
        <w:rPr>
          <w:rFonts w:ascii="Verdana" w:hAnsi="Verdana"/>
          <w:sz w:val="18"/>
          <w:szCs w:val="18"/>
        </w:rPr>
        <w:t>. E</w:t>
      </w:r>
      <w:r w:rsidRPr="008A79DC">
        <w:rPr>
          <w:rFonts w:ascii="Verdana" w:hAnsi="Verdana"/>
          <w:sz w:val="18"/>
          <w:szCs w:val="18"/>
        </w:rPr>
        <w:t>en lagere rentestand heeft geleid tot lagere beschikbaarheidsvergoedingen (</w:t>
      </w:r>
      <w:r w:rsidR="001F38B0">
        <w:rPr>
          <w:rFonts w:ascii="Verdana" w:hAnsi="Verdana"/>
          <w:sz w:val="18"/>
          <w:szCs w:val="18"/>
        </w:rPr>
        <w:t>z</w:t>
      </w:r>
      <w:r w:rsidRPr="008A79DC">
        <w:rPr>
          <w:rFonts w:ascii="Verdana" w:hAnsi="Verdana"/>
          <w:sz w:val="18"/>
          <w:szCs w:val="18"/>
        </w:rPr>
        <w:t>ie TK 22 026, nr. 498).</w:t>
      </w:r>
    </w:p>
    <w:p w:rsidRPr="008A79DC" w:rsidR="00581616" w:rsidP="00581616" w:rsidRDefault="00581616">
      <w:pPr>
        <w:rPr>
          <w:rFonts w:ascii="Verdana" w:hAnsi="Verdana"/>
          <w:sz w:val="18"/>
          <w:szCs w:val="18"/>
        </w:rPr>
      </w:pPr>
    </w:p>
    <w:p w:rsidRPr="008A79DC" w:rsidR="00581616" w:rsidP="00581616" w:rsidRDefault="00581616">
      <w:pPr>
        <w:rPr>
          <w:rFonts w:ascii="Verdana" w:hAnsi="Verdana"/>
          <w:i/>
          <w:sz w:val="18"/>
          <w:szCs w:val="18"/>
        </w:rPr>
      </w:pPr>
      <w:r w:rsidRPr="008A79DC">
        <w:rPr>
          <w:rFonts w:ascii="Verdana" w:hAnsi="Verdana"/>
          <w:i/>
          <w:sz w:val="18"/>
          <w:szCs w:val="18"/>
        </w:rPr>
        <w:t>Saldo 2018 Verkenningen, reserveringen en investeringsruimte</w:t>
      </w:r>
    </w:p>
    <w:p w:rsidRPr="008A79DC" w:rsidR="00581616" w:rsidP="00581616" w:rsidRDefault="00581616">
      <w:pPr>
        <w:rPr>
          <w:rFonts w:ascii="Verdana" w:hAnsi="Verdana"/>
          <w:sz w:val="18"/>
          <w:szCs w:val="18"/>
        </w:rPr>
      </w:pPr>
      <w:r w:rsidRPr="008A79DC">
        <w:rPr>
          <w:rFonts w:ascii="Verdana" w:hAnsi="Verdana"/>
          <w:sz w:val="18"/>
          <w:szCs w:val="18"/>
        </w:rPr>
        <w:t xml:space="preserve">Op dit artikel is per saldo sprake van overschrijding en deze bestaat </w:t>
      </w:r>
      <w:r w:rsidR="001F38B0">
        <w:rPr>
          <w:rFonts w:ascii="Verdana" w:hAnsi="Verdana"/>
          <w:sz w:val="18"/>
          <w:szCs w:val="18"/>
        </w:rPr>
        <w:t xml:space="preserve">voornamelijk </w:t>
      </w:r>
      <w:r w:rsidRPr="008A79DC">
        <w:rPr>
          <w:rFonts w:ascii="Verdana" w:hAnsi="Verdana"/>
          <w:sz w:val="18"/>
          <w:szCs w:val="18"/>
        </w:rPr>
        <w:t>uit de volgende onderdelen:</w:t>
      </w:r>
    </w:p>
    <w:p w:rsidRPr="008A79DC" w:rsidR="00581616" w:rsidP="00581616" w:rsidRDefault="00581616">
      <w:pPr>
        <w:pStyle w:val="Lijstalinea"/>
        <w:numPr>
          <w:ilvl w:val="0"/>
          <w:numId w:val="15"/>
        </w:numPr>
        <w:rPr>
          <w:rFonts w:ascii="Verdana" w:hAnsi="Verdana"/>
          <w:sz w:val="18"/>
          <w:szCs w:val="18"/>
        </w:rPr>
      </w:pPr>
      <w:r w:rsidRPr="008A79DC">
        <w:rPr>
          <w:rFonts w:ascii="Verdana" w:hAnsi="Verdana"/>
          <w:sz w:val="18"/>
          <w:szCs w:val="18"/>
        </w:rPr>
        <w:t xml:space="preserve">Hogere uitgaven </w:t>
      </w:r>
      <w:r w:rsidR="001F38B0">
        <w:rPr>
          <w:rFonts w:ascii="Verdana" w:hAnsi="Verdana"/>
          <w:sz w:val="18"/>
          <w:szCs w:val="18"/>
        </w:rPr>
        <w:t xml:space="preserve">die </w:t>
      </w:r>
      <w:r w:rsidRPr="008A79DC">
        <w:rPr>
          <w:rFonts w:ascii="Verdana" w:hAnsi="Verdana"/>
          <w:sz w:val="18"/>
          <w:szCs w:val="18"/>
        </w:rPr>
        <w:t xml:space="preserve">met name </w:t>
      </w:r>
      <w:r w:rsidR="001F38B0">
        <w:rPr>
          <w:rFonts w:ascii="Verdana" w:hAnsi="Verdana"/>
          <w:sz w:val="18"/>
          <w:szCs w:val="18"/>
        </w:rPr>
        <w:t xml:space="preserve">worden </w:t>
      </w:r>
      <w:r w:rsidRPr="008A79DC">
        <w:rPr>
          <w:rFonts w:ascii="Verdana" w:hAnsi="Verdana"/>
          <w:sz w:val="18"/>
          <w:szCs w:val="18"/>
        </w:rPr>
        <w:t xml:space="preserve">veroorzaakt door aanvullende dekking vanuit de investeringsruimte van Hoofdwegennet en Hoofdvaarwegennet voor de service level agreement (SLA) met Rijkswaterstaat (48 mln.). Een voorbeeld is </w:t>
      </w:r>
      <w:r w:rsidR="001F38B0">
        <w:rPr>
          <w:rFonts w:ascii="Verdana" w:hAnsi="Verdana"/>
          <w:sz w:val="18"/>
          <w:szCs w:val="18"/>
        </w:rPr>
        <w:t>de tegenvaller op schadevaren (</w:t>
      </w:r>
      <w:r w:rsidRPr="008A79DC">
        <w:rPr>
          <w:rFonts w:ascii="Verdana" w:hAnsi="Verdana"/>
          <w:sz w:val="18"/>
          <w:szCs w:val="18"/>
        </w:rPr>
        <w:t xml:space="preserve">11,1 mln). Schadegevallen op de vaarwegen worden door RWS hersteld en daarvoor worden kosten gemaakt die niet altijd op de veroorzaker verhaald kunnen worden. </w:t>
      </w:r>
    </w:p>
    <w:p w:rsidRPr="008A79DC" w:rsidR="00581616" w:rsidP="00581616" w:rsidRDefault="00581616">
      <w:pPr>
        <w:pStyle w:val="Lijstalinea"/>
        <w:numPr>
          <w:ilvl w:val="0"/>
          <w:numId w:val="15"/>
        </w:numPr>
        <w:rPr>
          <w:rFonts w:ascii="Verdana" w:hAnsi="Verdana"/>
          <w:sz w:val="18"/>
          <w:szCs w:val="18"/>
        </w:rPr>
      </w:pPr>
      <w:r w:rsidRPr="008A79DC">
        <w:rPr>
          <w:rFonts w:ascii="Verdana" w:hAnsi="Verdana"/>
          <w:sz w:val="18"/>
          <w:szCs w:val="18"/>
        </w:rPr>
        <w:t>Lagere uitgaven op de Korte termijn aanpak files (</w:t>
      </w:r>
      <w:r w:rsidR="001F38B0">
        <w:rPr>
          <w:rFonts w:ascii="Verdana" w:hAnsi="Verdana"/>
          <w:sz w:val="18"/>
          <w:szCs w:val="18"/>
        </w:rPr>
        <w:t>-</w:t>
      </w:r>
      <w:r w:rsidRPr="008A79DC">
        <w:rPr>
          <w:rFonts w:ascii="Verdana" w:hAnsi="Verdana"/>
          <w:sz w:val="18"/>
          <w:szCs w:val="18"/>
        </w:rPr>
        <w:t>8 mln.), beheer en onderhoud op Caribisch Nederland (</w:t>
      </w:r>
      <w:r w:rsidR="001F38B0">
        <w:rPr>
          <w:rFonts w:ascii="Verdana" w:hAnsi="Verdana"/>
          <w:sz w:val="18"/>
          <w:szCs w:val="18"/>
        </w:rPr>
        <w:t>-</w:t>
      </w:r>
      <w:r w:rsidRPr="008A79DC">
        <w:rPr>
          <w:rFonts w:ascii="Verdana" w:hAnsi="Verdana"/>
          <w:sz w:val="18"/>
          <w:szCs w:val="18"/>
        </w:rPr>
        <w:t>3 mln.) en het project A2 Deil-Den Bosch (</w:t>
      </w:r>
      <w:r w:rsidR="001F38B0">
        <w:rPr>
          <w:rFonts w:ascii="Verdana" w:hAnsi="Verdana"/>
          <w:sz w:val="18"/>
          <w:szCs w:val="18"/>
        </w:rPr>
        <w:t>-</w:t>
      </w:r>
      <w:r w:rsidRPr="008A79DC">
        <w:rPr>
          <w:rFonts w:ascii="Verdana" w:hAnsi="Verdana"/>
          <w:sz w:val="18"/>
          <w:szCs w:val="18"/>
        </w:rPr>
        <w:t>2 mln.).</w:t>
      </w:r>
    </w:p>
    <w:p w:rsidRPr="008A79DC" w:rsidR="00581616" w:rsidP="00581616" w:rsidRDefault="00581616">
      <w:pPr>
        <w:rPr>
          <w:rFonts w:ascii="Verdana" w:hAnsi="Verdana"/>
          <w:sz w:val="18"/>
          <w:szCs w:val="18"/>
        </w:rPr>
      </w:pPr>
    </w:p>
    <w:p w:rsidRPr="008A79DC" w:rsidR="00581616" w:rsidP="00581616" w:rsidRDefault="00581616">
      <w:pPr>
        <w:rPr>
          <w:rFonts w:ascii="Verdana" w:hAnsi="Verdana"/>
          <w:i/>
          <w:sz w:val="18"/>
          <w:szCs w:val="18"/>
        </w:rPr>
      </w:pPr>
      <w:r w:rsidRPr="008A79DC">
        <w:rPr>
          <w:rFonts w:ascii="Verdana" w:hAnsi="Verdana"/>
          <w:i/>
          <w:sz w:val="18"/>
          <w:szCs w:val="18"/>
        </w:rPr>
        <w:t>Diversen – beleidsmatige mutaties</w:t>
      </w:r>
    </w:p>
    <w:p w:rsidRPr="008A79DC" w:rsidR="00581616" w:rsidP="00581616" w:rsidRDefault="00581616">
      <w:pPr>
        <w:rPr>
          <w:rFonts w:ascii="Verdana" w:hAnsi="Verdana"/>
          <w:sz w:val="18"/>
          <w:szCs w:val="18"/>
        </w:rPr>
      </w:pPr>
      <w:r w:rsidRPr="008A79DC">
        <w:rPr>
          <w:rFonts w:ascii="Verdana" w:hAnsi="Verdana"/>
          <w:sz w:val="18"/>
          <w:szCs w:val="18"/>
        </w:rPr>
        <w:t>De</w:t>
      </w:r>
      <w:r w:rsidR="001F38B0">
        <w:rPr>
          <w:rFonts w:ascii="Verdana" w:hAnsi="Verdana"/>
          <w:sz w:val="18"/>
          <w:szCs w:val="18"/>
        </w:rPr>
        <w:t xml:space="preserve"> onderuitputting op de</w:t>
      </w:r>
      <w:r w:rsidRPr="008A79DC">
        <w:rPr>
          <w:rFonts w:ascii="Verdana" w:hAnsi="Verdana"/>
          <w:sz w:val="18"/>
          <w:szCs w:val="18"/>
        </w:rPr>
        <w:t xml:space="preserve">ze post bestaat voornamelijk uit het eigen vermogen van Rijkswaterstaat dat bij Voorjaarsnota is toegevoegd aan het Infrastructuurfonds </w:t>
      </w:r>
      <w:r w:rsidR="001F38B0">
        <w:rPr>
          <w:rFonts w:ascii="Verdana" w:hAnsi="Verdana"/>
          <w:sz w:val="18"/>
          <w:szCs w:val="18"/>
        </w:rPr>
        <w:t>maar</w:t>
      </w:r>
      <w:r w:rsidRPr="008A79DC">
        <w:rPr>
          <w:rFonts w:ascii="Verdana" w:hAnsi="Verdana"/>
          <w:sz w:val="18"/>
          <w:szCs w:val="18"/>
        </w:rPr>
        <w:t xml:space="preserve"> niet is uitgegeven in 2018 (</w:t>
      </w:r>
      <w:r w:rsidR="001F38B0">
        <w:rPr>
          <w:rFonts w:ascii="Verdana" w:hAnsi="Verdana"/>
          <w:sz w:val="18"/>
          <w:szCs w:val="18"/>
        </w:rPr>
        <w:t>-12,4 mln.).</w:t>
      </w:r>
    </w:p>
    <w:p w:rsidRPr="008A79DC" w:rsidR="00581616" w:rsidP="00581616" w:rsidRDefault="00581616">
      <w:pPr>
        <w:rPr>
          <w:rFonts w:ascii="Verdana" w:hAnsi="Verdana"/>
          <w:sz w:val="18"/>
          <w:szCs w:val="18"/>
        </w:rPr>
      </w:pPr>
    </w:p>
    <w:p w:rsidRPr="008A79DC" w:rsidR="00581616" w:rsidP="00581616" w:rsidRDefault="00581616">
      <w:pPr>
        <w:rPr>
          <w:rFonts w:ascii="Verdana" w:hAnsi="Verdana"/>
          <w:i/>
          <w:sz w:val="18"/>
          <w:szCs w:val="18"/>
        </w:rPr>
      </w:pPr>
      <w:r w:rsidRPr="008A79DC">
        <w:rPr>
          <w:rFonts w:ascii="Verdana" w:hAnsi="Verdana"/>
          <w:i/>
          <w:sz w:val="18"/>
          <w:szCs w:val="18"/>
        </w:rPr>
        <w:t>Saldo 2018 Spoorwegen – niet-belastingontvangsten</w:t>
      </w:r>
    </w:p>
    <w:p w:rsidRPr="008A79DC" w:rsidR="00581616" w:rsidP="00581616" w:rsidRDefault="00581616">
      <w:pPr>
        <w:rPr>
          <w:rFonts w:ascii="Verdana" w:hAnsi="Verdana"/>
          <w:sz w:val="18"/>
          <w:szCs w:val="18"/>
        </w:rPr>
      </w:pPr>
      <w:r w:rsidRPr="008A79DC">
        <w:rPr>
          <w:rFonts w:ascii="Verdana" w:hAnsi="Verdana"/>
          <w:sz w:val="18"/>
          <w:szCs w:val="18"/>
        </w:rPr>
        <w:t>De per saldo lagere ontvangsten worden met name veroorzaakt doordat een deel van de concessievergoeding voor de HSL-Zuid (</w:t>
      </w:r>
      <w:r w:rsidR="001F38B0">
        <w:rPr>
          <w:rFonts w:ascii="Verdana" w:hAnsi="Verdana"/>
          <w:sz w:val="18"/>
          <w:szCs w:val="18"/>
        </w:rPr>
        <w:t>-</w:t>
      </w:r>
      <w:r w:rsidRPr="008A79DC">
        <w:rPr>
          <w:rFonts w:ascii="Verdana" w:hAnsi="Verdana"/>
          <w:sz w:val="18"/>
          <w:szCs w:val="18"/>
        </w:rPr>
        <w:t>22,3 mln.) later plaatsvindt.</w:t>
      </w:r>
    </w:p>
    <w:p w:rsidR="00581616" w:rsidP="00581616" w:rsidRDefault="00581616">
      <w:pPr>
        <w:rPr>
          <w:rFonts w:ascii="Verdana" w:hAnsi="Verdana"/>
          <w:sz w:val="18"/>
          <w:szCs w:val="18"/>
        </w:rPr>
      </w:pPr>
    </w:p>
    <w:p w:rsidRPr="008A79DC" w:rsidR="001F38B0" w:rsidP="00581616" w:rsidRDefault="001F38B0">
      <w:pPr>
        <w:rPr>
          <w:rFonts w:ascii="Verdana" w:hAnsi="Verdana"/>
          <w:sz w:val="18"/>
          <w:szCs w:val="18"/>
        </w:rPr>
      </w:pPr>
    </w:p>
    <w:p w:rsidRPr="008A79DC" w:rsidR="00581616" w:rsidP="00581616" w:rsidRDefault="00581616">
      <w:pPr>
        <w:rPr>
          <w:rFonts w:ascii="Verdana" w:hAnsi="Verdana"/>
          <w:i/>
          <w:sz w:val="18"/>
          <w:szCs w:val="18"/>
        </w:rPr>
      </w:pPr>
      <w:r w:rsidRPr="008A79DC">
        <w:rPr>
          <w:rFonts w:ascii="Verdana" w:hAnsi="Verdana"/>
          <w:i/>
          <w:sz w:val="18"/>
          <w:szCs w:val="18"/>
        </w:rPr>
        <w:t>Diversen - technische mutaties, uitgaven en niet-belastingontvangsten</w:t>
      </w:r>
    </w:p>
    <w:p w:rsidRPr="008A79DC" w:rsidR="00581616" w:rsidP="00581616" w:rsidRDefault="00581616">
      <w:pPr>
        <w:rPr>
          <w:rFonts w:ascii="Verdana" w:hAnsi="Verdana"/>
          <w:sz w:val="18"/>
          <w:szCs w:val="18"/>
        </w:rPr>
      </w:pPr>
      <w:r w:rsidRPr="008A79DC">
        <w:rPr>
          <w:rFonts w:ascii="Verdana" w:hAnsi="Verdana"/>
          <w:sz w:val="18"/>
          <w:szCs w:val="18"/>
        </w:rPr>
        <w:t>Deze post bestaat uit verschillende elementen;</w:t>
      </w:r>
    </w:p>
    <w:p w:rsidRPr="008A79DC" w:rsidR="00581616" w:rsidP="00581616" w:rsidRDefault="00581616">
      <w:pPr>
        <w:pStyle w:val="Lijstalinea"/>
        <w:numPr>
          <w:ilvl w:val="0"/>
          <w:numId w:val="16"/>
        </w:numPr>
        <w:rPr>
          <w:rFonts w:ascii="Verdana" w:hAnsi="Verdana"/>
          <w:sz w:val="18"/>
          <w:szCs w:val="18"/>
        </w:rPr>
      </w:pPr>
      <w:r w:rsidRPr="008A79DC">
        <w:rPr>
          <w:rFonts w:ascii="Verdana" w:hAnsi="Verdana"/>
          <w:sz w:val="18"/>
          <w:szCs w:val="18"/>
        </w:rPr>
        <w:t>Diverse overboekingen waarmee in totaal 61,9 mln. uit het Infrastructuurfonds via de IenW-begroting (HXII) wordt overgeheveld naar het Provinciefonds, Gemeentefonds en het BTW-compensatiefonds.</w:t>
      </w:r>
    </w:p>
    <w:p w:rsidRPr="008A79DC" w:rsidR="00581616" w:rsidP="00581616" w:rsidRDefault="00581616">
      <w:pPr>
        <w:pStyle w:val="Lijstalinea"/>
        <w:numPr>
          <w:ilvl w:val="0"/>
          <w:numId w:val="16"/>
        </w:numPr>
        <w:rPr>
          <w:rFonts w:ascii="Verdana" w:hAnsi="Verdana"/>
          <w:sz w:val="18"/>
          <w:szCs w:val="18"/>
        </w:rPr>
      </w:pPr>
      <w:r w:rsidRPr="008A79DC">
        <w:rPr>
          <w:rFonts w:ascii="Verdana" w:hAnsi="Verdana"/>
          <w:sz w:val="18"/>
          <w:szCs w:val="18"/>
        </w:rPr>
        <w:t>Bijdragen van 6,4 mln. vanuit andere departementale begrotingen aan het Infrastructuurfonds voor projecten van IenW via de IenW-begroting (HXII).</w:t>
      </w:r>
    </w:p>
    <w:p w:rsidRPr="008A79DC" w:rsidR="00581616" w:rsidP="00581616" w:rsidRDefault="00581616">
      <w:pPr>
        <w:pStyle w:val="Lijstalinea"/>
        <w:numPr>
          <w:ilvl w:val="0"/>
          <w:numId w:val="16"/>
        </w:numPr>
        <w:rPr>
          <w:rFonts w:ascii="Verdana" w:hAnsi="Verdana"/>
          <w:sz w:val="18"/>
          <w:szCs w:val="18"/>
        </w:rPr>
      </w:pPr>
      <w:r w:rsidRPr="008A79DC">
        <w:rPr>
          <w:rFonts w:ascii="Verdana" w:hAnsi="Verdana"/>
          <w:sz w:val="18"/>
          <w:szCs w:val="18"/>
        </w:rPr>
        <w:t>Diverse overhevelingen tussen het Infrastructuurfonds en de IenW-begroting (HXII) waardoor per saldo 5,6 mln. wordt onttrokken aan het Infrastructuurfonds.</w:t>
      </w:r>
    </w:p>
    <w:p w:rsidRPr="008A79DC" w:rsidR="00581616" w:rsidP="00581616" w:rsidRDefault="00581616">
      <w:pPr>
        <w:pStyle w:val="Lijstalinea"/>
        <w:numPr>
          <w:ilvl w:val="0"/>
          <w:numId w:val="16"/>
        </w:numPr>
        <w:rPr>
          <w:rFonts w:ascii="Verdana" w:hAnsi="Verdana"/>
          <w:sz w:val="18"/>
          <w:szCs w:val="18"/>
        </w:rPr>
      </w:pPr>
      <w:r w:rsidRPr="008A79DC">
        <w:rPr>
          <w:rFonts w:ascii="Verdana" w:hAnsi="Verdana"/>
          <w:sz w:val="18"/>
          <w:szCs w:val="18"/>
        </w:rPr>
        <w:t>Diverse desalderingen binnen het Infrastructuurfonds van totaal 19,6 mln. Dit betreft voornamelijk niet verwachte ontvangsten (11,1 mln.) van derden op hoofdwegen en hoofdvaarwegennet en een vertraging op diverse kleine projecten in het programma Topsector Logistiek.</w:t>
      </w: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225"/>
        </w:trPr>
        <w:tc>
          <w:tcPr>
            <w:tcW w:w="5340" w:type="dxa"/>
            <w:tcBorders>
              <w:top w:val="nil"/>
              <w:left w:val="nil"/>
              <w:bottom w:val="nil"/>
              <w:right w:val="nil"/>
            </w:tcBorders>
            <w:shd w:val="clear" w:color="auto" w:fill="auto"/>
            <w:hideMark/>
          </w:tcPr>
          <w:p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Diergezondheidsfonds</w:t>
            </w:r>
          </w:p>
          <w:p w:rsidRPr="008A79DC" w:rsidR="000D667A" w:rsidRDefault="000D667A">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F DIERGEZONDHEIDSFONDS: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53,9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54,9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54,9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46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F DIERGEZONDHEIDSFONDS: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53,9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Niet relevant voor het uitgavenplafond</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51,1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51,1</w:t>
            </w:r>
          </w:p>
        </w:tc>
      </w:tr>
    </w:tbl>
    <w:p w:rsidRPr="008A79DC" w:rsidR="00412663" w:rsidP="00C41D99" w:rsidRDefault="00412663">
      <w:pPr>
        <w:spacing w:line="240" w:lineRule="exact"/>
        <w:rPr>
          <w:rFonts w:ascii="Verdana" w:hAnsi="Verdana" w:cs="Verdana"/>
          <w:b/>
          <w:bCs/>
          <w:sz w:val="18"/>
          <w:szCs w:val="18"/>
        </w:rPr>
      </w:pPr>
    </w:p>
    <w:p w:rsidRPr="008A79DC" w:rsidR="00B233A0" w:rsidRDefault="00B233A0">
      <w:pPr>
        <w:rPr>
          <w:rFonts w:ascii="Verdana" w:hAnsi="Verdana" w:cs="Verdana"/>
          <w:bCs/>
          <w:sz w:val="18"/>
          <w:szCs w:val="18"/>
        </w:rPr>
      </w:pPr>
    </w:p>
    <w:p w:rsidRPr="008A79DC" w:rsidR="00B233A0" w:rsidP="00B233A0" w:rsidRDefault="00B233A0">
      <w:pPr>
        <w:rPr>
          <w:rFonts w:ascii="Verdana" w:hAnsi="Verdana" w:cs="Verdana"/>
          <w:bCs/>
          <w:sz w:val="18"/>
          <w:szCs w:val="18"/>
        </w:rPr>
      </w:pPr>
      <w:r w:rsidRPr="008A79DC">
        <w:rPr>
          <w:rFonts w:ascii="Verdana" w:hAnsi="Verdana" w:cs="Verdana"/>
          <w:bCs/>
          <w:i/>
          <w:sz w:val="18"/>
          <w:szCs w:val="18"/>
        </w:rPr>
        <w:t>Diversen - uitgaven</w:t>
      </w:r>
    </w:p>
    <w:p w:rsidRPr="008A79DC" w:rsidR="00B233A0" w:rsidP="00B233A0" w:rsidRDefault="00B233A0">
      <w:pPr>
        <w:rPr>
          <w:rFonts w:ascii="Verdana" w:hAnsi="Verdana" w:cs="Verdana"/>
          <w:bCs/>
          <w:sz w:val="18"/>
          <w:szCs w:val="18"/>
        </w:rPr>
      </w:pPr>
      <w:r w:rsidRPr="008A79DC">
        <w:rPr>
          <w:rFonts w:ascii="Verdana" w:hAnsi="Verdana" w:cs="Verdana"/>
          <w:bCs/>
          <w:sz w:val="18"/>
          <w:szCs w:val="18"/>
        </w:rPr>
        <w:t>De hogere uitgaven van 1 mln. hangen samen met extra ko</w:t>
      </w:r>
      <w:r w:rsidRPr="008A79DC" w:rsidR="00C80EFD">
        <w:rPr>
          <w:rFonts w:ascii="Verdana" w:hAnsi="Verdana" w:cs="Verdana"/>
          <w:bCs/>
          <w:sz w:val="18"/>
          <w:szCs w:val="18"/>
        </w:rPr>
        <w:t>sten voor Brucella bewaking ad</w:t>
      </w:r>
      <w:r w:rsidRPr="008A79DC">
        <w:rPr>
          <w:rFonts w:ascii="Verdana" w:hAnsi="Verdana" w:cs="Verdana"/>
          <w:bCs/>
          <w:sz w:val="18"/>
          <w:szCs w:val="18"/>
        </w:rPr>
        <w:t xml:space="preserve"> 0,2 mln., voor uitbraken vogelgriep ad 1 mln. en voor pluimveeheffing ad 0,35 mln. Daarnaast is er een verlaging</w:t>
      </w:r>
      <w:r w:rsidRPr="008A79DC" w:rsidR="00C80EFD">
        <w:rPr>
          <w:rFonts w:ascii="Verdana" w:hAnsi="Verdana" w:cs="Verdana"/>
          <w:bCs/>
          <w:sz w:val="18"/>
          <w:szCs w:val="18"/>
        </w:rPr>
        <w:t xml:space="preserve"> van de uitgaven mycoplasma ad 0</w:t>
      </w:r>
      <w:r w:rsidRPr="008A79DC">
        <w:rPr>
          <w:rFonts w:ascii="Verdana" w:hAnsi="Verdana" w:cs="Verdana"/>
          <w:bCs/>
          <w:sz w:val="18"/>
          <w:szCs w:val="18"/>
        </w:rPr>
        <w:t xml:space="preserve">,4 mln. en een verlaging voor </w:t>
      </w:r>
      <w:r w:rsidRPr="008A79DC" w:rsidR="00C80EFD">
        <w:rPr>
          <w:rFonts w:ascii="Verdana" w:hAnsi="Verdana" w:cs="Verdana"/>
          <w:bCs/>
          <w:sz w:val="18"/>
          <w:szCs w:val="18"/>
        </w:rPr>
        <w:t xml:space="preserve">een aantal kleinere posten ad </w:t>
      </w:r>
      <w:r w:rsidRPr="008A79DC">
        <w:rPr>
          <w:rFonts w:ascii="Verdana" w:hAnsi="Verdana" w:cs="Verdana"/>
          <w:bCs/>
          <w:sz w:val="18"/>
          <w:szCs w:val="18"/>
        </w:rPr>
        <w:t xml:space="preserve">0,1 mln.  </w:t>
      </w:r>
    </w:p>
    <w:p w:rsidRPr="008A79DC" w:rsidR="00B233A0" w:rsidP="00B233A0" w:rsidRDefault="00B233A0">
      <w:pPr>
        <w:rPr>
          <w:rFonts w:ascii="Verdana" w:hAnsi="Verdana" w:cs="Verdana"/>
          <w:bCs/>
          <w:sz w:val="18"/>
          <w:szCs w:val="18"/>
        </w:rPr>
      </w:pPr>
    </w:p>
    <w:p w:rsidRPr="008A79DC" w:rsidR="00B233A0" w:rsidP="00B233A0" w:rsidRDefault="00B233A0">
      <w:pPr>
        <w:rPr>
          <w:rFonts w:ascii="Verdana" w:hAnsi="Verdana" w:cs="Verdana"/>
          <w:bCs/>
          <w:i/>
          <w:sz w:val="18"/>
          <w:szCs w:val="18"/>
        </w:rPr>
      </w:pPr>
      <w:r w:rsidRPr="008A79DC">
        <w:rPr>
          <w:rFonts w:ascii="Verdana" w:hAnsi="Verdana" w:cs="Verdana"/>
          <w:bCs/>
          <w:i/>
          <w:sz w:val="18"/>
          <w:szCs w:val="18"/>
        </w:rPr>
        <w:t>Diversen – niet-belastingontvangsten</w:t>
      </w:r>
    </w:p>
    <w:p w:rsidRPr="009D02FE" w:rsidR="00412663" w:rsidP="00B233A0" w:rsidRDefault="00B233A0">
      <w:r w:rsidRPr="008A79DC">
        <w:rPr>
          <w:rFonts w:ascii="Verdana" w:hAnsi="Verdana" w:cs="Verdana"/>
          <w:bCs/>
          <w:sz w:val="18"/>
          <w:szCs w:val="18"/>
        </w:rPr>
        <w:t xml:space="preserve">De lagere ontvangst van </w:t>
      </w:r>
      <w:r w:rsidRPr="008A79DC" w:rsidR="00C80EFD">
        <w:rPr>
          <w:rFonts w:ascii="Verdana" w:hAnsi="Verdana" w:cs="Verdana"/>
          <w:bCs/>
          <w:sz w:val="18"/>
          <w:szCs w:val="18"/>
        </w:rPr>
        <w:t xml:space="preserve">per saldo </w:t>
      </w:r>
      <w:r w:rsidRPr="008A79DC">
        <w:rPr>
          <w:rFonts w:ascii="Verdana" w:hAnsi="Verdana" w:cs="Verdana"/>
          <w:bCs/>
          <w:sz w:val="18"/>
          <w:szCs w:val="18"/>
        </w:rPr>
        <w:t xml:space="preserve">2,8 mln </w:t>
      </w:r>
      <w:r w:rsidR="009D02FE">
        <w:rPr>
          <w:rFonts w:ascii="Verdana" w:hAnsi="Verdana" w:cs="Verdana"/>
          <w:bCs/>
          <w:sz w:val="18"/>
          <w:szCs w:val="18"/>
        </w:rPr>
        <w:t>is de verwerking van de laatste prognose van RVO.</w:t>
      </w:r>
      <w:r w:rsidRPr="008A79DC">
        <w:rPr>
          <w:rFonts w:ascii="Verdana" w:hAnsi="Verdana" w:cs="Verdana"/>
          <w:bCs/>
          <w:sz w:val="18"/>
          <w:szCs w:val="18"/>
        </w:rPr>
        <w:t xml:space="preserve"> </w:t>
      </w:r>
      <w:r w:rsidR="009D02FE">
        <w:rPr>
          <w:rFonts w:ascii="Verdana" w:hAnsi="Verdana" w:cs="Verdana"/>
          <w:bCs/>
          <w:sz w:val="18"/>
          <w:szCs w:val="18"/>
        </w:rPr>
        <w:t>RVO verwacht voor het DGF lagere ontvangsten van de sectoren pluimvee, schaap en geit. Deze prognose wordt bij Najaarsnota verwerkt.</w:t>
      </w:r>
      <w:r w:rsidRPr="008A79DC" w:rsidR="00412663">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225"/>
        </w:trPr>
        <w:tc>
          <w:tcPr>
            <w:tcW w:w="5340" w:type="dxa"/>
            <w:tcBorders>
              <w:top w:val="nil"/>
              <w:left w:val="nil"/>
              <w:bottom w:val="nil"/>
              <w:right w:val="nil"/>
            </w:tcBorders>
            <w:shd w:val="clear" w:color="auto" w:fill="auto"/>
            <w:hideMark/>
          </w:tcPr>
          <w:p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BES-fonds</w:t>
            </w:r>
          </w:p>
          <w:p w:rsidRPr="008A79DC" w:rsidR="000D667A" w:rsidRDefault="000D667A">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H BES-FONDS: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42,0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42,1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42,1</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H BES-FONDS: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bl>
    <w:p w:rsidRPr="008A79DC" w:rsidR="00412663" w:rsidP="00C41D99" w:rsidRDefault="00412663">
      <w:pPr>
        <w:spacing w:line="240" w:lineRule="exact"/>
        <w:rPr>
          <w:rFonts w:ascii="Verdana" w:hAnsi="Verdana" w:cs="Verdana"/>
          <w:b/>
          <w:bCs/>
          <w:sz w:val="18"/>
          <w:szCs w:val="18"/>
        </w:rPr>
      </w:pPr>
    </w:p>
    <w:p w:rsidRPr="008A79DC" w:rsidR="00C80EFD" w:rsidP="00C41D99" w:rsidRDefault="00C80EFD">
      <w:pPr>
        <w:spacing w:line="240" w:lineRule="exact"/>
        <w:rPr>
          <w:rFonts w:ascii="Verdana" w:hAnsi="Verdana" w:cs="Verdana"/>
          <w:b/>
          <w:bCs/>
          <w:sz w:val="18"/>
          <w:szCs w:val="18"/>
        </w:rPr>
      </w:pPr>
    </w:p>
    <w:p w:rsidRPr="008A79DC" w:rsidR="00C80EFD" w:rsidP="00C80EFD" w:rsidRDefault="00C80EFD">
      <w:pPr>
        <w:spacing w:line="240" w:lineRule="exact"/>
        <w:rPr>
          <w:rFonts w:ascii="Verdana" w:hAnsi="Verdana" w:cs="Verdana"/>
          <w:bCs/>
          <w:i/>
          <w:sz w:val="18"/>
          <w:szCs w:val="18"/>
        </w:rPr>
      </w:pPr>
      <w:r w:rsidRPr="008A79DC">
        <w:rPr>
          <w:rFonts w:ascii="Verdana" w:hAnsi="Verdana" w:cs="Verdana"/>
          <w:bCs/>
          <w:i/>
          <w:sz w:val="18"/>
          <w:szCs w:val="18"/>
        </w:rPr>
        <w:t>Diversen - technische mutaties, uitgaven</w:t>
      </w:r>
    </w:p>
    <w:p w:rsidRPr="008A79DC" w:rsidR="00C80EFD" w:rsidP="00C80EFD" w:rsidRDefault="00C80EFD">
      <w:pPr>
        <w:spacing w:line="240" w:lineRule="exact"/>
        <w:rPr>
          <w:rFonts w:ascii="Verdana" w:hAnsi="Verdana" w:cs="Verdana"/>
          <w:bCs/>
          <w:sz w:val="18"/>
          <w:szCs w:val="18"/>
        </w:rPr>
      </w:pPr>
      <w:r w:rsidRPr="008A79DC">
        <w:rPr>
          <w:rFonts w:ascii="Verdana" w:hAnsi="Verdana" w:cs="Verdana"/>
          <w:bCs/>
          <w:sz w:val="18"/>
          <w:szCs w:val="18"/>
        </w:rPr>
        <w:t xml:space="preserve">Met een overboeking vanaf </w:t>
      </w:r>
      <w:r w:rsidR="0091776E">
        <w:rPr>
          <w:rFonts w:ascii="Verdana" w:hAnsi="Verdana" w:cs="Verdana"/>
          <w:bCs/>
          <w:sz w:val="18"/>
          <w:szCs w:val="18"/>
        </w:rPr>
        <w:t xml:space="preserve">begrotingshoofdstuk </w:t>
      </w:r>
      <w:r w:rsidRPr="008A79DC">
        <w:rPr>
          <w:rFonts w:ascii="Verdana" w:hAnsi="Verdana" w:cs="Verdana"/>
          <w:bCs/>
          <w:sz w:val="18"/>
          <w:szCs w:val="18"/>
        </w:rPr>
        <w:t>4 Koninkrijksrelaties wordt een driejaarlijkse reeks die vanaf OCW is overgemaakt in 2014 naar de vrije uitkering alsnog uitgekeerd aan de Openbare Lichamen.</w:t>
      </w:r>
    </w:p>
    <w:p w:rsidRPr="008A79DC" w:rsidR="00412663" w:rsidRDefault="00412663">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412663" w:rsidTr="00412663">
        <w:trPr>
          <w:trHeight w:val="225"/>
        </w:trPr>
        <w:tc>
          <w:tcPr>
            <w:tcW w:w="5340" w:type="dxa"/>
            <w:tcBorders>
              <w:top w:val="nil"/>
              <w:left w:val="nil"/>
              <w:bottom w:val="nil"/>
              <w:right w:val="nil"/>
            </w:tcBorders>
            <w:shd w:val="clear" w:color="auto" w:fill="auto"/>
            <w:hideMark/>
          </w:tcPr>
          <w:p w:rsidR="00412663" w:rsidRDefault="00412663">
            <w:pPr>
              <w:rPr>
                <w:rFonts w:ascii="Verdana" w:hAnsi="Verdana"/>
                <w:b/>
                <w:bCs/>
                <w:color w:val="000000"/>
                <w:sz w:val="18"/>
                <w:szCs w:val="18"/>
              </w:rPr>
            </w:pPr>
            <w:r w:rsidRPr="008A79DC">
              <w:rPr>
                <w:rFonts w:ascii="Verdana" w:hAnsi="Verdana"/>
                <w:b/>
                <w:bCs/>
                <w:color w:val="000000"/>
                <w:sz w:val="18"/>
                <w:szCs w:val="18"/>
              </w:rPr>
              <w:lastRenderedPageBreak/>
              <w:t>Deltafonds</w:t>
            </w:r>
          </w:p>
          <w:p w:rsidRPr="008A79DC" w:rsidR="000D667A" w:rsidRDefault="000D667A">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b/>
                <w:bCs/>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J DELTAFONDS: UITGAVEN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1.102,9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Saldo 2018 investeren in waterkwaliteit</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-15,3</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Saldo 2018 investeren in waterveiligheid</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16,6</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-2,2</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1.106,7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1.106,7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J DELTAFONDS: NIET-BELASTINGONTVANGSTEN</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2018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1.102,9</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412663" w:rsidRDefault="00412663">
            <w:pPr>
              <w:ind w:firstLine="180" w:firstLineChars="100"/>
              <w:rPr>
                <w:rFonts w:ascii="Verdana" w:hAnsi="Verdana"/>
                <w:color w:val="000000"/>
                <w:sz w:val="18"/>
                <w:szCs w:val="18"/>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4,8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3,8</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412663" w:rsidRDefault="00412663">
            <w:pPr>
              <w:rPr>
                <w:rFonts w:ascii="Verdana" w:hAnsi="Verdana"/>
                <w:sz w:val="20"/>
                <w:szCs w:val="20"/>
              </w:rPr>
            </w:pP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1.106,7</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0,0</w:t>
            </w:r>
          </w:p>
        </w:tc>
      </w:tr>
      <w:tr w:rsidRPr="008A79DC" w:rsidR="00412663" w:rsidTr="00412663">
        <w:trPr>
          <w:trHeight w:val="225"/>
        </w:trPr>
        <w:tc>
          <w:tcPr>
            <w:tcW w:w="5340" w:type="dxa"/>
            <w:tcBorders>
              <w:top w:val="nil"/>
              <w:left w:val="nil"/>
              <w:bottom w:val="nil"/>
              <w:right w:val="nil"/>
            </w:tcBorders>
            <w:shd w:val="clear" w:color="auto" w:fill="auto"/>
            <w:hideMark/>
          </w:tcPr>
          <w:p w:rsidRPr="008A79DC" w:rsidR="00412663" w:rsidRDefault="00412663">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412663" w:rsidRDefault="00412663">
            <w:pPr>
              <w:jc w:val="right"/>
              <w:rPr>
                <w:rFonts w:ascii="Verdana" w:hAnsi="Verdana"/>
                <w:color w:val="000000"/>
                <w:sz w:val="18"/>
                <w:szCs w:val="18"/>
              </w:rPr>
            </w:pPr>
            <w:r w:rsidRPr="008A79DC">
              <w:rPr>
                <w:rFonts w:ascii="Verdana" w:hAnsi="Verdana"/>
                <w:color w:val="000000"/>
                <w:sz w:val="18"/>
                <w:szCs w:val="18"/>
              </w:rPr>
              <w:t>1.106,7</w:t>
            </w:r>
          </w:p>
        </w:tc>
      </w:tr>
    </w:tbl>
    <w:p w:rsidRPr="008A79DC" w:rsidR="00412663" w:rsidP="00C41D99" w:rsidRDefault="00412663">
      <w:pPr>
        <w:spacing w:line="240" w:lineRule="exact"/>
        <w:rPr>
          <w:rFonts w:ascii="Verdana" w:hAnsi="Verdana" w:cs="Verdana"/>
          <w:b/>
          <w:bCs/>
          <w:sz w:val="18"/>
          <w:szCs w:val="18"/>
        </w:rPr>
      </w:pPr>
    </w:p>
    <w:p w:rsidRPr="008A79DC" w:rsidR="00C80EFD" w:rsidRDefault="00C80EFD">
      <w:pPr>
        <w:rPr>
          <w:rFonts w:ascii="Verdana" w:hAnsi="Verdana" w:cs="Verdana"/>
          <w:b/>
          <w:bCs/>
          <w:sz w:val="18"/>
          <w:szCs w:val="18"/>
        </w:rPr>
      </w:pPr>
    </w:p>
    <w:p w:rsidRPr="008A79DC" w:rsidR="00C80EFD" w:rsidP="00C80EFD" w:rsidRDefault="00C80EFD">
      <w:pPr>
        <w:spacing w:line="240" w:lineRule="atLeast"/>
        <w:rPr>
          <w:rFonts w:ascii="Verdana" w:hAnsi="Verdana"/>
          <w:i/>
          <w:sz w:val="18"/>
          <w:szCs w:val="18"/>
        </w:rPr>
      </w:pPr>
      <w:r w:rsidRPr="008A79DC">
        <w:rPr>
          <w:rFonts w:ascii="Verdana" w:hAnsi="Verdana"/>
          <w:i/>
          <w:sz w:val="18"/>
          <w:szCs w:val="18"/>
        </w:rPr>
        <w:t>Saldo 2018 Investeren in waterkwaliteit</w:t>
      </w:r>
    </w:p>
    <w:p w:rsidRPr="008A79DC" w:rsidR="00C80EFD" w:rsidP="00C80EFD" w:rsidRDefault="00C80EFD">
      <w:pPr>
        <w:spacing w:line="240" w:lineRule="atLeast"/>
        <w:rPr>
          <w:rFonts w:ascii="Verdana" w:hAnsi="Verdana"/>
          <w:sz w:val="18"/>
          <w:szCs w:val="18"/>
        </w:rPr>
      </w:pPr>
      <w:r w:rsidRPr="008A79DC">
        <w:rPr>
          <w:rFonts w:ascii="Verdana" w:hAnsi="Verdana"/>
          <w:sz w:val="18"/>
          <w:szCs w:val="18"/>
        </w:rPr>
        <w:t>De per saldo lagere uitgaven op artikel 7 Investeren in waterkwaliteit worden met name veroorzaakt door vertraging bij een aantal planstudies, aanbestedingen en realisaties van projecten in de Kaderrichtlijn Water 2</w:t>
      </w:r>
      <w:r w:rsidRPr="008A79DC">
        <w:rPr>
          <w:rFonts w:ascii="Verdana" w:hAnsi="Verdana"/>
          <w:sz w:val="18"/>
          <w:szCs w:val="18"/>
          <w:vertAlign w:val="superscript"/>
        </w:rPr>
        <w:t>e</w:t>
      </w:r>
      <w:r w:rsidRPr="008A79DC">
        <w:rPr>
          <w:rFonts w:ascii="Verdana" w:hAnsi="Verdana"/>
          <w:sz w:val="18"/>
          <w:szCs w:val="18"/>
        </w:rPr>
        <w:t xml:space="preserve"> en 3</w:t>
      </w:r>
      <w:r w:rsidRPr="008A79DC">
        <w:rPr>
          <w:rFonts w:ascii="Verdana" w:hAnsi="Verdana"/>
          <w:sz w:val="18"/>
          <w:szCs w:val="18"/>
          <w:vertAlign w:val="superscript"/>
        </w:rPr>
        <w:t>e</w:t>
      </w:r>
      <w:r w:rsidRPr="008A79DC">
        <w:rPr>
          <w:rFonts w:ascii="Verdana" w:hAnsi="Verdana"/>
          <w:sz w:val="18"/>
          <w:szCs w:val="18"/>
        </w:rPr>
        <w:t xml:space="preserve"> tranche. De vertraging komt voort uit een te optimistische planning voor start aanbesteding en realisatie. De planning is bijgesteld zonder effect op de eindmijlpaal. </w:t>
      </w:r>
    </w:p>
    <w:p w:rsidRPr="008A79DC" w:rsidR="00C80EFD" w:rsidP="00C80EFD" w:rsidRDefault="00C80EFD">
      <w:pPr>
        <w:spacing w:line="240" w:lineRule="atLeast"/>
        <w:rPr>
          <w:rFonts w:ascii="Verdana" w:hAnsi="Verdana"/>
          <w:sz w:val="18"/>
          <w:szCs w:val="18"/>
        </w:rPr>
      </w:pPr>
    </w:p>
    <w:p w:rsidRPr="008A79DC" w:rsidR="00C80EFD" w:rsidP="00C80EFD" w:rsidRDefault="00C80EFD">
      <w:pPr>
        <w:spacing w:line="240" w:lineRule="atLeast"/>
        <w:rPr>
          <w:rFonts w:ascii="Verdana" w:hAnsi="Verdana"/>
          <w:i/>
          <w:sz w:val="18"/>
          <w:szCs w:val="18"/>
        </w:rPr>
      </w:pPr>
      <w:r w:rsidRPr="008A79DC">
        <w:rPr>
          <w:rFonts w:ascii="Verdana" w:hAnsi="Verdana"/>
          <w:i/>
          <w:sz w:val="18"/>
          <w:szCs w:val="18"/>
        </w:rPr>
        <w:t>Saldo 2018 Investeren in waterveiligheid</w:t>
      </w:r>
    </w:p>
    <w:p w:rsidRPr="008A79DC" w:rsidR="00C80EFD" w:rsidP="00C80EFD" w:rsidRDefault="00C80EFD">
      <w:pPr>
        <w:spacing w:line="240" w:lineRule="atLeast"/>
        <w:rPr>
          <w:rFonts w:ascii="Verdana" w:hAnsi="Verdana"/>
          <w:sz w:val="18"/>
          <w:szCs w:val="18"/>
        </w:rPr>
      </w:pPr>
      <w:r w:rsidRPr="008A79DC">
        <w:rPr>
          <w:rFonts w:ascii="Verdana" w:hAnsi="Verdana"/>
          <w:sz w:val="18"/>
          <w:szCs w:val="18"/>
        </w:rPr>
        <w:t>De per saldo hogere uitgaven op artikel 1 Investeren in waterveiligheid worden veroorzaakt door hogere uitgaven die voortkomen uit overprogrammering (62,9 mln.) op aanlegprojecten waterveiligheid en door lagere uitgaven (-41,4 mln.) door vertragingen op diverse projecten van het Hoogwaterbeschermingsprogramma (HWBP-2). De lagere uitgaven komen voort uit onder andere de projecten Lekdijk Lekkerland, door een tegenvallende grondslag en verplaatsingen bij een pand aan de dijk, door loslatende stenen bij de Waddenzeedijk Friese Kust en verontreiniging bij het gebruik van alternatief ophoogmateriaal bij het project Eemdijken.</w:t>
      </w:r>
    </w:p>
    <w:p w:rsidRPr="008A79DC" w:rsidR="00C80EFD" w:rsidP="00C80EFD" w:rsidRDefault="00C80EFD">
      <w:pPr>
        <w:spacing w:line="240" w:lineRule="atLeast"/>
        <w:rPr>
          <w:rFonts w:ascii="Verdana" w:hAnsi="Verdana"/>
          <w:sz w:val="18"/>
          <w:szCs w:val="18"/>
        </w:rPr>
      </w:pPr>
    </w:p>
    <w:p w:rsidRPr="008A79DC" w:rsidR="00C80EFD" w:rsidP="00C80EFD" w:rsidRDefault="00C80EFD">
      <w:pPr>
        <w:spacing w:line="240" w:lineRule="atLeast"/>
        <w:rPr>
          <w:rFonts w:ascii="Verdana" w:hAnsi="Verdana"/>
          <w:i/>
          <w:sz w:val="18"/>
          <w:szCs w:val="18"/>
        </w:rPr>
      </w:pPr>
      <w:r w:rsidRPr="008A79DC">
        <w:rPr>
          <w:rFonts w:ascii="Verdana" w:hAnsi="Verdana"/>
          <w:i/>
          <w:sz w:val="18"/>
          <w:szCs w:val="18"/>
        </w:rPr>
        <w:t>Diversen – Beleidsmatige mutaties uitgaven</w:t>
      </w:r>
    </w:p>
    <w:p w:rsidRPr="008A79DC" w:rsidR="00C80EFD" w:rsidP="00C80EFD" w:rsidRDefault="00C80EFD">
      <w:pPr>
        <w:spacing w:line="240" w:lineRule="atLeast"/>
        <w:rPr>
          <w:rFonts w:ascii="Verdana" w:hAnsi="Verdana"/>
          <w:sz w:val="18"/>
          <w:szCs w:val="18"/>
        </w:rPr>
      </w:pPr>
      <w:r w:rsidRPr="008A79DC">
        <w:rPr>
          <w:rFonts w:ascii="Verdana" w:hAnsi="Verdana"/>
          <w:sz w:val="18"/>
          <w:szCs w:val="18"/>
        </w:rPr>
        <w:t xml:space="preserve">Deze post bestaat met name uit het saldo </w:t>
      </w:r>
      <w:r w:rsidR="001F38B0">
        <w:rPr>
          <w:rFonts w:ascii="Verdana" w:hAnsi="Verdana"/>
          <w:sz w:val="18"/>
          <w:szCs w:val="18"/>
        </w:rPr>
        <w:t>2018 op verschillende artikelen:</w:t>
      </w:r>
    </w:p>
    <w:p w:rsidRPr="008A79DC" w:rsidR="00C80EFD" w:rsidP="00C80EFD" w:rsidRDefault="00C80EFD">
      <w:pPr>
        <w:pStyle w:val="Lijstalinea"/>
        <w:numPr>
          <w:ilvl w:val="0"/>
          <w:numId w:val="18"/>
        </w:numPr>
        <w:spacing w:line="240" w:lineRule="atLeast"/>
        <w:rPr>
          <w:rFonts w:ascii="Verdana" w:hAnsi="Verdana"/>
          <w:sz w:val="18"/>
          <w:szCs w:val="18"/>
        </w:rPr>
      </w:pPr>
      <w:r w:rsidRPr="008A79DC">
        <w:rPr>
          <w:rFonts w:ascii="Verdana" w:hAnsi="Verdana"/>
          <w:sz w:val="18"/>
          <w:szCs w:val="18"/>
        </w:rPr>
        <w:lastRenderedPageBreak/>
        <w:t>Op artikel 2 Investeren in zoetwatervoorziening lagere uitgaven dan verwacht (-11,0 mln.) door met name vertraging in de planuitwerking in het project Kleinschalige Water Aanvoervoorzieningen (-4,0 mln.) en vertraging in het project Robuust natuurlijke oevers voor de aanscherping van het projectplan (-2,3 mln.).</w:t>
      </w:r>
    </w:p>
    <w:p w:rsidRPr="008A79DC" w:rsidR="00C80EFD" w:rsidP="00C80EFD" w:rsidRDefault="00C80EFD">
      <w:pPr>
        <w:pStyle w:val="Lijstalinea"/>
        <w:numPr>
          <w:ilvl w:val="0"/>
          <w:numId w:val="18"/>
        </w:numPr>
        <w:spacing w:line="240" w:lineRule="atLeast"/>
        <w:rPr>
          <w:rFonts w:ascii="Verdana" w:hAnsi="Verdana"/>
          <w:sz w:val="18"/>
          <w:szCs w:val="18"/>
        </w:rPr>
      </w:pPr>
      <w:r w:rsidRPr="008A79DC">
        <w:rPr>
          <w:rFonts w:ascii="Verdana" w:hAnsi="Verdana"/>
          <w:sz w:val="18"/>
          <w:szCs w:val="18"/>
        </w:rPr>
        <w:t>Hogere uitgaven op artikel 3 Beheer, onderhoud en vervanging (4,8 mln.) hebben met name betrekking op het project GVO Stuwen in de Lek als gevolg van een nieuwe (termijn)planning met als uitgangspunt dat alle activiteiten toch in 2018 zouden kunnen worden uitgevoerd.</w:t>
      </w:r>
    </w:p>
    <w:p w:rsidRPr="008A79DC" w:rsidR="00C80EFD" w:rsidP="00C80EFD" w:rsidRDefault="00C80EFD">
      <w:pPr>
        <w:pStyle w:val="Lijstalinea"/>
        <w:numPr>
          <w:ilvl w:val="0"/>
          <w:numId w:val="18"/>
        </w:numPr>
        <w:spacing w:line="240" w:lineRule="atLeast"/>
        <w:rPr>
          <w:rFonts w:ascii="Verdana" w:hAnsi="Verdana"/>
          <w:sz w:val="18"/>
          <w:szCs w:val="18"/>
        </w:rPr>
      </w:pPr>
      <w:r w:rsidRPr="008A79DC">
        <w:rPr>
          <w:rFonts w:ascii="Verdana" w:hAnsi="Verdana"/>
          <w:sz w:val="18"/>
          <w:szCs w:val="18"/>
        </w:rPr>
        <w:t>Per saldo lagere uitgaven op artikel 4 Experimenteren cf. art. III Deltawet (-5,2 mln.) doordat voor DBFM-project Afsluitdijk de gunning lager uitviel dan de raming.</w:t>
      </w:r>
    </w:p>
    <w:p w:rsidRPr="008A79DC" w:rsidR="00C80EFD" w:rsidP="00C80EFD" w:rsidRDefault="00C80EFD">
      <w:pPr>
        <w:pStyle w:val="Lijstalinea"/>
        <w:numPr>
          <w:ilvl w:val="0"/>
          <w:numId w:val="18"/>
        </w:numPr>
        <w:spacing w:line="240" w:lineRule="atLeast"/>
        <w:rPr>
          <w:rFonts w:ascii="Verdana" w:hAnsi="Verdana"/>
          <w:sz w:val="18"/>
          <w:szCs w:val="18"/>
        </w:rPr>
      </w:pPr>
      <w:r w:rsidRPr="008A79DC">
        <w:rPr>
          <w:rFonts w:ascii="Verdana" w:hAnsi="Verdana"/>
          <w:sz w:val="18"/>
          <w:szCs w:val="18"/>
        </w:rPr>
        <w:t xml:space="preserve">Op artikel 5 Netwerkgebonden kosten en overige uitgaven zijn de uitgaven hoger dan verwacht (8,2 mln.) door met name onverwachte bijdrages (+17,7 mln.) aan onder andere het Security Operations Centre en de schade aan de stuw Grave. Voor een deel is geen beroep gedaan op de investeringsruimte (-10,0 mln.) deze middelen schuiven door naar 2019. </w:t>
      </w:r>
    </w:p>
    <w:p w:rsidRPr="008A79DC" w:rsidR="00C80EFD" w:rsidP="00C80EFD" w:rsidRDefault="00C80EFD">
      <w:pPr>
        <w:spacing w:line="240" w:lineRule="atLeast"/>
        <w:rPr>
          <w:rFonts w:ascii="Verdana" w:hAnsi="Verdana"/>
          <w:sz w:val="18"/>
          <w:szCs w:val="18"/>
        </w:rPr>
      </w:pPr>
    </w:p>
    <w:p w:rsidRPr="008A79DC" w:rsidR="00C80EFD" w:rsidP="00C80EFD" w:rsidRDefault="00C80EFD">
      <w:pPr>
        <w:spacing w:line="240" w:lineRule="atLeast"/>
        <w:rPr>
          <w:rFonts w:ascii="Verdana" w:hAnsi="Verdana"/>
          <w:i/>
          <w:sz w:val="18"/>
          <w:szCs w:val="18"/>
        </w:rPr>
      </w:pPr>
      <w:r w:rsidRPr="008A79DC">
        <w:rPr>
          <w:rFonts w:ascii="Verdana" w:hAnsi="Verdana"/>
          <w:i/>
          <w:sz w:val="18"/>
          <w:szCs w:val="18"/>
        </w:rPr>
        <w:t>Diversen – Technische mutaties uitgaven en niet-belastingontvangsten</w:t>
      </w:r>
    </w:p>
    <w:p w:rsidRPr="008A79DC" w:rsidR="00C80EFD" w:rsidP="00C80EFD" w:rsidRDefault="001F38B0">
      <w:pPr>
        <w:spacing w:line="240" w:lineRule="atLeast"/>
        <w:rPr>
          <w:rFonts w:ascii="Verdana" w:hAnsi="Verdana"/>
          <w:sz w:val="18"/>
          <w:szCs w:val="18"/>
        </w:rPr>
      </w:pPr>
      <w:r>
        <w:rPr>
          <w:rFonts w:ascii="Verdana" w:hAnsi="Verdana"/>
          <w:sz w:val="18"/>
          <w:szCs w:val="18"/>
        </w:rPr>
        <w:t>Deze post omvat twee elementen:</w:t>
      </w:r>
    </w:p>
    <w:p w:rsidRPr="008A79DC" w:rsidR="00C80EFD" w:rsidP="00C80EFD" w:rsidRDefault="00C80EFD">
      <w:pPr>
        <w:pStyle w:val="Lijstalinea"/>
        <w:numPr>
          <w:ilvl w:val="0"/>
          <w:numId w:val="19"/>
        </w:numPr>
        <w:spacing w:line="240" w:lineRule="atLeast"/>
        <w:rPr>
          <w:rFonts w:ascii="Verdana" w:hAnsi="Verdana"/>
          <w:sz w:val="18"/>
          <w:szCs w:val="18"/>
        </w:rPr>
      </w:pPr>
      <w:r w:rsidRPr="008A79DC">
        <w:rPr>
          <w:rFonts w:ascii="Verdana" w:hAnsi="Verdana"/>
          <w:color w:val="000000"/>
          <w:sz w:val="18"/>
          <w:szCs w:val="18"/>
        </w:rPr>
        <w:t>Diverse overboekingen waarmee per sa</w:t>
      </w:r>
      <w:r w:rsidRPr="008A79DC" w:rsidR="008A79DC">
        <w:rPr>
          <w:rFonts w:ascii="Verdana" w:hAnsi="Verdana"/>
          <w:color w:val="000000"/>
          <w:sz w:val="18"/>
          <w:szCs w:val="18"/>
        </w:rPr>
        <w:t xml:space="preserve">ldo </w:t>
      </w:r>
      <w:r w:rsidRPr="008A79DC">
        <w:rPr>
          <w:rFonts w:ascii="Verdana" w:hAnsi="Verdana"/>
          <w:color w:val="000000"/>
          <w:sz w:val="18"/>
          <w:szCs w:val="18"/>
        </w:rPr>
        <w:t xml:space="preserve">3,8 mln. aan het Deltafonds via de IenW-begroting (HXII) wordt toegevoegd. Dit betreft overboekingen met </w:t>
      </w:r>
      <w:r w:rsidR="001F38B0">
        <w:rPr>
          <w:rFonts w:ascii="Verdana" w:hAnsi="Verdana"/>
          <w:color w:val="000000"/>
          <w:sz w:val="18"/>
          <w:szCs w:val="18"/>
        </w:rPr>
        <w:t>de IenW-begroting</w:t>
      </w:r>
      <w:r w:rsidRPr="008A79DC">
        <w:rPr>
          <w:rFonts w:ascii="Verdana" w:hAnsi="Verdana"/>
          <w:color w:val="000000"/>
          <w:sz w:val="18"/>
          <w:szCs w:val="18"/>
        </w:rPr>
        <w:t xml:space="preserve">, andere departementale begrotingen en het Provinciefonds. </w:t>
      </w:r>
      <w:r w:rsidRPr="008A79DC">
        <w:rPr>
          <w:rFonts w:ascii="Verdana" w:hAnsi="Verdana"/>
          <w:sz w:val="18"/>
          <w:szCs w:val="18"/>
        </w:rPr>
        <w:t xml:space="preserve">De grootste overboekingen zijn een bijdrage vanuit het </w:t>
      </w:r>
      <w:r w:rsidR="001F38B0">
        <w:rPr>
          <w:rFonts w:ascii="Verdana" w:hAnsi="Verdana"/>
          <w:sz w:val="18"/>
          <w:szCs w:val="18"/>
        </w:rPr>
        <w:t>Deltafonds</w:t>
      </w:r>
      <w:r w:rsidRPr="008A79DC">
        <w:rPr>
          <w:rFonts w:ascii="Verdana" w:hAnsi="Verdana"/>
          <w:sz w:val="18"/>
          <w:szCs w:val="18"/>
        </w:rPr>
        <w:t xml:space="preserve"> voor het project Ooijen Wanssum (-0,5 mln.) en een bijdrage vanuit JenV voor Cybersecurity (3,5 mln.).</w:t>
      </w:r>
    </w:p>
    <w:p w:rsidRPr="008A79DC" w:rsidR="00412663" w:rsidP="00C80EFD" w:rsidRDefault="00C80EFD">
      <w:pPr>
        <w:pStyle w:val="Lijstalinea"/>
        <w:numPr>
          <w:ilvl w:val="0"/>
          <w:numId w:val="19"/>
        </w:numPr>
        <w:spacing w:line="240" w:lineRule="atLeast"/>
        <w:rPr>
          <w:rFonts w:ascii="Verdana" w:hAnsi="Verdana"/>
          <w:sz w:val="18"/>
          <w:szCs w:val="18"/>
        </w:rPr>
      </w:pPr>
      <w:r w:rsidRPr="008A79DC">
        <w:rPr>
          <w:rFonts w:ascii="Verdana" w:hAnsi="Verdana"/>
          <w:sz w:val="18"/>
          <w:szCs w:val="18"/>
        </w:rPr>
        <w:t>Diverse desalderingen (1,0 mln.).</w:t>
      </w:r>
      <w:r w:rsidRPr="008A79DC" w:rsidR="00412663">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752578" w:rsidTr="00752578">
        <w:trPr>
          <w:trHeight w:val="225"/>
        </w:trPr>
        <w:tc>
          <w:tcPr>
            <w:tcW w:w="5340" w:type="dxa"/>
            <w:tcBorders>
              <w:top w:val="nil"/>
              <w:left w:val="nil"/>
              <w:bottom w:val="nil"/>
              <w:right w:val="nil"/>
            </w:tcBorders>
            <w:shd w:val="clear" w:color="auto" w:fill="auto"/>
            <w:hideMark/>
          </w:tcPr>
          <w:p w:rsidR="00752578" w:rsidRDefault="00752578">
            <w:pPr>
              <w:rPr>
                <w:rFonts w:ascii="Verdana" w:hAnsi="Verdana"/>
                <w:b/>
                <w:bCs/>
                <w:color w:val="000000"/>
                <w:sz w:val="18"/>
                <w:szCs w:val="18"/>
              </w:rPr>
            </w:pPr>
            <w:r w:rsidRPr="008A79DC">
              <w:rPr>
                <w:rFonts w:ascii="Verdana" w:hAnsi="Verdana"/>
                <w:b/>
                <w:bCs/>
                <w:color w:val="000000"/>
                <w:sz w:val="18"/>
                <w:szCs w:val="18"/>
              </w:rPr>
              <w:lastRenderedPageBreak/>
              <w:t>Accres Gemeentefonds</w:t>
            </w:r>
          </w:p>
          <w:p w:rsidRPr="008A79DC" w:rsidR="000D667A" w:rsidRDefault="000D667A">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b/>
                <w:bCs/>
                <w:color w:val="000000"/>
                <w:sz w:val="18"/>
                <w:szCs w:val="18"/>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ACCRES GEMEENTEFONDS: UITGAVEN</w:t>
            </w: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color w:val="000000"/>
                <w:sz w:val="18"/>
                <w:szCs w:val="18"/>
              </w:rPr>
            </w:pPr>
          </w:p>
        </w:tc>
      </w:tr>
      <w:tr w:rsidRPr="008A79DC" w:rsidR="00752578" w:rsidTr="00752578">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2018</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sz w:val="20"/>
                <w:szCs w:val="20"/>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752578" w:rsidRDefault="00752578">
            <w:pPr>
              <w:rPr>
                <w:rFonts w:ascii="Verdana" w:hAnsi="Verdana"/>
                <w:sz w:val="20"/>
                <w:szCs w:val="20"/>
              </w:rPr>
            </w:pPr>
          </w:p>
        </w:tc>
      </w:tr>
      <w:tr w:rsidRPr="008A79DC" w:rsidR="00752578" w:rsidTr="00752578">
        <w:trPr>
          <w:trHeight w:val="46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ACCRES GEMEENTEFONDS: NIET-BELASTINGONTVANGSTEN</w:t>
            </w: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color w:val="000000"/>
                <w:sz w:val="18"/>
                <w:szCs w:val="18"/>
              </w:rPr>
            </w:pPr>
          </w:p>
        </w:tc>
      </w:tr>
      <w:tr w:rsidRPr="008A79DC" w:rsidR="00752578" w:rsidTr="00752578">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2018</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sz w:val="20"/>
                <w:szCs w:val="20"/>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bl>
    <w:p w:rsidRPr="008A79DC" w:rsidR="00412663" w:rsidP="00C41D99" w:rsidRDefault="00412663">
      <w:pPr>
        <w:spacing w:line="240" w:lineRule="exact"/>
        <w:rPr>
          <w:rFonts w:ascii="Verdana" w:hAnsi="Verdana" w:cs="Verdana"/>
          <w:b/>
          <w:bCs/>
          <w:sz w:val="18"/>
          <w:szCs w:val="18"/>
        </w:rPr>
      </w:pPr>
    </w:p>
    <w:p w:rsidRPr="008A79DC" w:rsidR="00752578" w:rsidRDefault="00752578">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752578" w:rsidTr="00752578">
        <w:trPr>
          <w:trHeight w:val="225"/>
        </w:trPr>
        <w:tc>
          <w:tcPr>
            <w:tcW w:w="5340" w:type="dxa"/>
            <w:tcBorders>
              <w:top w:val="nil"/>
              <w:left w:val="nil"/>
              <w:bottom w:val="nil"/>
              <w:right w:val="nil"/>
            </w:tcBorders>
            <w:shd w:val="clear" w:color="auto" w:fill="auto"/>
            <w:hideMark/>
          </w:tcPr>
          <w:p w:rsidR="00752578" w:rsidRDefault="00752578">
            <w:pPr>
              <w:rPr>
                <w:rFonts w:ascii="Verdana" w:hAnsi="Verdana"/>
                <w:b/>
                <w:bCs/>
                <w:color w:val="000000"/>
                <w:sz w:val="18"/>
                <w:szCs w:val="18"/>
              </w:rPr>
            </w:pPr>
            <w:r w:rsidRPr="008A79DC">
              <w:rPr>
                <w:rFonts w:ascii="Verdana" w:hAnsi="Verdana"/>
                <w:b/>
                <w:bCs/>
                <w:color w:val="000000"/>
                <w:sz w:val="18"/>
                <w:szCs w:val="18"/>
              </w:rPr>
              <w:lastRenderedPageBreak/>
              <w:t>Accres Provinciefonds</w:t>
            </w:r>
          </w:p>
          <w:p w:rsidRPr="008A79DC" w:rsidR="000D667A" w:rsidRDefault="000D667A">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b/>
                <w:bCs/>
                <w:color w:val="000000"/>
                <w:sz w:val="18"/>
                <w:szCs w:val="18"/>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ACCRES PROVINCIEFONDS: UITGAVEN</w:t>
            </w: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color w:val="000000"/>
                <w:sz w:val="18"/>
                <w:szCs w:val="18"/>
              </w:rPr>
            </w:pPr>
          </w:p>
        </w:tc>
      </w:tr>
      <w:tr w:rsidRPr="008A79DC" w:rsidR="00752578" w:rsidTr="00752578">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2018</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sz w:val="20"/>
                <w:szCs w:val="20"/>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752578" w:rsidRDefault="00752578">
            <w:pPr>
              <w:rPr>
                <w:rFonts w:ascii="Verdana" w:hAnsi="Verdana"/>
                <w:sz w:val="20"/>
                <w:szCs w:val="20"/>
              </w:rPr>
            </w:pPr>
          </w:p>
        </w:tc>
      </w:tr>
      <w:tr w:rsidRPr="008A79DC" w:rsidR="00752578" w:rsidTr="00752578">
        <w:trPr>
          <w:trHeight w:val="46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ACCRES PROVINCIEFONDS: NIET-BELASTINGONTVANGSTEN</w:t>
            </w: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color w:val="000000"/>
                <w:sz w:val="18"/>
                <w:szCs w:val="18"/>
              </w:rPr>
            </w:pPr>
          </w:p>
        </w:tc>
      </w:tr>
      <w:tr w:rsidRPr="008A79DC" w:rsidR="00752578" w:rsidTr="00752578">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2018</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sz w:val="20"/>
                <w:szCs w:val="20"/>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bl>
    <w:p w:rsidRPr="008A79DC" w:rsidR="00752578" w:rsidP="00C41D99" w:rsidRDefault="00752578">
      <w:pPr>
        <w:spacing w:line="240" w:lineRule="exact"/>
        <w:rPr>
          <w:rFonts w:ascii="Verdana" w:hAnsi="Verdana" w:cs="Verdana"/>
          <w:b/>
          <w:bCs/>
          <w:sz w:val="18"/>
          <w:szCs w:val="18"/>
        </w:rPr>
      </w:pPr>
    </w:p>
    <w:p w:rsidRPr="008A79DC" w:rsidR="00752578" w:rsidRDefault="00752578">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752578" w:rsidTr="00752578">
        <w:trPr>
          <w:trHeight w:val="225"/>
        </w:trPr>
        <w:tc>
          <w:tcPr>
            <w:tcW w:w="5340" w:type="dxa"/>
            <w:tcBorders>
              <w:top w:val="nil"/>
              <w:left w:val="nil"/>
              <w:bottom w:val="nil"/>
              <w:right w:val="nil"/>
            </w:tcBorders>
            <w:shd w:val="clear" w:color="auto" w:fill="auto"/>
            <w:hideMark/>
          </w:tcPr>
          <w:p w:rsidR="00752578" w:rsidRDefault="00752578">
            <w:pPr>
              <w:rPr>
                <w:rFonts w:ascii="Verdana" w:hAnsi="Verdana"/>
                <w:b/>
                <w:bCs/>
                <w:color w:val="000000"/>
                <w:sz w:val="18"/>
                <w:szCs w:val="18"/>
              </w:rPr>
            </w:pPr>
            <w:r w:rsidRPr="008A79DC">
              <w:rPr>
                <w:rFonts w:ascii="Verdana" w:hAnsi="Verdana"/>
                <w:b/>
                <w:bCs/>
                <w:color w:val="000000"/>
                <w:sz w:val="18"/>
                <w:szCs w:val="18"/>
              </w:rPr>
              <w:lastRenderedPageBreak/>
              <w:t>Prijsbijstelling</w:t>
            </w:r>
          </w:p>
          <w:p w:rsidRPr="008A79DC" w:rsidR="000D667A" w:rsidRDefault="000D667A">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b/>
                <w:bCs/>
                <w:color w:val="000000"/>
                <w:sz w:val="18"/>
                <w:szCs w:val="18"/>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PRIJSBIJSTELLING: UITGAVEN</w:t>
            </w: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color w:val="000000"/>
                <w:sz w:val="18"/>
                <w:szCs w:val="18"/>
              </w:rPr>
            </w:pPr>
          </w:p>
        </w:tc>
      </w:tr>
      <w:tr w:rsidRPr="008A79DC" w:rsidR="00752578" w:rsidTr="00752578">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2018</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sz w:val="20"/>
                <w:szCs w:val="20"/>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752578" w:rsidRDefault="00752578">
            <w:pPr>
              <w:rPr>
                <w:rFonts w:ascii="Verdana" w:hAnsi="Verdana"/>
                <w:sz w:val="20"/>
                <w:szCs w:val="20"/>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PRIJSBIJSTELLING: NIET-BELASTINGONTVANGSTEN</w:t>
            </w: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color w:val="000000"/>
                <w:sz w:val="18"/>
                <w:szCs w:val="18"/>
              </w:rPr>
            </w:pPr>
          </w:p>
        </w:tc>
      </w:tr>
      <w:tr w:rsidRPr="008A79DC" w:rsidR="00752578" w:rsidTr="00752578">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2018</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sz w:val="20"/>
                <w:szCs w:val="20"/>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bl>
    <w:p w:rsidRPr="008A79DC" w:rsidR="00752578" w:rsidP="00C41D99" w:rsidRDefault="00752578">
      <w:pPr>
        <w:spacing w:line="240" w:lineRule="exact"/>
        <w:rPr>
          <w:rFonts w:ascii="Verdana" w:hAnsi="Verdana" w:cs="Verdana"/>
          <w:b/>
          <w:bCs/>
          <w:sz w:val="18"/>
          <w:szCs w:val="18"/>
        </w:rPr>
      </w:pPr>
    </w:p>
    <w:p w:rsidRPr="008A79DC" w:rsidR="00752578" w:rsidRDefault="00752578">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752578" w:rsidTr="00752578">
        <w:trPr>
          <w:trHeight w:val="225"/>
        </w:trPr>
        <w:tc>
          <w:tcPr>
            <w:tcW w:w="5340" w:type="dxa"/>
            <w:tcBorders>
              <w:top w:val="nil"/>
              <w:left w:val="nil"/>
              <w:bottom w:val="nil"/>
              <w:right w:val="nil"/>
            </w:tcBorders>
            <w:shd w:val="clear" w:color="auto" w:fill="auto"/>
            <w:hideMark/>
          </w:tcPr>
          <w:p w:rsidR="00752578" w:rsidRDefault="00752578">
            <w:pPr>
              <w:rPr>
                <w:rFonts w:ascii="Verdana" w:hAnsi="Verdana"/>
                <w:b/>
                <w:bCs/>
                <w:color w:val="000000"/>
                <w:sz w:val="18"/>
                <w:szCs w:val="18"/>
              </w:rPr>
            </w:pPr>
            <w:r w:rsidRPr="008A79DC">
              <w:rPr>
                <w:rFonts w:ascii="Verdana" w:hAnsi="Verdana"/>
                <w:b/>
                <w:bCs/>
                <w:color w:val="000000"/>
                <w:sz w:val="18"/>
                <w:szCs w:val="18"/>
              </w:rPr>
              <w:lastRenderedPageBreak/>
              <w:t>Arbeidsvoorwaarden</w:t>
            </w:r>
          </w:p>
          <w:p w:rsidRPr="008A79DC" w:rsidR="000D667A" w:rsidRDefault="000D667A">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b/>
                <w:bCs/>
                <w:color w:val="000000"/>
                <w:sz w:val="18"/>
                <w:szCs w:val="18"/>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ARBEIDSVOORWAARDEN: UITGAVEN</w:t>
            </w: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color w:val="000000"/>
                <w:sz w:val="18"/>
                <w:szCs w:val="18"/>
              </w:rPr>
            </w:pPr>
          </w:p>
        </w:tc>
      </w:tr>
      <w:tr w:rsidRPr="008A79DC" w:rsidR="00752578" w:rsidTr="00752578">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2018</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sz w:val="20"/>
                <w:szCs w:val="20"/>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752578" w:rsidRDefault="00752578">
            <w:pPr>
              <w:rPr>
                <w:rFonts w:ascii="Verdana" w:hAnsi="Verdana"/>
                <w:sz w:val="20"/>
                <w:szCs w:val="20"/>
              </w:rPr>
            </w:pPr>
          </w:p>
        </w:tc>
      </w:tr>
      <w:tr w:rsidRPr="008A79DC" w:rsidR="00752578" w:rsidTr="00752578">
        <w:trPr>
          <w:trHeight w:val="46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ARBEIDSVOORWAARDEN: NIET-BELASTINGONTVANGSTEN</w:t>
            </w: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color w:val="000000"/>
                <w:sz w:val="18"/>
                <w:szCs w:val="18"/>
              </w:rPr>
            </w:pPr>
          </w:p>
        </w:tc>
      </w:tr>
      <w:tr w:rsidRPr="008A79DC" w:rsidR="00752578" w:rsidTr="00752578">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2018</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sz w:val="20"/>
                <w:szCs w:val="20"/>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bl>
    <w:p w:rsidRPr="008A79DC" w:rsidR="00752578" w:rsidP="00C41D99" w:rsidRDefault="00752578">
      <w:pPr>
        <w:spacing w:line="240" w:lineRule="exact"/>
        <w:rPr>
          <w:rFonts w:ascii="Verdana" w:hAnsi="Verdana" w:cs="Verdana"/>
          <w:b/>
          <w:bCs/>
          <w:sz w:val="18"/>
          <w:szCs w:val="18"/>
        </w:rPr>
      </w:pPr>
    </w:p>
    <w:p w:rsidRPr="008A79DC" w:rsidR="00752578" w:rsidRDefault="00752578">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Pr="008A79DC" w:rsidR="00752578" w:rsidTr="00752578">
        <w:trPr>
          <w:trHeight w:val="225"/>
        </w:trPr>
        <w:tc>
          <w:tcPr>
            <w:tcW w:w="5340" w:type="dxa"/>
            <w:tcBorders>
              <w:top w:val="nil"/>
              <w:left w:val="nil"/>
              <w:bottom w:val="nil"/>
              <w:right w:val="nil"/>
            </w:tcBorders>
            <w:shd w:val="clear" w:color="auto" w:fill="auto"/>
            <w:hideMark/>
          </w:tcPr>
          <w:p w:rsidR="00752578" w:rsidRDefault="00752578">
            <w:pPr>
              <w:rPr>
                <w:rFonts w:ascii="Verdana" w:hAnsi="Verdana"/>
                <w:b/>
                <w:bCs/>
                <w:color w:val="000000"/>
                <w:sz w:val="18"/>
                <w:szCs w:val="18"/>
              </w:rPr>
            </w:pPr>
            <w:r w:rsidRPr="008A79DC">
              <w:rPr>
                <w:rFonts w:ascii="Verdana" w:hAnsi="Verdana"/>
                <w:b/>
                <w:bCs/>
                <w:color w:val="000000"/>
                <w:sz w:val="18"/>
                <w:szCs w:val="18"/>
              </w:rPr>
              <w:lastRenderedPageBreak/>
              <w:t>Algemeen</w:t>
            </w:r>
          </w:p>
          <w:p w:rsidRPr="008A79DC" w:rsidR="000D667A" w:rsidRDefault="000D667A">
            <w:pPr>
              <w:rPr>
                <w:rFonts w:ascii="Verdana" w:hAnsi="Verdana"/>
                <w:b/>
                <w:bCs/>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b/>
                <w:bCs/>
                <w:color w:val="000000"/>
                <w:sz w:val="18"/>
                <w:szCs w:val="18"/>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ALGEMEEN: UITGAVEN</w:t>
            </w: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color w:val="000000"/>
                <w:sz w:val="18"/>
                <w:szCs w:val="18"/>
              </w:rPr>
            </w:pPr>
          </w:p>
        </w:tc>
      </w:tr>
      <w:tr w:rsidRPr="008A79DC" w:rsidR="00752578" w:rsidTr="00752578">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2018</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620,1</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color w:val="000000"/>
                <w:sz w:val="18"/>
                <w:szCs w:val="18"/>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752578" w:rsidRDefault="00752578">
            <w:pPr>
              <w:ind w:firstLine="180" w:firstLineChars="100"/>
              <w:rPr>
                <w:rFonts w:ascii="Verdana" w:hAnsi="Verdana"/>
                <w:color w:val="000000"/>
                <w:sz w:val="18"/>
                <w:szCs w:val="18"/>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8,4</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8,4</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color w:val="000000"/>
                <w:sz w:val="18"/>
                <w:szCs w:val="18"/>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ind w:firstLine="180" w:firstLineChars="100"/>
              <w:rPr>
                <w:rFonts w:ascii="Verdana" w:hAnsi="Verdana"/>
                <w:color w:val="000000"/>
                <w:sz w:val="18"/>
                <w:szCs w:val="18"/>
              </w:rPr>
            </w:pPr>
            <w:r w:rsidRPr="008A79DC">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Pr="008A79DC" w:rsidR="00752578" w:rsidRDefault="00752578">
            <w:pPr>
              <w:ind w:firstLine="180" w:firstLineChars="100"/>
              <w:rPr>
                <w:rFonts w:ascii="Verdana" w:hAnsi="Verdana"/>
                <w:color w:val="000000"/>
                <w:sz w:val="18"/>
                <w:szCs w:val="18"/>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ind w:firstLine="360" w:firstLineChars="200"/>
              <w:rPr>
                <w:rFonts w:ascii="Verdana" w:hAnsi="Verdana"/>
                <w:color w:val="000000"/>
                <w:sz w:val="18"/>
                <w:szCs w:val="18"/>
              </w:rPr>
            </w:pPr>
            <w:r w:rsidRPr="008A79DC">
              <w:rPr>
                <w:rFonts w:ascii="Verdana" w:hAnsi="Verdana"/>
                <w:color w:val="000000"/>
                <w:sz w:val="18"/>
                <w:szCs w:val="18"/>
              </w:rPr>
              <w:t>B5 politie</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-54,0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ind w:firstLine="360" w:firstLineChars="200"/>
              <w:rPr>
                <w:rFonts w:ascii="Verdana" w:hAnsi="Verdana"/>
                <w:color w:val="000000"/>
                <w:sz w:val="18"/>
                <w:szCs w:val="18"/>
              </w:rPr>
            </w:pPr>
            <w:r w:rsidRPr="008A79DC">
              <w:rPr>
                <w:rFonts w:ascii="Verdana" w:hAnsi="Verdana"/>
                <w:color w:val="000000"/>
                <w:sz w:val="18"/>
                <w:szCs w:val="18"/>
              </w:rPr>
              <w:t>L108 gasfonds groningen</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-50,0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ind w:firstLine="360" w:firstLineChars="200"/>
              <w:rPr>
                <w:rFonts w:ascii="Verdana" w:hAnsi="Verdana"/>
                <w:color w:val="000000"/>
                <w:sz w:val="18"/>
                <w:szCs w:val="18"/>
              </w:rPr>
            </w:pPr>
            <w:r w:rsidRPr="008A79DC">
              <w:rPr>
                <w:rFonts w:ascii="Verdana" w:hAnsi="Verdana"/>
                <w:color w:val="000000"/>
                <w:sz w:val="18"/>
                <w:szCs w:val="18"/>
              </w:rPr>
              <w:t>Wederopbouw sint maarten</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-150,0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ind w:firstLine="360" w:firstLineChars="200"/>
              <w:rPr>
                <w:rFonts w:ascii="Verdana" w:hAnsi="Verdana"/>
                <w:color w:val="000000"/>
                <w:sz w:val="18"/>
                <w:szCs w:val="18"/>
              </w:rPr>
            </w:pPr>
            <w:r w:rsidRPr="008A79DC">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-37,1</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-291,1</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-282,7</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sz w:val="20"/>
                <w:szCs w:val="20"/>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337,4</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337,4</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Pr="008A79DC" w:rsidR="00752578" w:rsidRDefault="00752578">
            <w:pPr>
              <w:rPr>
                <w:rFonts w:ascii="Verdana" w:hAnsi="Verdana"/>
                <w:sz w:val="20"/>
                <w:szCs w:val="20"/>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ALGEMEEN: NIET-BELASTINGONTVANGSTEN</w:t>
            </w: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color w:val="000000"/>
                <w:sz w:val="18"/>
                <w:szCs w:val="18"/>
              </w:rPr>
            </w:pPr>
          </w:p>
        </w:tc>
      </w:tr>
      <w:tr w:rsidRPr="008A79DC" w:rsidR="00752578" w:rsidTr="00752578">
        <w:trPr>
          <w:trHeight w:val="225"/>
        </w:trPr>
        <w:tc>
          <w:tcPr>
            <w:tcW w:w="534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 </w:t>
            </w:r>
          </w:p>
        </w:tc>
        <w:tc>
          <w:tcPr>
            <w:tcW w:w="1480" w:type="dxa"/>
            <w:tcBorders>
              <w:top w:val="single" w:color="000000" w:sz="8" w:space="0"/>
              <w:left w:val="nil"/>
              <w:bottom w:val="single" w:color="000000" w:sz="8" w:space="0"/>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2018</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Miljoenennota 2019 (excl. IS)</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p>
        </w:tc>
        <w:tc>
          <w:tcPr>
            <w:tcW w:w="1480" w:type="dxa"/>
            <w:tcBorders>
              <w:top w:val="nil"/>
              <w:left w:val="nil"/>
              <w:bottom w:val="nil"/>
              <w:right w:val="nil"/>
            </w:tcBorders>
            <w:shd w:val="clear" w:color="auto" w:fill="auto"/>
            <w:noWrap/>
            <w:vAlign w:val="bottom"/>
            <w:hideMark/>
          </w:tcPr>
          <w:p w:rsidRPr="008A79DC" w:rsidR="00752578" w:rsidRDefault="00752578">
            <w:pPr>
              <w:rPr>
                <w:rFonts w:ascii="Verdana" w:hAnsi="Verdana"/>
                <w:sz w:val="20"/>
                <w:szCs w:val="20"/>
              </w:rPr>
            </w:pP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 (subtotaal)</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Totaal Internationale samenwerking</w:t>
            </w:r>
          </w:p>
        </w:tc>
        <w:tc>
          <w:tcPr>
            <w:tcW w:w="1480" w:type="dxa"/>
            <w:tcBorders>
              <w:top w:val="nil"/>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r w:rsidRPr="008A79DC" w:rsidR="00752578" w:rsidTr="00752578">
        <w:trPr>
          <w:trHeight w:val="225"/>
        </w:trPr>
        <w:tc>
          <w:tcPr>
            <w:tcW w:w="5340" w:type="dxa"/>
            <w:tcBorders>
              <w:top w:val="nil"/>
              <w:left w:val="nil"/>
              <w:bottom w:val="nil"/>
              <w:right w:val="nil"/>
            </w:tcBorders>
            <w:shd w:val="clear" w:color="auto" w:fill="auto"/>
            <w:hideMark/>
          </w:tcPr>
          <w:p w:rsidRPr="008A79DC" w:rsidR="00752578" w:rsidRDefault="00752578">
            <w:pPr>
              <w:rPr>
                <w:rFonts w:ascii="Verdana" w:hAnsi="Verdana"/>
                <w:color w:val="000000"/>
                <w:sz w:val="18"/>
                <w:szCs w:val="18"/>
              </w:rPr>
            </w:pPr>
            <w:r w:rsidRPr="008A79DC">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Pr="008A79DC" w:rsidR="00752578" w:rsidRDefault="00752578">
            <w:pPr>
              <w:jc w:val="right"/>
              <w:rPr>
                <w:rFonts w:ascii="Verdana" w:hAnsi="Verdana"/>
                <w:color w:val="000000"/>
                <w:sz w:val="18"/>
                <w:szCs w:val="18"/>
              </w:rPr>
            </w:pPr>
            <w:r w:rsidRPr="008A79DC">
              <w:rPr>
                <w:rFonts w:ascii="Verdana" w:hAnsi="Verdana"/>
                <w:color w:val="000000"/>
                <w:sz w:val="18"/>
                <w:szCs w:val="18"/>
              </w:rPr>
              <w:t>0,0</w:t>
            </w:r>
          </w:p>
        </w:tc>
      </w:tr>
    </w:tbl>
    <w:p w:rsidRPr="008A79DC" w:rsidR="00752578" w:rsidP="00C41D99" w:rsidRDefault="00752578">
      <w:pPr>
        <w:spacing w:line="240" w:lineRule="exact"/>
        <w:rPr>
          <w:rFonts w:ascii="Verdana" w:hAnsi="Verdana" w:cs="Verdana"/>
          <w:bCs/>
          <w:sz w:val="18"/>
          <w:szCs w:val="18"/>
        </w:rPr>
      </w:pPr>
    </w:p>
    <w:p w:rsidRPr="008A79DC" w:rsidR="00C80EFD" w:rsidP="00C41D99" w:rsidRDefault="00C80EFD">
      <w:pPr>
        <w:spacing w:line="240" w:lineRule="exact"/>
        <w:rPr>
          <w:rFonts w:ascii="Verdana" w:hAnsi="Verdana" w:cs="Verdana"/>
          <w:bCs/>
          <w:sz w:val="18"/>
          <w:szCs w:val="18"/>
        </w:rPr>
      </w:pPr>
    </w:p>
    <w:p w:rsidRPr="00626CAF" w:rsidR="00626CAF" w:rsidP="00626CAF" w:rsidRDefault="00626CAF">
      <w:pPr>
        <w:rPr>
          <w:rFonts w:ascii="Verdana" w:hAnsi="Verdana"/>
          <w:i/>
          <w:sz w:val="18"/>
          <w:szCs w:val="18"/>
        </w:rPr>
      </w:pPr>
      <w:r w:rsidRPr="00626CAF">
        <w:rPr>
          <w:rFonts w:ascii="Verdana" w:hAnsi="Verdana"/>
          <w:i/>
          <w:sz w:val="18"/>
          <w:szCs w:val="18"/>
        </w:rPr>
        <w:t xml:space="preserve">Diversen </w:t>
      </w:r>
      <w:r>
        <w:rPr>
          <w:rFonts w:ascii="Verdana" w:hAnsi="Verdana"/>
          <w:i/>
          <w:sz w:val="18"/>
          <w:szCs w:val="18"/>
        </w:rPr>
        <w:t xml:space="preserve">- </w:t>
      </w:r>
      <w:r w:rsidRPr="00626CAF">
        <w:rPr>
          <w:rFonts w:ascii="Verdana" w:hAnsi="Verdana"/>
          <w:i/>
          <w:sz w:val="18"/>
          <w:szCs w:val="18"/>
        </w:rPr>
        <w:t>beleidsmatig</w:t>
      </w:r>
    </w:p>
    <w:p w:rsidRPr="00626CAF" w:rsidR="00626CAF" w:rsidP="00626CAF" w:rsidRDefault="00626CAF">
      <w:pPr>
        <w:rPr>
          <w:rFonts w:ascii="Verdana" w:hAnsi="Verdana"/>
          <w:sz w:val="18"/>
          <w:szCs w:val="18"/>
        </w:rPr>
      </w:pPr>
      <w:r w:rsidRPr="00626CAF">
        <w:rPr>
          <w:rFonts w:ascii="Verdana" w:hAnsi="Verdana"/>
          <w:sz w:val="18"/>
          <w:szCs w:val="18"/>
        </w:rPr>
        <w:t>Dit betreft een kasschuif van middelen uit 2019 naar 2018. Hiervan is 8 mln. ten behoeve van een begrotingsbijstelling voor de Regio-Deal Rotterdam-Zuid. Rotterdam-Zuid heeft meer middelen aangevraagd dan in eerste instantie verwacht door LNV. De resterende 0,4 mln. is ten behoeve van de Regio-Deal Landbouw Saba. Beiden Regio-Deals worden in hun middelen voorzien vanuit de Regio-Envelop.</w:t>
      </w:r>
    </w:p>
    <w:p w:rsidR="00626CAF" w:rsidP="00626CAF" w:rsidRDefault="00626CAF">
      <w:pPr>
        <w:rPr>
          <w:rFonts w:ascii="Verdana" w:hAnsi="Verdana"/>
          <w:i/>
          <w:sz w:val="18"/>
          <w:szCs w:val="18"/>
        </w:rPr>
      </w:pPr>
    </w:p>
    <w:p w:rsidRPr="008A79DC" w:rsidR="00C80EFD" w:rsidP="00626CAF" w:rsidRDefault="00C80EFD">
      <w:pPr>
        <w:rPr>
          <w:rFonts w:ascii="Verdana" w:hAnsi="Verdana"/>
          <w:i/>
          <w:sz w:val="18"/>
          <w:szCs w:val="18"/>
        </w:rPr>
      </w:pPr>
      <w:r w:rsidRPr="008A79DC">
        <w:rPr>
          <w:rFonts w:ascii="Verdana" w:hAnsi="Verdana"/>
          <w:i/>
          <w:sz w:val="18"/>
          <w:szCs w:val="18"/>
        </w:rPr>
        <w:t>B5 Politie</w:t>
      </w:r>
    </w:p>
    <w:p w:rsidRPr="008A79DC" w:rsidR="00C80EFD" w:rsidP="00C80EFD" w:rsidRDefault="00C80EFD">
      <w:pPr>
        <w:rPr>
          <w:rFonts w:ascii="Verdana" w:hAnsi="Verdana" w:eastAsiaTheme="minorHAnsi"/>
          <w:sz w:val="18"/>
          <w:szCs w:val="18"/>
        </w:rPr>
      </w:pPr>
      <w:r w:rsidRPr="008A79DC">
        <w:rPr>
          <w:rFonts w:ascii="Verdana" w:hAnsi="Verdana"/>
          <w:sz w:val="18"/>
          <w:szCs w:val="18"/>
        </w:rPr>
        <w:t>De resterende Regeerakkoordmiddelen voor de politie (reeks B5) voor 2018 zijn overgeheveld naar de begrotingen van JenV. De middelen worden onder andere ingezet voor een eenmalige impuls in lokale capaciteit (33 mln.) en voor de implementatie van een toekomstbestendige toegangsbeveiliging van de politie (19 mln.).</w:t>
      </w:r>
    </w:p>
    <w:p w:rsidRPr="008A79DC" w:rsidR="00C80EFD" w:rsidP="00C80EFD" w:rsidRDefault="00C80EFD">
      <w:pPr>
        <w:rPr>
          <w:rFonts w:ascii="Verdana" w:hAnsi="Verdana"/>
          <w:sz w:val="18"/>
          <w:szCs w:val="18"/>
        </w:rPr>
      </w:pPr>
    </w:p>
    <w:p w:rsidRPr="008A79DC" w:rsidR="00C80EFD" w:rsidP="00C80EFD" w:rsidRDefault="00C80EFD">
      <w:pPr>
        <w:rPr>
          <w:rFonts w:ascii="Verdana" w:hAnsi="Verdana"/>
          <w:i/>
          <w:sz w:val="18"/>
          <w:szCs w:val="18"/>
        </w:rPr>
      </w:pPr>
      <w:r w:rsidRPr="008A79DC">
        <w:rPr>
          <w:rFonts w:ascii="Verdana" w:hAnsi="Verdana"/>
          <w:i/>
          <w:sz w:val="18"/>
          <w:szCs w:val="18"/>
        </w:rPr>
        <w:t>L108 Gasfonds Groningen</w:t>
      </w:r>
    </w:p>
    <w:p w:rsidRPr="008A79DC" w:rsidR="00C80EFD" w:rsidP="00C80EFD" w:rsidRDefault="00C80EFD">
      <w:pPr>
        <w:rPr>
          <w:rFonts w:ascii="Verdana" w:hAnsi="Verdana"/>
          <w:sz w:val="18"/>
          <w:szCs w:val="18"/>
        </w:rPr>
      </w:pPr>
      <w:r w:rsidRPr="008A79DC">
        <w:rPr>
          <w:rFonts w:ascii="Verdana" w:hAnsi="Verdana"/>
          <w:sz w:val="18"/>
          <w:szCs w:val="18"/>
        </w:rPr>
        <w:t>Dit betreft een overboeking van de Aanvullende Post naar de EZK-begroting van 50 mln. voor het Nationaal programma Groningen (NPG). Dit bedrag is vervolgens vanuit de EZK-begroting overgemaakt naar het Provinciefonds ten behoeve van de provincie Groningen. Op 5 oktober jl. hebben Rijk, provincie en gemeenten een akkoord gesloten in de vorm van een NPG. Voor het NPG is meerjarig totaal 1,15 mld. beschikbaar. Vooruitlopend op de nadere uitwerking van het Nationaal Programma in de komende maanden wordt gewerkt om binnen iedere programmalijn nog dit jaar e</w:t>
      </w:r>
      <w:r w:rsidR="00273A91">
        <w:rPr>
          <w:rFonts w:ascii="Verdana" w:hAnsi="Verdana"/>
          <w:sz w:val="18"/>
          <w:szCs w:val="18"/>
        </w:rPr>
        <w:t>en aantal projecten te starten.</w:t>
      </w:r>
    </w:p>
    <w:p w:rsidRPr="008A79DC" w:rsidR="00C80EFD" w:rsidP="00C80EFD" w:rsidRDefault="00C80EFD">
      <w:pPr>
        <w:rPr>
          <w:rFonts w:ascii="Verdana" w:hAnsi="Verdana"/>
          <w:sz w:val="18"/>
          <w:szCs w:val="18"/>
        </w:rPr>
      </w:pPr>
    </w:p>
    <w:p w:rsidRPr="008A79DC" w:rsidR="00C80EFD" w:rsidP="00C80EFD" w:rsidRDefault="00C80EFD">
      <w:pPr>
        <w:rPr>
          <w:rFonts w:ascii="Verdana" w:hAnsi="Verdana"/>
          <w:i/>
          <w:sz w:val="18"/>
          <w:szCs w:val="18"/>
        </w:rPr>
      </w:pPr>
      <w:r w:rsidRPr="008A79DC">
        <w:rPr>
          <w:rFonts w:ascii="Verdana" w:hAnsi="Verdana"/>
          <w:i/>
          <w:sz w:val="18"/>
          <w:szCs w:val="18"/>
        </w:rPr>
        <w:t>Wederopbouw Sint Maarten</w:t>
      </w:r>
    </w:p>
    <w:p w:rsidR="00C80EFD" w:rsidP="00C80EFD" w:rsidRDefault="00C80EFD">
      <w:pPr>
        <w:rPr>
          <w:rFonts w:ascii="Verdana" w:hAnsi="Verdana"/>
          <w:sz w:val="18"/>
          <w:szCs w:val="18"/>
        </w:rPr>
      </w:pPr>
      <w:r w:rsidRPr="008A79DC">
        <w:rPr>
          <w:rFonts w:ascii="Verdana" w:hAnsi="Verdana"/>
          <w:sz w:val="18"/>
          <w:szCs w:val="18"/>
        </w:rPr>
        <w:t>Na de verwoestingen die orkaan Irma heeft veroorzaakt zijn er middelen vrijgemaakt voor de wederopbouw van Sint Maarten. Het grootste deel van deze middelen komt in een fonds dat wordt beheerd door de Wereldbank. Dit betreft de tweede storting in het fonds via de begroting van Koninkrijksrelaties.</w:t>
      </w:r>
    </w:p>
    <w:p w:rsidRPr="00626CAF" w:rsidR="00626CAF" w:rsidP="00626CAF" w:rsidRDefault="00626CAF">
      <w:pPr>
        <w:rPr>
          <w:rFonts w:ascii="Verdana" w:hAnsi="Verdana"/>
          <w:i/>
          <w:sz w:val="18"/>
          <w:szCs w:val="18"/>
        </w:rPr>
      </w:pPr>
      <w:r w:rsidRPr="00626CAF">
        <w:rPr>
          <w:rFonts w:ascii="Verdana" w:hAnsi="Verdana"/>
          <w:i/>
          <w:sz w:val="18"/>
          <w:szCs w:val="18"/>
        </w:rPr>
        <w:t xml:space="preserve">Diversen </w:t>
      </w:r>
      <w:r>
        <w:rPr>
          <w:rFonts w:ascii="Verdana" w:hAnsi="Verdana"/>
          <w:i/>
          <w:sz w:val="18"/>
          <w:szCs w:val="18"/>
        </w:rPr>
        <w:t>- technisch</w:t>
      </w:r>
    </w:p>
    <w:p w:rsidRPr="008A79DC" w:rsidR="00626CAF" w:rsidP="00626CAF" w:rsidRDefault="00626CAF">
      <w:pPr>
        <w:rPr>
          <w:rFonts w:ascii="Verdana" w:hAnsi="Verdana"/>
          <w:sz w:val="18"/>
          <w:szCs w:val="18"/>
        </w:rPr>
      </w:pPr>
      <w:r w:rsidRPr="00626CAF">
        <w:rPr>
          <w:rFonts w:ascii="Verdana" w:hAnsi="Verdana"/>
          <w:sz w:val="18"/>
          <w:szCs w:val="18"/>
        </w:rPr>
        <w:lastRenderedPageBreak/>
        <w:t>Dit betreffen overhevelingen van middelen op de Aanvullende Post naar diverse begrotingen. Het gaat hier onder andere om het uitkeren van</w:t>
      </w:r>
      <w:r>
        <w:rPr>
          <w:rFonts w:ascii="Verdana" w:hAnsi="Verdana"/>
          <w:sz w:val="18"/>
          <w:szCs w:val="18"/>
        </w:rPr>
        <w:t xml:space="preserve"> middelen van de Regio-envelop</w:t>
      </w:r>
      <w:r w:rsidRPr="00626CAF">
        <w:rPr>
          <w:rFonts w:ascii="Verdana" w:hAnsi="Verdana"/>
          <w:sz w:val="18"/>
          <w:szCs w:val="18"/>
        </w:rPr>
        <w:t>.</w:t>
      </w:r>
    </w:p>
    <w:p w:rsidRPr="008A79DC" w:rsidR="00752578" w:rsidRDefault="00752578">
      <w:pPr>
        <w:rPr>
          <w:rFonts w:ascii="Verdana" w:hAnsi="Verdana" w:cs="Verdana"/>
          <w:b/>
          <w:bCs/>
          <w:sz w:val="18"/>
          <w:szCs w:val="18"/>
        </w:rPr>
      </w:pPr>
      <w:r w:rsidRPr="008A79DC">
        <w:rPr>
          <w:rFonts w:ascii="Verdana" w:hAnsi="Verdana" w:cs="Verdana"/>
          <w:b/>
          <w:bCs/>
          <w:sz w:val="18"/>
          <w:szCs w:val="18"/>
        </w:rPr>
        <w:br w:type="page"/>
      </w:r>
    </w:p>
    <w:tbl>
      <w:tblPr>
        <w:tblW w:w="6820" w:type="dxa"/>
        <w:tblCellMar>
          <w:left w:w="70" w:type="dxa"/>
          <w:right w:w="70" w:type="dxa"/>
        </w:tblCellMar>
        <w:tblLook w:val="04A0" w:firstRow="1" w:lastRow="0" w:firstColumn="1" w:lastColumn="0" w:noHBand="0" w:noVBand="1"/>
      </w:tblPr>
      <w:tblGrid>
        <w:gridCol w:w="5340"/>
        <w:gridCol w:w="1480"/>
      </w:tblGrid>
      <w:tr w:rsidR="0047201E" w:rsidTr="0047201E">
        <w:trPr>
          <w:trHeight w:val="225"/>
        </w:trPr>
        <w:tc>
          <w:tcPr>
            <w:tcW w:w="6820" w:type="dxa"/>
            <w:gridSpan w:val="2"/>
            <w:tcBorders>
              <w:top w:val="nil"/>
              <w:left w:val="nil"/>
              <w:bottom w:val="nil"/>
              <w:right w:val="nil"/>
            </w:tcBorders>
            <w:shd w:val="clear" w:color="auto" w:fill="auto"/>
            <w:hideMark/>
          </w:tcPr>
          <w:p w:rsidR="0047201E" w:rsidRDefault="0047201E">
            <w:pPr>
              <w:rPr>
                <w:rFonts w:ascii="Verdana" w:hAnsi="Verdana"/>
                <w:b/>
                <w:bCs/>
                <w:color w:val="000000"/>
                <w:sz w:val="18"/>
                <w:szCs w:val="18"/>
              </w:rPr>
            </w:pPr>
            <w:r>
              <w:rPr>
                <w:rFonts w:ascii="Verdana" w:hAnsi="Verdana"/>
                <w:b/>
                <w:bCs/>
                <w:color w:val="000000"/>
                <w:sz w:val="18"/>
                <w:szCs w:val="18"/>
              </w:rPr>
              <w:lastRenderedPageBreak/>
              <w:t>Homogene Groep Internationale Samenwerking</w:t>
            </w:r>
          </w:p>
          <w:p w:rsidR="0047201E" w:rsidRDefault="0047201E">
            <w:pPr>
              <w:rPr>
                <w:rFonts w:ascii="Verdana" w:hAnsi="Verdana"/>
                <w:b/>
                <w:bCs/>
                <w:color w:val="000000"/>
                <w:sz w:val="18"/>
                <w:szCs w:val="18"/>
              </w:rPr>
            </w:pPr>
          </w:p>
        </w:tc>
      </w:tr>
      <w:tr w:rsidR="0047201E" w:rsidTr="0047201E">
        <w:trPr>
          <w:trHeight w:val="225"/>
        </w:trPr>
        <w:tc>
          <w:tcPr>
            <w:tcW w:w="6820" w:type="dxa"/>
            <w:gridSpan w:val="2"/>
            <w:tcBorders>
              <w:top w:val="nil"/>
              <w:left w:val="nil"/>
              <w:bottom w:val="single" w:color="000000" w:sz="8" w:space="0"/>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HOMOGENE GROEP INTERNATIONALE SAMENWERKING: UITGAVEN</w:t>
            </w:r>
          </w:p>
        </w:tc>
      </w:tr>
      <w:tr w:rsidR="0047201E" w:rsidTr="0047201E">
        <w:trPr>
          <w:trHeight w:val="225"/>
        </w:trPr>
        <w:tc>
          <w:tcPr>
            <w:tcW w:w="5340" w:type="dxa"/>
            <w:tcBorders>
              <w:top w:val="nil"/>
              <w:left w:val="nil"/>
              <w:bottom w:val="single" w:color="000000" w:sz="8" w:space="0"/>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 </w:t>
            </w:r>
          </w:p>
        </w:tc>
        <w:tc>
          <w:tcPr>
            <w:tcW w:w="1480" w:type="dxa"/>
            <w:tcBorders>
              <w:top w:val="nil"/>
              <w:left w:val="nil"/>
              <w:bottom w:val="single" w:color="000000" w:sz="8" w:space="0"/>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2018</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Stand Miljoenennota 2019</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5.338,1</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0047201E" w:rsidRDefault="0047201E">
            <w:pPr>
              <w:rPr>
                <w:rFonts w:ascii="Verdana" w:hAnsi="Verdana"/>
                <w:color w:val="000000"/>
                <w:sz w:val="18"/>
                <w:szCs w:val="18"/>
              </w:rPr>
            </w:pP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180" w:firstLineChars="100"/>
              <w:rPr>
                <w:rFonts w:ascii="Verdana" w:hAnsi="Verdana"/>
                <w:color w:val="000000"/>
                <w:sz w:val="18"/>
                <w:szCs w:val="18"/>
              </w:rPr>
            </w:pPr>
            <w:r>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0047201E" w:rsidRDefault="0047201E">
            <w:pPr>
              <w:ind w:firstLine="180" w:firstLineChars="100"/>
              <w:rPr>
                <w:rFonts w:ascii="Verdana" w:hAnsi="Verdana"/>
                <w:color w:val="000000"/>
                <w:sz w:val="18"/>
                <w:szCs w:val="18"/>
              </w:rPr>
            </w:pP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-2,9</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-2,9</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0047201E" w:rsidRDefault="0047201E">
            <w:pPr>
              <w:rPr>
                <w:rFonts w:ascii="Verdana" w:hAnsi="Verdana"/>
                <w:color w:val="000000"/>
                <w:sz w:val="18"/>
                <w:szCs w:val="18"/>
              </w:rPr>
            </w:pP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180" w:firstLineChars="100"/>
              <w:rPr>
                <w:rFonts w:ascii="Verdana" w:hAnsi="Verdana"/>
                <w:color w:val="000000"/>
                <w:sz w:val="18"/>
                <w:szCs w:val="18"/>
              </w:rPr>
            </w:pPr>
            <w:r>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0047201E" w:rsidRDefault="0047201E">
            <w:pPr>
              <w:ind w:firstLine="180" w:firstLineChars="100"/>
              <w:rPr>
                <w:rFonts w:ascii="Verdana" w:hAnsi="Verdana"/>
                <w:color w:val="000000"/>
                <w:sz w:val="18"/>
                <w:szCs w:val="18"/>
              </w:rPr>
            </w:pP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Asiel: oda-toerekening</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-42,0</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Daling budget veiligheid, stabiliteit en rechtsorde</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-21,6</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Dggf</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-22,7</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Europees ontwikkelingsfonds</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-15,2</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Extra inzet overig armoedebeleid</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-54,8</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Onderwijs</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20,5</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Private sector en investeringsklimaat</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30,0</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Versterkte multilaterale betrokkenheid</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34,4</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Vertraging aflossing egalisatieschuld</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-16,0</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-0,1</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-87,5</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0047201E" w:rsidRDefault="0047201E">
            <w:pPr>
              <w:rPr>
                <w:rFonts w:ascii="Verdana" w:hAnsi="Verdana"/>
                <w:color w:val="000000"/>
                <w:sz w:val="18"/>
                <w:szCs w:val="18"/>
              </w:rPr>
            </w:pP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180" w:firstLineChars="100"/>
              <w:rPr>
                <w:rFonts w:ascii="Verdana" w:hAnsi="Verdana"/>
                <w:color w:val="000000"/>
                <w:sz w:val="18"/>
                <w:szCs w:val="18"/>
              </w:rPr>
            </w:pPr>
            <w:r>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0047201E" w:rsidRDefault="0047201E">
            <w:pPr>
              <w:ind w:firstLine="180" w:firstLineChars="100"/>
              <w:rPr>
                <w:rFonts w:ascii="Verdana" w:hAnsi="Verdana"/>
                <w:color w:val="000000"/>
                <w:sz w:val="18"/>
                <w:szCs w:val="18"/>
              </w:rPr>
            </w:pP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13,6</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13,6</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-76,8</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5.261,3</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p>
        </w:tc>
        <w:tc>
          <w:tcPr>
            <w:tcW w:w="1480" w:type="dxa"/>
            <w:tcBorders>
              <w:top w:val="nil"/>
              <w:left w:val="nil"/>
              <w:bottom w:val="nil"/>
              <w:right w:val="nil"/>
            </w:tcBorders>
            <w:shd w:val="clear" w:color="auto" w:fill="auto"/>
            <w:hideMark/>
          </w:tcPr>
          <w:p w:rsidR="0047201E" w:rsidRDefault="0047201E">
            <w:pPr>
              <w:rPr>
                <w:sz w:val="20"/>
                <w:szCs w:val="20"/>
              </w:rPr>
            </w:pPr>
          </w:p>
        </w:tc>
      </w:tr>
      <w:tr w:rsidR="0047201E" w:rsidTr="0047201E">
        <w:trPr>
          <w:trHeight w:val="495"/>
        </w:trPr>
        <w:tc>
          <w:tcPr>
            <w:tcW w:w="6820" w:type="dxa"/>
            <w:gridSpan w:val="2"/>
            <w:tcBorders>
              <w:top w:val="nil"/>
              <w:left w:val="nil"/>
              <w:bottom w:val="single" w:color="000000" w:sz="8" w:space="0"/>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HOMOGENE GROEP INTERNATIONALE SAMENWERKING: NIET-BELASTINGONTVANGSTEN</w:t>
            </w:r>
          </w:p>
        </w:tc>
      </w:tr>
      <w:tr w:rsidR="0047201E" w:rsidTr="0047201E">
        <w:trPr>
          <w:trHeight w:val="225"/>
        </w:trPr>
        <w:tc>
          <w:tcPr>
            <w:tcW w:w="5340" w:type="dxa"/>
            <w:tcBorders>
              <w:top w:val="nil"/>
              <w:left w:val="nil"/>
              <w:bottom w:val="single" w:color="000000" w:sz="8" w:space="0"/>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 </w:t>
            </w:r>
          </w:p>
        </w:tc>
        <w:tc>
          <w:tcPr>
            <w:tcW w:w="1480" w:type="dxa"/>
            <w:tcBorders>
              <w:top w:val="nil"/>
              <w:left w:val="nil"/>
              <w:bottom w:val="single" w:color="000000" w:sz="8" w:space="0"/>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2018</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Stand Miljoenennota 2019</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195,8</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Mee- en tegenvallers</w:t>
            </w:r>
          </w:p>
        </w:tc>
        <w:tc>
          <w:tcPr>
            <w:tcW w:w="1480" w:type="dxa"/>
            <w:tcBorders>
              <w:top w:val="nil"/>
              <w:left w:val="nil"/>
              <w:bottom w:val="nil"/>
              <w:right w:val="nil"/>
            </w:tcBorders>
            <w:shd w:val="clear" w:color="auto" w:fill="auto"/>
            <w:noWrap/>
            <w:vAlign w:val="bottom"/>
            <w:hideMark/>
          </w:tcPr>
          <w:p w:rsidR="0047201E" w:rsidRDefault="0047201E">
            <w:pPr>
              <w:rPr>
                <w:rFonts w:ascii="Verdana" w:hAnsi="Verdana"/>
                <w:color w:val="000000"/>
                <w:sz w:val="18"/>
                <w:szCs w:val="18"/>
              </w:rPr>
            </w:pP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180" w:firstLineChars="100"/>
              <w:rPr>
                <w:rFonts w:ascii="Verdana" w:hAnsi="Verdana"/>
                <w:color w:val="000000"/>
                <w:sz w:val="18"/>
                <w:szCs w:val="18"/>
              </w:rPr>
            </w:pPr>
            <w:r>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0047201E" w:rsidRDefault="0047201E">
            <w:pPr>
              <w:ind w:firstLine="180" w:firstLineChars="100"/>
              <w:rPr>
                <w:rFonts w:ascii="Verdana" w:hAnsi="Verdana"/>
                <w:color w:val="000000"/>
                <w:sz w:val="18"/>
                <w:szCs w:val="18"/>
              </w:rPr>
            </w:pP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-0,3</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-0,3</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Beleidsmatige mutaties</w:t>
            </w:r>
          </w:p>
        </w:tc>
        <w:tc>
          <w:tcPr>
            <w:tcW w:w="1480" w:type="dxa"/>
            <w:tcBorders>
              <w:top w:val="nil"/>
              <w:left w:val="nil"/>
              <w:bottom w:val="nil"/>
              <w:right w:val="nil"/>
            </w:tcBorders>
            <w:shd w:val="clear" w:color="auto" w:fill="auto"/>
            <w:noWrap/>
            <w:vAlign w:val="bottom"/>
            <w:hideMark/>
          </w:tcPr>
          <w:p w:rsidR="0047201E" w:rsidRDefault="0047201E">
            <w:pPr>
              <w:rPr>
                <w:rFonts w:ascii="Verdana" w:hAnsi="Verdana"/>
                <w:color w:val="000000"/>
                <w:sz w:val="18"/>
                <w:szCs w:val="18"/>
              </w:rPr>
            </w:pP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180" w:firstLineChars="100"/>
              <w:rPr>
                <w:rFonts w:ascii="Verdana" w:hAnsi="Verdana"/>
                <w:color w:val="000000"/>
                <w:sz w:val="18"/>
                <w:szCs w:val="18"/>
              </w:rPr>
            </w:pPr>
            <w:r>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0047201E" w:rsidRDefault="0047201E">
            <w:pPr>
              <w:ind w:firstLine="180" w:firstLineChars="100"/>
              <w:rPr>
                <w:rFonts w:ascii="Verdana" w:hAnsi="Verdana"/>
                <w:color w:val="000000"/>
                <w:sz w:val="18"/>
                <w:szCs w:val="18"/>
              </w:rPr>
            </w:pP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0,0</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0,0</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Technische mutaties</w:t>
            </w:r>
          </w:p>
        </w:tc>
        <w:tc>
          <w:tcPr>
            <w:tcW w:w="1480" w:type="dxa"/>
            <w:tcBorders>
              <w:top w:val="nil"/>
              <w:left w:val="nil"/>
              <w:bottom w:val="nil"/>
              <w:right w:val="nil"/>
            </w:tcBorders>
            <w:shd w:val="clear" w:color="auto" w:fill="auto"/>
            <w:noWrap/>
            <w:vAlign w:val="bottom"/>
            <w:hideMark/>
          </w:tcPr>
          <w:p w:rsidR="0047201E" w:rsidRDefault="0047201E">
            <w:pPr>
              <w:rPr>
                <w:rFonts w:ascii="Verdana" w:hAnsi="Verdana"/>
                <w:color w:val="000000"/>
                <w:sz w:val="18"/>
                <w:szCs w:val="18"/>
              </w:rPr>
            </w:pP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180" w:firstLineChars="100"/>
              <w:rPr>
                <w:rFonts w:ascii="Verdana" w:hAnsi="Verdana"/>
                <w:color w:val="000000"/>
                <w:sz w:val="18"/>
                <w:szCs w:val="18"/>
              </w:rPr>
            </w:pPr>
            <w:r>
              <w:rPr>
                <w:rFonts w:ascii="Verdana" w:hAnsi="Verdana"/>
                <w:color w:val="000000"/>
                <w:sz w:val="18"/>
                <w:szCs w:val="18"/>
              </w:rPr>
              <w:t>Rijksbegroting</w:t>
            </w:r>
          </w:p>
        </w:tc>
        <w:tc>
          <w:tcPr>
            <w:tcW w:w="1480" w:type="dxa"/>
            <w:tcBorders>
              <w:top w:val="nil"/>
              <w:left w:val="nil"/>
              <w:bottom w:val="nil"/>
              <w:right w:val="nil"/>
            </w:tcBorders>
            <w:shd w:val="clear" w:color="auto" w:fill="auto"/>
            <w:noWrap/>
            <w:vAlign w:val="bottom"/>
            <w:hideMark/>
          </w:tcPr>
          <w:p w:rsidR="0047201E" w:rsidRDefault="0047201E">
            <w:pPr>
              <w:ind w:firstLine="180" w:firstLineChars="100"/>
              <w:rPr>
                <w:rFonts w:ascii="Verdana" w:hAnsi="Verdana"/>
                <w:color w:val="000000"/>
                <w:sz w:val="18"/>
                <w:szCs w:val="18"/>
              </w:rPr>
            </w:pP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ind w:firstLine="360" w:firstLineChars="200"/>
              <w:rPr>
                <w:rFonts w:ascii="Verdana" w:hAnsi="Verdana"/>
                <w:color w:val="000000"/>
                <w:sz w:val="18"/>
                <w:szCs w:val="18"/>
              </w:rPr>
            </w:pPr>
            <w:r>
              <w:rPr>
                <w:rFonts w:ascii="Verdana" w:hAnsi="Verdana"/>
                <w:color w:val="000000"/>
                <w:sz w:val="18"/>
                <w:szCs w:val="18"/>
              </w:rPr>
              <w:t>Diversen</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13,6</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p>
        </w:tc>
        <w:tc>
          <w:tcPr>
            <w:tcW w:w="1480" w:type="dxa"/>
            <w:tcBorders>
              <w:top w:val="single" w:color="000000" w:sz="8" w:space="0"/>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13,6</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Totaal mutaties sinds Miljoenennota 2019</w:t>
            </w:r>
          </w:p>
        </w:tc>
        <w:tc>
          <w:tcPr>
            <w:tcW w:w="1480" w:type="dxa"/>
            <w:tcBorders>
              <w:top w:val="nil"/>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13,4</w:t>
            </w:r>
          </w:p>
        </w:tc>
      </w:tr>
      <w:tr w:rsidR="0047201E" w:rsidTr="0047201E">
        <w:trPr>
          <w:trHeight w:val="225"/>
        </w:trPr>
        <w:tc>
          <w:tcPr>
            <w:tcW w:w="5340" w:type="dxa"/>
            <w:tcBorders>
              <w:top w:val="nil"/>
              <w:left w:val="nil"/>
              <w:bottom w:val="nil"/>
              <w:right w:val="nil"/>
            </w:tcBorders>
            <w:shd w:val="clear" w:color="auto" w:fill="auto"/>
            <w:hideMark/>
          </w:tcPr>
          <w:p w:rsidR="0047201E" w:rsidRDefault="0047201E">
            <w:pPr>
              <w:rPr>
                <w:rFonts w:ascii="Verdana" w:hAnsi="Verdana"/>
                <w:color w:val="000000"/>
                <w:sz w:val="18"/>
                <w:szCs w:val="18"/>
              </w:rPr>
            </w:pPr>
            <w:r>
              <w:rPr>
                <w:rFonts w:ascii="Verdana" w:hAnsi="Verdana"/>
                <w:color w:val="000000"/>
                <w:sz w:val="18"/>
                <w:szCs w:val="18"/>
              </w:rPr>
              <w:t>Stand Najaarsnota 2018</w:t>
            </w:r>
          </w:p>
        </w:tc>
        <w:tc>
          <w:tcPr>
            <w:tcW w:w="1480" w:type="dxa"/>
            <w:tcBorders>
              <w:top w:val="single" w:color="000000" w:sz="8" w:space="0"/>
              <w:left w:val="nil"/>
              <w:bottom w:val="nil"/>
              <w:right w:val="nil"/>
            </w:tcBorders>
            <w:shd w:val="clear" w:color="auto" w:fill="auto"/>
            <w:hideMark/>
          </w:tcPr>
          <w:p w:rsidR="0047201E" w:rsidRDefault="0047201E">
            <w:pPr>
              <w:jc w:val="right"/>
              <w:rPr>
                <w:rFonts w:ascii="Verdana" w:hAnsi="Verdana"/>
                <w:color w:val="000000"/>
                <w:sz w:val="18"/>
                <w:szCs w:val="18"/>
              </w:rPr>
            </w:pPr>
            <w:r>
              <w:rPr>
                <w:rFonts w:ascii="Verdana" w:hAnsi="Verdana"/>
                <w:color w:val="000000"/>
                <w:sz w:val="18"/>
                <w:szCs w:val="18"/>
              </w:rPr>
              <w:t>209,2</w:t>
            </w:r>
          </w:p>
        </w:tc>
      </w:tr>
    </w:tbl>
    <w:p w:rsidRPr="008A79DC" w:rsidR="00752578" w:rsidP="00C41D99" w:rsidRDefault="00752578">
      <w:pPr>
        <w:spacing w:line="240" w:lineRule="exact"/>
        <w:rPr>
          <w:rFonts w:ascii="Verdana" w:hAnsi="Verdana" w:cs="Verdana"/>
          <w:b/>
          <w:bCs/>
          <w:sz w:val="18"/>
          <w:szCs w:val="18"/>
        </w:rPr>
      </w:pPr>
    </w:p>
    <w:p w:rsidRPr="008A79DC" w:rsidR="008A79DC" w:rsidP="00C41D99" w:rsidRDefault="008A79DC">
      <w:pPr>
        <w:spacing w:line="240" w:lineRule="exact"/>
        <w:rPr>
          <w:rFonts w:ascii="Verdana" w:hAnsi="Verdana" w:cs="Verdana"/>
          <w:b/>
          <w:bCs/>
          <w:sz w:val="18"/>
          <w:szCs w:val="18"/>
        </w:rPr>
      </w:pPr>
    </w:p>
    <w:p w:rsidRPr="008A79DC" w:rsidR="008A79DC" w:rsidP="008A79DC" w:rsidRDefault="008A79DC">
      <w:pPr>
        <w:rPr>
          <w:rFonts w:ascii="Verdana" w:hAnsi="Verdana" w:eastAsia="Calibri"/>
          <w:sz w:val="18"/>
          <w:szCs w:val="18"/>
          <w:lang w:eastAsia="en-US"/>
        </w:rPr>
      </w:pPr>
      <w:r w:rsidRPr="008A79DC">
        <w:rPr>
          <w:rFonts w:ascii="Verdana" w:hAnsi="Verdana" w:eastAsia="Calibri"/>
          <w:i/>
          <w:sz w:val="18"/>
          <w:szCs w:val="18"/>
          <w:lang w:eastAsia="en-US"/>
        </w:rPr>
        <w:t>Asiel: ODA-toerekening</w:t>
      </w:r>
      <w:r w:rsidRPr="008A79DC">
        <w:rPr>
          <w:rFonts w:ascii="Verdana" w:hAnsi="Verdana" w:eastAsia="Calibri"/>
          <w:sz w:val="18"/>
          <w:szCs w:val="18"/>
          <w:lang w:eastAsia="en-US"/>
        </w:rPr>
        <w:br/>
        <w:t>Kosten voor de eerstejaarsopvang van asielzoekers uit DAC-landen worden volgens afspraken binnen OESO-DAC toegerekend aan ODA (official development assistance). Op basis van de reguliere herijking van de instroomraming is deze voor 2018 bijgesteld van 30.000 naar 37.000 personen. De ODA-toerekening wordt daarom naar boven bijgesteld. BHOS boekt om deze reden 42 mln. naar de begroting van JenV.</w:t>
      </w:r>
    </w:p>
    <w:p w:rsidRPr="008A79DC" w:rsidR="008A79DC" w:rsidP="008A79DC" w:rsidRDefault="008A79DC">
      <w:pPr>
        <w:autoSpaceDE w:val="0"/>
        <w:autoSpaceDN w:val="0"/>
        <w:adjustRightInd w:val="0"/>
        <w:rPr>
          <w:rFonts w:ascii="Verdana" w:hAnsi="Verdana" w:eastAsia="Calibri"/>
          <w:i/>
          <w:sz w:val="18"/>
          <w:szCs w:val="18"/>
          <w:lang w:eastAsia="en-US"/>
        </w:rPr>
      </w:pPr>
    </w:p>
    <w:p w:rsidRPr="008A79DC" w:rsidR="008A79DC" w:rsidP="008A79DC" w:rsidRDefault="008A79DC">
      <w:pPr>
        <w:autoSpaceDE w:val="0"/>
        <w:autoSpaceDN w:val="0"/>
        <w:adjustRightInd w:val="0"/>
        <w:rPr>
          <w:rFonts w:ascii="Verdana" w:hAnsi="Verdana" w:eastAsia="Calibri"/>
          <w:i/>
          <w:sz w:val="18"/>
          <w:szCs w:val="18"/>
          <w:lang w:eastAsia="en-US"/>
        </w:rPr>
      </w:pPr>
      <w:r w:rsidRPr="008A79DC">
        <w:rPr>
          <w:rFonts w:ascii="Verdana" w:hAnsi="Verdana"/>
          <w:i/>
          <w:sz w:val="18"/>
          <w:szCs w:val="18"/>
        </w:rPr>
        <w:t>Daling budget veiligheid, stabiliteit en rechtsorde</w:t>
      </w:r>
    </w:p>
    <w:p w:rsidRPr="008A79DC" w:rsidR="008A79DC" w:rsidP="008A79DC" w:rsidRDefault="008A79DC">
      <w:pPr>
        <w:autoSpaceDE w:val="0"/>
        <w:autoSpaceDN w:val="0"/>
        <w:adjustRightInd w:val="0"/>
        <w:rPr>
          <w:rFonts w:ascii="Verdana" w:hAnsi="Verdana" w:eastAsia="Calibri"/>
          <w:sz w:val="18"/>
          <w:szCs w:val="18"/>
          <w:lang w:eastAsia="en-US"/>
        </w:rPr>
      </w:pPr>
      <w:r w:rsidRPr="008A79DC">
        <w:rPr>
          <w:rFonts w:ascii="Verdana" w:hAnsi="Verdana" w:eastAsia="Calibri"/>
          <w:sz w:val="18"/>
          <w:szCs w:val="18"/>
          <w:lang w:eastAsia="en-US"/>
        </w:rPr>
        <w:t xml:space="preserve">Het budget voor veiligheid, stabiliteit en rechtsorde daalt met 13 mln. door lager uitvallende bijdragen aan het UNDP Law and Order Trustfund for Afghanistan (LOFTA) en de OVSE. Het budget </w:t>
      </w:r>
      <w:r w:rsidRPr="008A79DC">
        <w:rPr>
          <w:rFonts w:ascii="Verdana" w:hAnsi="Verdana" w:eastAsia="Calibri"/>
          <w:sz w:val="18"/>
          <w:szCs w:val="18"/>
          <w:lang w:eastAsia="en-US"/>
        </w:rPr>
        <w:lastRenderedPageBreak/>
        <w:t>is verder met 8 mln. naar beneden bijgesteld ten behoeve van overhevelingen naar andere artikelen om intensiveringen in het kader van het lidmaatschap van de VNVR, mensenrechten en de bestrijding van chemische wapens in vorm van steun aan de OPCW mogelijk te maken.</w:t>
      </w:r>
    </w:p>
    <w:p w:rsidRPr="008A79DC" w:rsidR="008A79DC" w:rsidP="008A79DC" w:rsidRDefault="008A79DC">
      <w:pPr>
        <w:autoSpaceDE w:val="0"/>
        <w:autoSpaceDN w:val="0"/>
        <w:adjustRightInd w:val="0"/>
        <w:rPr>
          <w:rFonts w:ascii="Verdana" w:hAnsi="Verdana" w:eastAsia="Calibri"/>
          <w:i/>
          <w:sz w:val="18"/>
          <w:szCs w:val="18"/>
          <w:lang w:eastAsia="en-US"/>
        </w:rPr>
      </w:pPr>
    </w:p>
    <w:p w:rsidRPr="008A79DC" w:rsidR="008A79DC" w:rsidP="008A79DC" w:rsidRDefault="008A79DC">
      <w:pPr>
        <w:autoSpaceDE w:val="0"/>
        <w:autoSpaceDN w:val="0"/>
        <w:adjustRightInd w:val="0"/>
        <w:rPr>
          <w:rFonts w:ascii="Verdana" w:hAnsi="Verdana" w:eastAsia="Calibri"/>
          <w:sz w:val="18"/>
          <w:szCs w:val="18"/>
          <w:lang w:eastAsia="en-US"/>
        </w:rPr>
      </w:pPr>
      <w:r w:rsidRPr="008A79DC">
        <w:rPr>
          <w:rFonts w:ascii="Verdana" w:hAnsi="Verdana" w:eastAsia="Calibri"/>
          <w:i/>
          <w:sz w:val="18"/>
          <w:szCs w:val="18"/>
          <w:lang w:eastAsia="en-US"/>
        </w:rPr>
        <w:t>DGGF</w:t>
      </w:r>
      <w:r w:rsidRPr="008A79DC">
        <w:rPr>
          <w:rFonts w:ascii="Verdana" w:hAnsi="Verdana" w:eastAsia="Calibri"/>
          <w:i/>
          <w:sz w:val="18"/>
          <w:szCs w:val="18"/>
          <w:lang w:eastAsia="en-US"/>
        </w:rPr>
        <w:br/>
      </w:r>
      <w:r w:rsidRPr="008A79DC">
        <w:rPr>
          <w:rFonts w:ascii="Verdana" w:hAnsi="Verdana" w:eastAsia="Calibri"/>
          <w:sz w:val="18"/>
          <w:szCs w:val="18"/>
          <w:lang w:eastAsia="en-US"/>
        </w:rPr>
        <w:t>Het Dutch Good Growth Fund (DGGF) heeft als doel het bevorderen van handel en investeringen van het MKB in ontwikkelingslanden en Nederlandse bedrijven die in ontwikkelingslanden willen investeren. Vanaf 2014 is meerjarig 700 mln. beschikbaar om het fonds te voeden, waarna het DGGF moet revolveren. De beschikbare middelen voor 2018 zijn niet volledig uitgeput.</w:t>
      </w:r>
    </w:p>
    <w:p w:rsidRPr="008A79DC" w:rsidR="008A79DC" w:rsidP="008A79DC" w:rsidRDefault="008A79DC">
      <w:pPr>
        <w:autoSpaceDE w:val="0"/>
        <w:autoSpaceDN w:val="0"/>
        <w:adjustRightInd w:val="0"/>
        <w:rPr>
          <w:rFonts w:ascii="Verdana" w:hAnsi="Verdana"/>
          <w:i/>
          <w:sz w:val="18"/>
          <w:szCs w:val="18"/>
        </w:rPr>
      </w:pPr>
    </w:p>
    <w:p w:rsidRPr="008A79DC" w:rsidR="008A79DC" w:rsidP="008A79DC" w:rsidRDefault="008A79DC">
      <w:pPr>
        <w:autoSpaceDE w:val="0"/>
        <w:autoSpaceDN w:val="0"/>
        <w:adjustRightInd w:val="0"/>
        <w:rPr>
          <w:rFonts w:ascii="Verdana" w:hAnsi="Verdana" w:eastAsia="Calibri"/>
          <w:i/>
          <w:sz w:val="18"/>
          <w:szCs w:val="18"/>
          <w:lang w:eastAsia="en-US"/>
        </w:rPr>
      </w:pPr>
      <w:r w:rsidRPr="008A79DC">
        <w:rPr>
          <w:rFonts w:ascii="Verdana" w:hAnsi="Verdana"/>
          <w:i/>
          <w:sz w:val="18"/>
          <w:szCs w:val="18"/>
        </w:rPr>
        <w:t>Europees ontwikkelingsfonds</w:t>
      </w:r>
    </w:p>
    <w:p w:rsidRPr="008A79DC" w:rsidR="008A79DC" w:rsidP="008A79DC" w:rsidRDefault="008A79DC">
      <w:pPr>
        <w:autoSpaceDE w:val="0"/>
        <w:autoSpaceDN w:val="0"/>
        <w:adjustRightInd w:val="0"/>
        <w:rPr>
          <w:rFonts w:ascii="Verdana" w:hAnsi="Verdana"/>
          <w:sz w:val="18"/>
          <w:szCs w:val="18"/>
        </w:rPr>
      </w:pPr>
      <w:r w:rsidRPr="008A79DC">
        <w:rPr>
          <w:rFonts w:ascii="Verdana" w:hAnsi="Verdana"/>
          <w:sz w:val="18"/>
          <w:szCs w:val="18"/>
        </w:rPr>
        <w:t xml:space="preserve">De afdrachten aan het 11e Europees Ontwikkelingsfonds (EOF) zijn voor 2018 naar beneden bijgesteld. Voor Nederland betekent dit een verlaging van 15 mln. in het lopende jaar. De neerwaartse bijstelling is het gevolg van minder aangegane verplichtingen dan door de Commissie begroot. </w:t>
      </w:r>
    </w:p>
    <w:p w:rsidRPr="008A79DC" w:rsidR="008A79DC" w:rsidP="008A79DC" w:rsidRDefault="008A79DC">
      <w:pPr>
        <w:autoSpaceDE w:val="0"/>
        <w:autoSpaceDN w:val="0"/>
        <w:adjustRightInd w:val="0"/>
        <w:rPr>
          <w:rFonts w:ascii="Verdana" w:hAnsi="Verdana"/>
          <w:sz w:val="18"/>
          <w:szCs w:val="18"/>
        </w:rPr>
      </w:pPr>
    </w:p>
    <w:p w:rsidRPr="008A79DC" w:rsidR="008A79DC" w:rsidP="008A79DC" w:rsidRDefault="008A79DC">
      <w:pPr>
        <w:autoSpaceDE w:val="0"/>
        <w:autoSpaceDN w:val="0"/>
        <w:adjustRightInd w:val="0"/>
        <w:rPr>
          <w:rFonts w:ascii="Verdana" w:hAnsi="Verdana"/>
          <w:i/>
          <w:sz w:val="18"/>
          <w:szCs w:val="18"/>
        </w:rPr>
      </w:pPr>
      <w:r w:rsidRPr="008A79DC">
        <w:rPr>
          <w:rFonts w:ascii="Verdana" w:hAnsi="Verdana"/>
          <w:i/>
          <w:sz w:val="18"/>
          <w:szCs w:val="18"/>
        </w:rPr>
        <w:t>Extra inzet overig armoedebeleid</w:t>
      </w:r>
    </w:p>
    <w:p w:rsidRPr="008A79DC" w:rsidR="008A79DC" w:rsidP="008A79DC" w:rsidRDefault="008A79DC">
      <w:pPr>
        <w:autoSpaceDE w:val="0"/>
        <w:autoSpaceDN w:val="0"/>
        <w:adjustRightInd w:val="0"/>
        <w:rPr>
          <w:rFonts w:ascii="Verdana" w:hAnsi="Verdana"/>
          <w:sz w:val="18"/>
          <w:szCs w:val="18"/>
        </w:rPr>
      </w:pPr>
      <w:r w:rsidRPr="008A79DC">
        <w:rPr>
          <w:rFonts w:ascii="Verdana" w:hAnsi="Verdana"/>
          <w:sz w:val="18"/>
          <w:szCs w:val="18"/>
        </w:rPr>
        <w:t>Artikel 5.4., het artikelonderdeel waarop mutaties worden verwerkt als gevolg van BNI-ontwikkelingen en wijzigingen in toerekeningen, wordt per saldo verlaagd met 54,8 miljoen. Deze mutatie bestaat uit een verlaging van het artikel met 84 mln. en een verhoging door o.a. de lagere afdrachten aan het EOF (15 mln.) en de daling van het budget voor veiligheid, stabiliteit en rechtsorde (13 mln.). De middelen worden ingezet voor uitgaven op verschillende artikelen binnen de begroting van BHOS, bijvoorbeeld onderwijs, private sector en investeringsklimaat en extra inzet overig armoedebeleid. Gedurende het jaar wordt de minstand ingevuld door onderuitputting op de BHOS-begroting. De ervaring leert dat op de BHOS-begroting altijd minder uitgegeven wordt dan geraamd door onvoorspelbare factoren in ontwikkelingslanden (bijvoorbeeld politieke instabiliteit).</w:t>
      </w:r>
    </w:p>
    <w:p w:rsidRPr="008A79DC" w:rsidR="008A79DC" w:rsidP="008A79DC" w:rsidRDefault="008A79DC">
      <w:pPr>
        <w:autoSpaceDE w:val="0"/>
        <w:autoSpaceDN w:val="0"/>
        <w:adjustRightInd w:val="0"/>
        <w:rPr>
          <w:rFonts w:ascii="Verdana" w:hAnsi="Verdana"/>
          <w:sz w:val="18"/>
          <w:szCs w:val="18"/>
        </w:rPr>
      </w:pPr>
    </w:p>
    <w:p w:rsidRPr="008A79DC" w:rsidR="008A79DC" w:rsidP="008A79DC" w:rsidRDefault="008A79DC">
      <w:pPr>
        <w:autoSpaceDE w:val="0"/>
        <w:autoSpaceDN w:val="0"/>
        <w:adjustRightInd w:val="0"/>
        <w:rPr>
          <w:rFonts w:ascii="Verdana" w:hAnsi="Verdana"/>
          <w:i/>
          <w:sz w:val="18"/>
          <w:szCs w:val="18"/>
        </w:rPr>
      </w:pPr>
      <w:r w:rsidRPr="008A79DC">
        <w:rPr>
          <w:rFonts w:ascii="Verdana" w:hAnsi="Verdana"/>
          <w:i/>
          <w:sz w:val="18"/>
          <w:szCs w:val="18"/>
        </w:rPr>
        <w:t>Onderwijs</w:t>
      </w:r>
    </w:p>
    <w:p w:rsidRPr="008A79DC" w:rsidR="008A79DC" w:rsidP="008A79DC" w:rsidRDefault="008A79DC">
      <w:pPr>
        <w:autoSpaceDE w:val="0"/>
        <w:autoSpaceDN w:val="0"/>
        <w:adjustRightInd w:val="0"/>
        <w:rPr>
          <w:rFonts w:ascii="Verdana" w:hAnsi="Verdana"/>
          <w:sz w:val="18"/>
          <w:szCs w:val="18"/>
        </w:rPr>
      </w:pPr>
      <w:r w:rsidRPr="008A79DC">
        <w:rPr>
          <w:rFonts w:ascii="Verdana" w:hAnsi="Verdana"/>
          <w:sz w:val="18"/>
          <w:szCs w:val="18"/>
        </w:rPr>
        <w:t>De verhoging is het saldo van een drietal mutaties. Een extra bijdrage aan het Global Partnership for Education (25 mln.), een overheveling naar artikel 4.1. voor het programma Education Cannot Wait (3 mln.), en een lager dan verwachte liquiditeitsbehoefte van het beurzenprogramma van NUFFIC (1 mln.).</w:t>
      </w:r>
    </w:p>
    <w:p w:rsidRPr="008A79DC" w:rsidR="008A79DC" w:rsidP="008A79DC" w:rsidRDefault="008A79DC">
      <w:pPr>
        <w:autoSpaceDE w:val="0"/>
        <w:autoSpaceDN w:val="0"/>
        <w:adjustRightInd w:val="0"/>
        <w:rPr>
          <w:rFonts w:ascii="Verdana" w:hAnsi="Verdana"/>
          <w:i/>
          <w:sz w:val="18"/>
          <w:szCs w:val="18"/>
        </w:rPr>
      </w:pPr>
    </w:p>
    <w:p w:rsidR="00F66B05" w:rsidP="00F66B05" w:rsidRDefault="00F66B05">
      <w:r>
        <w:rPr>
          <w:rFonts w:ascii="Verdana" w:hAnsi="Verdana"/>
          <w:i/>
          <w:iCs/>
          <w:sz w:val="20"/>
          <w:szCs w:val="20"/>
        </w:rPr>
        <w:t>Private sector en investeringsklimaat</w:t>
      </w:r>
    </w:p>
    <w:p w:rsidRPr="00F66B05" w:rsidR="00F66B05" w:rsidP="00F66B05" w:rsidRDefault="00F66B05">
      <w:pPr>
        <w:rPr>
          <w:sz w:val="18"/>
          <w:szCs w:val="18"/>
        </w:rPr>
      </w:pPr>
      <w:r w:rsidRPr="00F66B05">
        <w:rPr>
          <w:rFonts w:ascii="Verdana" w:hAnsi="Verdana"/>
          <w:sz w:val="18"/>
          <w:szCs w:val="18"/>
        </w:rPr>
        <w:t>Deze mutatie betreft een verhoging van de</w:t>
      </w:r>
      <w:r>
        <w:rPr>
          <w:rFonts w:ascii="Verdana" w:hAnsi="Verdana"/>
          <w:sz w:val="18"/>
          <w:szCs w:val="18"/>
        </w:rPr>
        <w:t xml:space="preserve"> uitgaven aan financiële sector</w:t>
      </w:r>
      <w:r w:rsidRPr="00F66B05">
        <w:rPr>
          <w:rFonts w:ascii="Verdana" w:hAnsi="Verdana"/>
          <w:sz w:val="18"/>
          <w:szCs w:val="18"/>
        </w:rPr>
        <w:t>ontwikkeling en infrastructuurontwikkeling. Het bedrag bestaat uit nieuwe verplichtingen ten behoeve van Massif (Micro and Small Enterprise Fund), het One Acre Fund en de Private Infrastructure Development Group die hoger uitvalt dan geraamd.</w:t>
      </w:r>
    </w:p>
    <w:p w:rsidRPr="008A79DC" w:rsidR="00F66B05" w:rsidP="008A79DC" w:rsidRDefault="00F66B05">
      <w:pPr>
        <w:autoSpaceDE w:val="0"/>
        <w:autoSpaceDN w:val="0"/>
        <w:adjustRightInd w:val="0"/>
        <w:rPr>
          <w:rFonts w:ascii="Verdana" w:hAnsi="Verdana"/>
          <w:i/>
          <w:sz w:val="18"/>
          <w:szCs w:val="18"/>
        </w:rPr>
      </w:pPr>
    </w:p>
    <w:p w:rsidRPr="008A79DC" w:rsidR="008A79DC" w:rsidP="008A79DC" w:rsidRDefault="008A79DC">
      <w:pPr>
        <w:autoSpaceDE w:val="0"/>
        <w:autoSpaceDN w:val="0"/>
        <w:adjustRightInd w:val="0"/>
        <w:rPr>
          <w:rFonts w:ascii="Verdana" w:hAnsi="Verdana"/>
          <w:sz w:val="18"/>
          <w:szCs w:val="18"/>
        </w:rPr>
      </w:pPr>
      <w:r w:rsidRPr="008A79DC">
        <w:rPr>
          <w:rFonts w:ascii="Verdana" w:hAnsi="Verdana"/>
          <w:i/>
          <w:sz w:val="18"/>
          <w:szCs w:val="18"/>
        </w:rPr>
        <w:t>Versterkte multilaterale betrokkenheid</w:t>
      </w:r>
    </w:p>
    <w:p w:rsidRPr="008A79DC" w:rsidR="008A79DC" w:rsidP="008A79DC" w:rsidRDefault="008A79DC">
      <w:pPr>
        <w:autoSpaceDE w:val="0"/>
        <w:autoSpaceDN w:val="0"/>
        <w:adjustRightInd w:val="0"/>
        <w:rPr>
          <w:rFonts w:ascii="Verdana" w:hAnsi="Verdana" w:eastAsia="Calibri"/>
          <w:sz w:val="18"/>
          <w:szCs w:val="18"/>
          <w:lang w:eastAsia="en-US"/>
        </w:rPr>
      </w:pPr>
      <w:r w:rsidRPr="008A79DC">
        <w:rPr>
          <w:rFonts w:ascii="Verdana" w:hAnsi="Verdana" w:eastAsia="Calibri"/>
          <w:sz w:val="18"/>
          <w:szCs w:val="18"/>
          <w:lang w:eastAsia="en-US"/>
        </w:rPr>
        <w:t xml:space="preserve">Het budget voor versterkte multilaterale betrokkenheid is met 10 mln. verhoogd voor algemene vrijwillige bijdragen aan o.a. UNICEF, UNDP en UNFPA. Daarnaast draagt Nederland bij aan een aantal VN-activiteiten, zoals o.a. het </w:t>
      </w:r>
      <w:r w:rsidRPr="008A79DC">
        <w:rPr>
          <w:rFonts w:ascii="Verdana" w:hAnsi="Verdana"/>
          <w:sz w:val="18"/>
          <w:szCs w:val="18"/>
        </w:rPr>
        <w:t>Resident Coördinator Fund (5 mln.), het Joint Fund for the Agenda 2030 (10 mln.), het VN-Funding Compact (3 mln.) en een versnelde invoer van het assistent-deskundigen programma (1,8 mln.).</w:t>
      </w:r>
    </w:p>
    <w:p w:rsidRPr="008A79DC" w:rsidR="008A79DC" w:rsidP="008A79DC" w:rsidRDefault="008A79DC">
      <w:pPr>
        <w:autoSpaceDE w:val="0"/>
        <w:autoSpaceDN w:val="0"/>
        <w:adjustRightInd w:val="0"/>
        <w:rPr>
          <w:rFonts w:ascii="Verdana" w:hAnsi="Verdana"/>
          <w:i/>
          <w:sz w:val="18"/>
          <w:szCs w:val="18"/>
        </w:rPr>
      </w:pPr>
    </w:p>
    <w:p w:rsidRPr="008A79DC" w:rsidR="008A79DC" w:rsidP="008A79DC" w:rsidRDefault="008A79DC">
      <w:pPr>
        <w:autoSpaceDE w:val="0"/>
        <w:autoSpaceDN w:val="0"/>
        <w:adjustRightInd w:val="0"/>
        <w:rPr>
          <w:rFonts w:ascii="Verdana" w:hAnsi="Verdana" w:eastAsia="Calibri"/>
          <w:sz w:val="18"/>
          <w:szCs w:val="18"/>
          <w:lang w:eastAsia="en-US"/>
        </w:rPr>
      </w:pPr>
      <w:r w:rsidRPr="008A79DC">
        <w:rPr>
          <w:rFonts w:ascii="Verdana" w:hAnsi="Verdana"/>
          <w:i/>
          <w:sz w:val="18"/>
          <w:szCs w:val="18"/>
        </w:rPr>
        <w:t>Vertraging aflossing egalisatieschuld</w:t>
      </w:r>
    </w:p>
    <w:p w:rsidRPr="008A79DC" w:rsidR="008A79DC" w:rsidP="008A79DC" w:rsidRDefault="008A79DC">
      <w:pPr>
        <w:rPr>
          <w:rFonts w:ascii="Verdana" w:hAnsi="Verdana" w:eastAsia="Calibri"/>
          <w:sz w:val="18"/>
          <w:szCs w:val="18"/>
          <w:lang w:eastAsia="en-US"/>
        </w:rPr>
      </w:pPr>
      <w:r w:rsidRPr="008A79DC">
        <w:rPr>
          <w:rFonts w:ascii="Verdana" w:hAnsi="Verdana" w:eastAsia="Calibri"/>
          <w:sz w:val="18"/>
          <w:szCs w:val="18"/>
          <w:lang w:eastAsia="en-US"/>
        </w:rPr>
        <w:t>De aflossing door het ministerie van JenV van de egalisatieschuld, de schuld bij het Rijksvastgoedbedrijf, komt niet tot betaling in 2018, maar in 2019.</w:t>
      </w:r>
    </w:p>
    <w:p w:rsidRPr="008A79DC" w:rsidR="008A79DC" w:rsidP="008A79DC" w:rsidRDefault="008A79DC">
      <w:pPr>
        <w:rPr>
          <w:rFonts w:ascii="Verdana" w:hAnsi="Verdana"/>
        </w:rPr>
      </w:pPr>
    </w:p>
    <w:p w:rsidRPr="008A79DC" w:rsidR="008A79DC" w:rsidP="008A79DC" w:rsidRDefault="008A79DC">
      <w:pPr>
        <w:autoSpaceDE w:val="0"/>
        <w:autoSpaceDN w:val="0"/>
        <w:adjustRightInd w:val="0"/>
        <w:rPr>
          <w:rFonts w:ascii="Verdana" w:hAnsi="Verdana" w:eastAsia="Calibri"/>
          <w:sz w:val="18"/>
          <w:szCs w:val="18"/>
          <w:lang w:eastAsia="en-US"/>
        </w:rPr>
      </w:pPr>
      <w:r w:rsidRPr="008A79DC">
        <w:rPr>
          <w:rFonts w:ascii="Verdana" w:hAnsi="Verdana" w:eastAsia="Calibri"/>
          <w:i/>
          <w:sz w:val="18"/>
          <w:szCs w:val="18"/>
          <w:lang w:eastAsia="en-US"/>
        </w:rPr>
        <w:t xml:space="preserve">Diversen </w:t>
      </w:r>
      <w:r>
        <w:rPr>
          <w:rFonts w:ascii="Verdana" w:hAnsi="Verdana" w:eastAsia="Calibri"/>
          <w:i/>
          <w:sz w:val="18"/>
          <w:szCs w:val="18"/>
          <w:lang w:eastAsia="en-US"/>
        </w:rPr>
        <w:t xml:space="preserve">- </w:t>
      </w:r>
      <w:r w:rsidRPr="008A79DC">
        <w:rPr>
          <w:rFonts w:ascii="Verdana" w:hAnsi="Verdana" w:eastAsia="Calibri"/>
          <w:i/>
          <w:sz w:val="18"/>
          <w:szCs w:val="18"/>
          <w:lang w:eastAsia="en-US"/>
        </w:rPr>
        <w:t>mee- en tegenvallers</w:t>
      </w:r>
      <w:r>
        <w:rPr>
          <w:rFonts w:ascii="Verdana" w:hAnsi="Verdana" w:eastAsia="Calibri"/>
          <w:i/>
          <w:sz w:val="18"/>
          <w:szCs w:val="18"/>
          <w:lang w:eastAsia="en-US"/>
        </w:rPr>
        <w:t xml:space="preserve"> en</w:t>
      </w:r>
      <w:r w:rsidRPr="008A79DC">
        <w:rPr>
          <w:rFonts w:ascii="Verdana" w:hAnsi="Verdana" w:eastAsia="Calibri"/>
          <w:i/>
          <w:sz w:val="18"/>
          <w:szCs w:val="18"/>
          <w:lang w:eastAsia="en-US"/>
        </w:rPr>
        <w:t xml:space="preserve"> beleidsmatige mutaties</w:t>
      </w:r>
      <w:r>
        <w:rPr>
          <w:rFonts w:ascii="Verdana" w:hAnsi="Verdana" w:eastAsia="Calibri"/>
          <w:i/>
          <w:sz w:val="18"/>
          <w:szCs w:val="18"/>
          <w:lang w:eastAsia="en-US"/>
        </w:rPr>
        <w:t>,</w:t>
      </w:r>
      <w:r w:rsidRPr="008A79DC">
        <w:rPr>
          <w:rFonts w:ascii="Verdana" w:hAnsi="Verdana" w:eastAsia="Calibri"/>
          <w:i/>
          <w:sz w:val="18"/>
          <w:szCs w:val="18"/>
          <w:lang w:eastAsia="en-US"/>
        </w:rPr>
        <w:t xml:space="preserve"> uitgaven</w:t>
      </w:r>
      <w:r w:rsidRPr="008A79DC">
        <w:rPr>
          <w:rFonts w:ascii="Verdana" w:hAnsi="Verdana" w:eastAsia="Calibri"/>
          <w:i/>
          <w:sz w:val="18"/>
          <w:szCs w:val="18"/>
          <w:lang w:eastAsia="en-US"/>
        </w:rPr>
        <w:br/>
      </w:r>
      <w:r w:rsidRPr="008A79DC">
        <w:rPr>
          <w:rFonts w:ascii="Verdana" w:hAnsi="Verdana" w:eastAsia="Calibri"/>
          <w:sz w:val="18"/>
          <w:szCs w:val="18"/>
          <w:lang w:eastAsia="en-US"/>
        </w:rPr>
        <w:t>Deze post betreft een som van mutaties, waarvan de grootste zich voordoen op de begroting van BZ en BHOS. Het budget voor bijdragen aan humanitaire noden is verhoogd met 11 mln. ten behoeve van o.a. UNHCR, UNWRA, ICRC, WFP en humanitaire hulp aan Jemen en Zuid-Soedan. Verder is het budget voor water verhoogd met 10 mln. om activiteiten in Benin, de Centraal Afrikaanse Republiek, Ghana en Mauritanië op dit gebied nog een jaar te kunnen voortzetten. Het budget voor voedselzekerheid daalt met 13 mln. vanwege lager dan verwachte uitgaven. Daarnaast daalt de bijdrage aan migratie en ontwikkeling met 10 mln. omdat dit gedekt wordt vanuit het EU Trust Fund Budget. Deze middelen worden ingezet voor opvang in de regio.</w:t>
      </w:r>
    </w:p>
    <w:p w:rsidR="008A79DC" w:rsidP="008A79DC" w:rsidRDefault="008A79DC">
      <w:pPr>
        <w:autoSpaceDE w:val="0"/>
        <w:autoSpaceDN w:val="0"/>
        <w:adjustRightInd w:val="0"/>
        <w:rPr>
          <w:rFonts w:ascii="Verdana" w:hAnsi="Verdana" w:eastAsia="Calibri"/>
          <w:sz w:val="18"/>
          <w:szCs w:val="18"/>
          <w:lang w:eastAsia="en-US"/>
        </w:rPr>
      </w:pPr>
    </w:p>
    <w:p w:rsidR="008A79DC" w:rsidP="008A79DC" w:rsidRDefault="008A79DC">
      <w:pPr>
        <w:autoSpaceDE w:val="0"/>
        <w:autoSpaceDN w:val="0"/>
        <w:adjustRightInd w:val="0"/>
        <w:rPr>
          <w:rFonts w:ascii="Verdana" w:hAnsi="Verdana" w:eastAsia="Calibri"/>
          <w:sz w:val="18"/>
          <w:szCs w:val="18"/>
          <w:lang w:eastAsia="en-US"/>
        </w:rPr>
      </w:pPr>
    </w:p>
    <w:p w:rsidRPr="008A79DC" w:rsidR="008A79DC" w:rsidP="008A79DC" w:rsidRDefault="008A79DC">
      <w:pPr>
        <w:rPr>
          <w:rFonts w:ascii="Verdana" w:hAnsi="Verdana" w:eastAsia="Calibri"/>
          <w:i/>
          <w:sz w:val="18"/>
          <w:szCs w:val="18"/>
          <w:lang w:eastAsia="en-US"/>
        </w:rPr>
      </w:pPr>
      <w:r w:rsidRPr="008A79DC">
        <w:rPr>
          <w:rFonts w:ascii="Verdana" w:hAnsi="Verdana"/>
          <w:i/>
          <w:sz w:val="18"/>
          <w:szCs w:val="18"/>
        </w:rPr>
        <w:t xml:space="preserve">Diversen </w:t>
      </w:r>
      <w:r>
        <w:rPr>
          <w:rFonts w:ascii="Verdana" w:hAnsi="Verdana" w:eastAsia="Calibri"/>
          <w:i/>
          <w:sz w:val="18"/>
          <w:szCs w:val="18"/>
          <w:lang w:eastAsia="en-US"/>
        </w:rPr>
        <w:t xml:space="preserve">- </w:t>
      </w:r>
      <w:r w:rsidRPr="008A79DC">
        <w:rPr>
          <w:rFonts w:ascii="Verdana" w:hAnsi="Verdana" w:eastAsia="Calibri"/>
          <w:i/>
          <w:sz w:val="18"/>
          <w:szCs w:val="18"/>
          <w:lang w:eastAsia="en-US"/>
        </w:rPr>
        <w:t>mee- en tegenvallers</w:t>
      </w:r>
      <w:r>
        <w:rPr>
          <w:rFonts w:ascii="Verdana" w:hAnsi="Verdana" w:eastAsia="Calibri"/>
          <w:i/>
          <w:sz w:val="18"/>
          <w:szCs w:val="18"/>
          <w:lang w:eastAsia="en-US"/>
        </w:rPr>
        <w:t xml:space="preserve"> en</w:t>
      </w:r>
      <w:r w:rsidRPr="008A79DC">
        <w:rPr>
          <w:rFonts w:ascii="Verdana" w:hAnsi="Verdana" w:eastAsia="Calibri"/>
          <w:i/>
          <w:sz w:val="18"/>
          <w:szCs w:val="18"/>
          <w:lang w:eastAsia="en-US"/>
        </w:rPr>
        <w:t xml:space="preserve"> beleidsmatige mutaties</w:t>
      </w:r>
      <w:r>
        <w:rPr>
          <w:rFonts w:ascii="Verdana" w:hAnsi="Verdana" w:eastAsia="Calibri"/>
          <w:i/>
          <w:sz w:val="18"/>
          <w:szCs w:val="18"/>
          <w:lang w:eastAsia="en-US"/>
        </w:rPr>
        <w:t>, niet-belastingontvangsten</w:t>
      </w:r>
    </w:p>
    <w:p w:rsidRPr="008A79DC" w:rsidR="008A79DC" w:rsidP="008A79DC" w:rsidRDefault="008A79DC">
      <w:pPr>
        <w:rPr>
          <w:rFonts w:ascii="Verdana" w:hAnsi="Verdana" w:eastAsia="Calibri"/>
          <w:sz w:val="18"/>
          <w:szCs w:val="18"/>
          <w:lang w:eastAsia="en-US"/>
        </w:rPr>
      </w:pPr>
      <w:r w:rsidRPr="008A79DC">
        <w:rPr>
          <w:rFonts w:ascii="Verdana" w:hAnsi="Verdana" w:eastAsia="Calibri"/>
          <w:sz w:val="18"/>
          <w:szCs w:val="18"/>
          <w:lang w:eastAsia="en-US"/>
        </w:rPr>
        <w:t>Deze post betreft een som van mutaties van o.a. lager dan geraamde ontvangsten van internationale financiële instellingen bij het ministerie van Financiën en lagere uitgaven bij het ministerie van VWS voor de komst van EMA naar Nederland. Deze uitgaven worden over een langere periode gedaan dan oorspronkelijk begroot (2018-2021 in plaats van 2017-2019). De totale uitgaven wijzigen daarmee niet.</w:t>
      </w:r>
    </w:p>
    <w:p w:rsidRPr="008A79DC" w:rsidR="008A79DC" w:rsidP="008A79DC" w:rsidRDefault="008A79DC">
      <w:pPr>
        <w:rPr>
          <w:rFonts w:ascii="Verdana" w:hAnsi="Verdana" w:eastAsia="Calibri"/>
          <w:sz w:val="18"/>
          <w:szCs w:val="18"/>
          <w:lang w:eastAsia="en-US"/>
        </w:rPr>
      </w:pPr>
    </w:p>
    <w:p w:rsidRPr="008A79DC" w:rsidR="008A79DC" w:rsidP="008A79DC" w:rsidRDefault="008A79DC">
      <w:pPr>
        <w:rPr>
          <w:rFonts w:ascii="Verdana" w:hAnsi="Verdana" w:eastAsia="Calibri"/>
          <w:i/>
          <w:sz w:val="18"/>
          <w:szCs w:val="18"/>
          <w:lang w:eastAsia="en-US"/>
        </w:rPr>
      </w:pPr>
      <w:r>
        <w:rPr>
          <w:rFonts w:ascii="Verdana" w:hAnsi="Verdana" w:eastAsia="Calibri"/>
          <w:i/>
          <w:sz w:val="18"/>
          <w:szCs w:val="18"/>
          <w:lang w:eastAsia="en-US"/>
        </w:rPr>
        <w:t>Diversen - t</w:t>
      </w:r>
      <w:r w:rsidRPr="008A79DC">
        <w:rPr>
          <w:rFonts w:ascii="Verdana" w:hAnsi="Verdana" w:eastAsia="Calibri"/>
          <w:i/>
          <w:sz w:val="18"/>
          <w:szCs w:val="18"/>
          <w:lang w:eastAsia="en-US"/>
        </w:rPr>
        <w:t>echnische mutaties</w:t>
      </w:r>
      <w:r>
        <w:rPr>
          <w:rFonts w:ascii="Verdana" w:hAnsi="Verdana" w:eastAsia="Calibri"/>
          <w:i/>
          <w:sz w:val="18"/>
          <w:szCs w:val="18"/>
          <w:lang w:eastAsia="en-US"/>
        </w:rPr>
        <w:t>, uitgaven en niet-belastingontvansten</w:t>
      </w:r>
    </w:p>
    <w:p w:rsidRPr="008A79DC" w:rsidR="00752578" w:rsidP="004316C8" w:rsidRDefault="008A79DC">
      <w:pPr>
        <w:spacing w:line="240" w:lineRule="exact"/>
        <w:rPr>
          <w:rFonts w:ascii="Verdana" w:hAnsi="Verdana" w:cs="Verdana"/>
          <w:b/>
          <w:bCs/>
          <w:sz w:val="18"/>
          <w:szCs w:val="18"/>
        </w:rPr>
      </w:pPr>
      <w:r w:rsidRPr="008A79DC">
        <w:rPr>
          <w:rFonts w:ascii="Verdana" w:hAnsi="Verdana" w:eastAsia="Calibri"/>
          <w:sz w:val="18"/>
          <w:szCs w:val="18"/>
          <w:lang w:eastAsia="en-US"/>
        </w:rPr>
        <w:t>De technische mutaties betreffen enkele desalderingen op de begrotingen van BZ, Defensie en BHOS</w:t>
      </w:r>
      <w:r w:rsidR="004316C8">
        <w:rPr>
          <w:rFonts w:ascii="Verdana" w:hAnsi="Verdana" w:eastAsia="Calibri"/>
          <w:sz w:val="18"/>
          <w:szCs w:val="18"/>
          <w:lang w:eastAsia="en-US"/>
        </w:rPr>
        <w:t>.</w:t>
      </w:r>
    </w:p>
    <w:sectPr w:rsidRPr="008A79DC" w:rsidR="00752578" w:rsidSect="00D4270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CEE" w:rsidRDefault="00912CEE" w:rsidP="00821E67">
      <w:r>
        <w:separator/>
      </w:r>
    </w:p>
  </w:endnote>
  <w:endnote w:type="continuationSeparator" w:id="0">
    <w:p w:rsidR="00912CEE" w:rsidRDefault="00912CEE" w:rsidP="0082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topia">
    <w:altName w:val="Arial Narrow"/>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EE" w:rsidRDefault="00912CE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1260"/>
      <w:docPartObj>
        <w:docPartGallery w:val="Page Numbers (Bottom of Page)"/>
        <w:docPartUnique/>
      </w:docPartObj>
    </w:sdtPr>
    <w:sdtEndPr/>
    <w:sdtContent>
      <w:p w:rsidR="00912CEE" w:rsidRDefault="00912CEE">
        <w:pPr>
          <w:pStyle w:val="Voettekst"/>
          <w:jc w:val="right"/>
        </w:pPr>
        <w:r w:rsidRPr="001D3B77">
          <w:rPr>
            <w:rFonts w:ascii="Verdana" w:hAnsi="Verdana"/>
            <w:sz w:val="16"/>
            <w:szCs w:val="16"/>
          </w:rPr>
          <w:fldChar w:fldCharType="begin"/>
        </w:r>
        <w:r w:rsidRPr="001D3B77">
          <w:rPr>
            <w:rFonts w:ascii="Verdana" w:hAnsi="Verdana"/>
            <w:sz w:val="16"/>
            <w:szCs w:val="16"/>
          </w:rPr>
          <w:instrText xml:space="preserve"> PAGE   \* MERGEFORMAT </w:instrText>
        </w:r>
        <w:r w:rsidRPr="001D3B77">
          <w:rPr>
            <w:rFonts w:ascii="Verdana" w:hAnsi="Verdana"/>
            <w:sz w:val="16"/>
            <w:szCs w:val="16"/>
          </w:rPr>
          <w:fldChar w:fldCharType="separate"/>
        </w:r>
        <w:r w:rsidR="00E279BE">
          <w:rPr>
            <w:rFonts w:ascii="Verdana" w:hAnsi="Verdana"/>
            <w:noProof/>
            <w:sz w:val="16"/>
            <w:szCs w:val="16"/>
          </w:rPr>
          <w:t>2</w:t>
        </w:r>
        <w:r w:rsidRPr="001D3B77">
          <w:rPr>
            <w:rFonts w:ascii="Verdana" w:hAnsi="Verdana"/>
            <w:sz w:val="16"/>
            <w:szCs w:val="16"/>
          </w:rPr>
          <w:fldChar w:fldCharType="end"/>
        </w:r>
      </w:p>
    </w:sdtContent>
  </w:sdt>
  <w:p w:rsidR="00912CEE" w:rsidRDefault="00912CE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EE" w:rsidRDefault="00912CE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CEE" w:rsidRDefault="00912CEE" w:rsidP="00821E67">
      <w:r>
        <w:separator/>
      </w:r>
    </w:p>
  </w:footnote>
  <w:footnote w:type="continuationSeparator" w:id="0">
    <w:p w:rsidR="00912CEE" w:rsidRDefault="00912CEE" w:rsidP="00821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EE" w:rsidRDefault="00912CE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EE" w:rsidRDefault="00912CE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EE" w:rsidRDefault="00912CE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2720"/>
    <w:multiLevelType w:val="hybridMultilevel"/>
    <w:tmpl w:val="6B96DD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9552D48"/>
    <w:multiLevelType w:val="hybridMultilevel"/>
    <w:tmpl w:val="9D52CA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B1F62B3"/>
    <w:multiLevelType w:val="hybridMultilevel"/>
    <w:tmpl w:val="15A6D7BE"/>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B685166"/>
    <w:multiLevelType w:val="hybridMultilevel"/>
    <w:tmpl w:val="1F90463A"/>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C1D6955"/>
    <w:multiLevelType w:val="hybridMultilevel"/>
    <w:tmpl w:val="7608A9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96916D2"/>
    <w:multiLevelType w:val="hybridMultilevel"/>
    <w:tmpl w:val="76844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B20594D"/>
    <w:multiLevelType w:val="hybridMultilevel"/>
    <w:tmpl w:val="446C77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C4B1557"/>
    <w:multiLevelType w:val="hybridMultilevel"/>
    <w:tmpl w:val="E13414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D7C20B4"/>
    <w:multiLevelType w:val="hybridMultilevel"/>
    <w:tmpl w:val="3990AF84"/>
    <w:lvl w:ilvl="0" w:tplc="9BA8181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75F7FBD"/>
    <w:multiLevelType w:val="hybridMultilevel"/>
    <w:tmpl w:val="5A280D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37DC2A56"/>
    <w:multiLevelType w:val="hybridMultilevel"/>
    <w:tmpl w:val="2E7E03C4"/>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A9E77F6"/>
    <w:multiLevelType w:val="hybridMultilevel"/>
    <w:tmpl w:val="C526C3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447860B3"/>
    <w:multiLevelType w:val="hybridMultilevel"/>
    <w:tmpl w:val="E9B0CC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470F4EF7"/>
    <w:multiLevelType w:val="hybridMultilevel"/>
    <w:tmpl w:val="C38A29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4CA2213B"/>
    <w:multiLevelType w:val="hybridMultilevel"/>
    <w:tmpl w:val="682A70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22514ED"/>
    <w:multiLevelType w:val="hybridMultilevel"/>
    <w:tmpl w:val="4FDE81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56732EE8"/>
    <w:multiLevelType w:val="hybridMultilevel"/>
    <w:tmpl w:val="2F5E85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66F0303"/>
    <w:multiLevelType w:val="hybridMultilevel"/>
    <w:tmpl w:val="CDBAFD2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8047CFC"/>
    <w:multiLevelType w:val="hybridMultilevel"/>
    <w:tmpl w:val="2FD42A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7B2643D9"/>
    <w:multiLevelType w:val="hybridMultilevel"/>
    <w:tmpl w:val="5546F2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0"/>
  </w:num>
  <w:num w:numId="4">
    <w:abstractNumId w:val="4"/>
  </w:num>
  <w:num w:numId="5">
    <w:abstractNumId w:val="20"/>
  </w:num>
  <w:num w:numId="6">
    <w:abstractNumId w:val="7"/>
  </w:num>
  <w:num w:numId="7">
    <w:abstractNumId w:val="15"/>
  </w:num>
  <w:num w:numId="8">
    <w:abstractNumId w:val="3"/>
  </w:num>
  <w:num w:numId="9">
    <w:abstractNumId w:val="10"/>
  </w:num>
  <w:num w:numId="10">
    <w:abstractNumId w:val="19"/>
  </w:num>
  <w:num w:numId="11">
    <w:abstractNumId w:val="18"/>
  </w:num>
  <w:num w:numId="12">
    <w:abstractNumId w:val="14"/>
  </w:num>
  <w:num w:numId="13">
    <w:abstractNumId w:val="9"/>
  </w:num>
  <w:num w:numId="14">
    <w:abstractNumId w:val="17"/>
  </w:num>
  <w:num w:numId="15">
    <w:abstractNumId w:val="16"/>
  </w:num>
  <w:num w:numId="16">
    <w:abstractNumId w:val="1"/>
  </w:num>
  <w:num w:numId="17">
    <w:abstractNumId w:val="2"/>
  </w:num>
  <w:num w:numId="18">
    <w:abstractNumId w:val="6"/>
  </w:num>
  <w:num w:numId="19">
    <w:abstractNumId w:val="5"/>
  </w:num>
  <w:num w:numId="20">
    <w:abstractNumId w:val="11"/>
  </w:num>
  <w:num w:numId="21">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FB"/>
    <w:rsid w:val="00000F84"/>
    <w:rsid w:val="00011820"/>
    <w:rsid w:val="00013134"/>
    <w:rsid w:val="000154C8"/>
    <w:rsid w:val="000173D9"/>
    <w:rsid w:val="0002077F"/>
    <w:rsid w:val="00024817"/>
    <w:rsid w:val="0002520A"/>
    <w:rsid w:val="00025873"/>
    <w:rsid w:val="00025DE6"/>
    <w:rsid w:val="0002681C"/>
    <w:rsid w:val="00027680"/>
    <w:rsid w:val="0003055D"/>
    <w:rsid w:val="00030989"/>
    <w:rsid w:val="00030C55"/>
    <w:rsid w:val="00031D51"/>
    <w:rsid w:val="00036B76"/>
    <w:rsid w:val="00037170"/>
    <w:rsid w:val="00041F1A"/>
    <w:rsid w:val="000435C0"/>
    <w:rsid w:val="00043F7C"/>
    <w:rsid w:val="00046212"/>
    <w:rsid w:val="000474E6"/>
    <w:rsid w:val="0004768A"/>
    <w:rsid w:val="00047E63"/>
    <w:rsid w:val="00051734"/>
    <w:rsid w:val="00062699"/>
    <w:rsid w:val="00063214"/>
    <w:rsid w:val="00063DB4"/>
    <w:rsid w:val="00066F87"/>
    <w:rsid w:val="00067A6C"/>
    <w:rsid w:val="00072E43"/>
    <w:rsid w:val="0008185F"/>
    <w:rsid w:val="00084CBC"/>
    <w:rsid w:val="000938DA"/>
    <w:rsid w:val="00096AA1"/>
    <w:rsid w:val="00097180"/>
    <w:rsid w:val="000979AC"/>
    <w:rsid w:val="000A0997"/>
    <w:rsid w:val="000A3DC4"/>
    <w:rsid w:val="000B205A"/>
    <w:rsid w:val="000B487F"/>
    <w:rsid w:val="000B65CE"/>
    <w:rsid w:val="000C14C9"/>
    <w:rsid w:val="000C3550"/>
    <w:rsid w:val="000C46AF"/>
    <w:rsid w:val="000C60C8"/>
    <w:rsid w:val="000D015C"/>
    <w:rsid w:val="000D0216"/>
    <w:rsid w:val="000D228F"/>
    <w:rsid w:val="000D3459"/>
    <w:rsid w:val="000D3E92"/>
    <w:rsid w:val="000D419B"/>
    <w:rsid w:val="000D52AF"/>
    <w:rsid w:val="000D667A"/>
    <w:rsid w:val="000D79F1"/>
    <w:rsid w:val="000E13FD"/>
    <w:rsid w:val="000E3C51"/>
    <w:rsid w:val="000E5DCF"/>
    <w:rsid w:val="000E759E"/>
    <w:rsid w:val="000E7ED3"/>
    <w:rsid w:val="000F0468"/>
    <w:rsid w:val="000F327A"/>
    <w:rsid w:val="000F3F33"/>
    <w:rsid w:val="000F46C3"/>
    <w:rsid w:val="000F5E96"/>
    <w:rsid w:val="000F6B9E"/>
    <w:rsid w:val="000F6E74"/>
    <w:rsid w:val="00100172"/>
    <w:rsid w:val="001008F1"/>
    <w:rsid w:val="0010245E"/>
    <w:rsid w:val="00104C2E"/>
    <w:rsid w:val="00104F23"/>
    <w:rsid w:val="001052D3"/>
    <w:rsid w:val="00107303"/>
    <w:rsid w:val="001073C1"/>
    <w:rsid w:val="00107BD1"/>
    <w:rsid w:val="0011334B"/>
    <w:rsid w:val="0011453A"/>
    <w:rsid w:val="00115AE6"/>
    <w:rsid w:val="00116473"/>
    <w:rsid w:val="0011658D"/>
    <w:rsid w:val="00117BF2"/>
    <w:rsid w:val="00126D04"/>
    <w:rsid w:val="00126EC5"/>
    <w:rsid w:val="001325A9"/>
    <w:rsid w:val="00140CE5"/>
    <w:rsid w:val="0015059B"/>
    <w:rsid w:val="00150B59"/>
    <w:rsid w:val="00150F96"/>
    <w:rsid w:val="00153247"/>
    <w:rsid w:val="0015506A"/>
    <w:rsid w:val="00155685"/>
    <w:rsid w:val="00157048"/>
    <w:rsid w:val="00160609"/>
    <w:rsid w:val="00160BA6"/>
    <w:rsid w:val="0016128B"/>
    <w:rsid w:val="00161ED7"/>
    <w:rsid w:val="0016408B"/>
    <w:rsid w:val="001652E9"/>
    <w:rsid w:val="00165DFC"/>
    <w:rsid w:val="00166251"/>
    <w:rsid w:val="00166359"/>
    <w:rsid w:val="00167898"/>
    <w:rsid w:val="00171785"/>
    <w:rsid w:val="001726E0"/>
    <w:rsid w:val="001737F1"/>
    <w:rsid w:val="00173B83"/>
    <w:rsid w:val="00174EF8"/>
    <w:rsid w:val="00175113"/>
    <w:rsid w:val="00176F77"/>
    <w:rsid w:val="00180D10"/>
    <w:rsid w:val="00197345"/>
    <w:rsid w:val="001A0520"/>
    <w:rsid w:val="001A38FD"/>
    <w:rsid w:val="001A3A69"/>
    <w:rsid w:val="001A4C86"/>
    <w:rsid w:val="001B6B0E"/>
    <w:rsid w:val="001C116D"/>
    <w:rsid w:val="001C12B6"/>
    <w:rsid w:val="001C16B6"/>
    <w:rsid w:val="001C2986"/>
    <w:rsid w:val="001C366A"/>
    <w:rsid w:val="001C7305"/>
    <w:rsid w:val="001D0734"/>
    <w:rsid w:val="001D2776"/>
    <w:rsid w:val="001D3B77"/>
    <w:rsid w:val="001D438B"/>
    <w:rsid w:val="001D5DCF"/>
    <w:rsid w:val="001D5F70"/>
    <w:rsid w:val="001D7C2C"/>
    <w:rsid w:val="001E0402"/>
    <w:rsid w:val="001E08CC"/>
    <w:rsid w:val="001E1FA0"/>
    <w:rsid w:val="001F22F7"/>
    <w:rsid w:val="001F38B0"/>
    <w:rsid w:val="001F415D"/>
    <w:rsid w:val="001F638C"/>
    <w:rsid w:val="001F773A"/>
    <w:rsid w:val="00200490"/>
    <w:rsid w:val="00201F76"/>
    <w:rsid w:val="002031C1"/>
    <w:rsid w:val="00205B7A"/>
    <w:rsid w:val="002072DB"/>
    <w:rsid w:val="00207D43"/>
    <w:rsid w:val="002114E8"/>
    <w:rsid w:val="00212530"/>
    <w:rsid w:val="00212804"/>
    <w:rsid w:val="00212816"/>
    <w:rsid w:val="00213585"/>
    <w:rsid w:val="002135E8"/>
    <w:rsid w:val="002145D7"/>
    <w:rsid w:val="00216BDA"/>
    <w:rsid w:val="00224F08"/>
    <w:rsid w:val="0022623A"/>
    <w:rsid w:val="00226BFA"/>
    <w:rsid w:val="00227769"/>
    <w:rsid w:val="00230295"/>
    <w:rsid w:val="002351CC"/>
    <w:rsid w:val="00236A2F"/>
    <w:rsid w:val="00237FCE"/>
    <w:rsid w:val="00240FC3"/>
    <w:rsid w:val="00242493"/>
    <w:rsid w:val="00244D66"/>
    <w:rsid w:val="002468BD"/>
    <w:rsid w:val="00250E5C"/>
    <w:rsid w:val="00251A63"/>
    <w:rsid w:val="00252EE6"/>
    <w:rsid w:val="00254B33"/>
    <w:rsid w:val="002606D6"/>
    <w:rsid w:val="00261D79"/>
    <w:rsid w:val="00264EA9"/>
    <w:rsid w:val="002659BF"/>
    <w:rsid w:val="00265A8C"/>
    <w:rsid w:val="00265F81"/>
    <w:rsid w:val="0026645E"/>
    <w:rsid w:val="002673B5"/>
    <w:rsid w:val="00273291"/>
    <w:rsid w:val="00273A91"/>
    <w:rsid w:val="00273BD2"/>
    <w:rsid w:val="00275947"/>
    <w:rsid w:val="0028262A"/>
    <w:rsid w:val="00283B40"/>
    <w:rsid w:val="00283CE9"/>
    <w:rsid w:val="00284666"/>
    <w:rsid w:val="002849A9"/>
    <w:rsid w:val="00286C22"/>
    <w:rsid w:val="00290B88"/>
    <w:rsid w:val="0029172C"/>
    <w:rsid w:val="002A5BC3"/>
    <w:rsid w:val="002A6B94"/>
    <w:rsid w:val="002A6D76"/>
    <w:rsid w:val="002A705E"/>
    <w:rsid w:val="002B012E"/>
    <w:rsid w:val="002B20AF"/>
    <w:rsid w:val="002B3B8F"/>
    <w:rsid w:val="002B3C25"/>
    <w:rsid w:val="002B5FF2"/>
    <w:rsid w:val="002B65C5"/>
    <w:rsid w:val="002B7097"/>
    <w:rsid w:val="002C17E8"/>
    <w:rsid w:val="002C329A"/>
    <w:rsid w:val="002C32DA"/>
    <w:rsid w:val="002E2444"/>
    <w:rsid w:val="002E393E"/>
    <w:rsid w:val="002E65E1"/>
    <w:rsid w:val="002E67E5"/>
    <w:rsid w:val="002F2F44"/>
    <w:rsid w:val="002F37A0"/>
    <w:rsid w:val="002F621D"/>
    <w:rsid w:val="002F66A0"/>
    <w:rsid w:val="002F7391"/>
    <w:rsid w:val="003000F7"/>
    <w:rsid w:val="00301084"/>
    <w:rsid w:val="00303857"/>
    <w:rsid w:val="00303AAA"/>
    <w:rsid w:val="00304820"/>
    <w:rsid w:val="00304DB4"/>
    <w:rsid w:val="00304F2B"/>
    <w:rsid w:val="0030782C"/>
    <w:rsid w:val="00310E61"/>
    <w:rsid w:val="00312FEE"/>
    <w:rsid w:val="00316BBA"/>
    <w:rsid w:val="003175B4"/>
    <w:rsid w:val="003207E3"/>
    <w:rsid w:val="003210ED"/>
    <w:rsid w:val="00321221"/>
    <w:rsid w:val="003217F8"/>
    <w:rsid w:val="003228E2"/>
    <w:rsid w:val="003233DC"/>
    <w:rsid w:val="00325ACF"/>
    <w:rsid w:val="0032607D"/>
    <w:rsid w:val="0033147C"/>
    <w:rsid w:val="003331ED"/>
    <w:rsid w:val="003334F0"/>
    <w:rsid w:val="00333539"/>
    <w:rsid w:val="003348E3"/>
    <w:rsid w:val="00336973"/>
    <w:rsid w:val="00336FB3"/>
    <w:rsid w:val="0033779A"/>
    <w:rsid w:val="00337D41"/>
    <w:rsid w:val="00347569"/>
    <w:rsid w:val="0035066B"/>
    <w:rsid w:val="003516F4"/>
    <w:rsid w:val="00354F02"/>
    <w:rsid w:val="003558D2"/>
    <w:rsid w:val="00357C2F"/>
    <w:rsid w:val="003633FD"/>
    <w:rsid w:val="00371CBD"/>
    <w:rsid w:val="003738F9"/>
    <w:rsid w:val="0037410B"/>
    <w:rsid w:val="00375C4B"/>
    <w:rsid w:val="00382548"/>
    <w:rsid w:val="00394716"/>
    <w:rsid w:val="003958C9"/>
    <w:rsid w:val="00396217"/>
    <w:rsid w:val="003965E9"/>
    <w:rsid w:val="003A161C"/>
    <w:rsid w:val="003A1C04"/>
    <w:rsid w:val="003A303A"/>
    <w:rsid w:val="003A48A2"/>
    <w:rsid w:val="003A636A"/>
    <w:rsid w:val="003B038E"/>
    <w:rsid w:val="003B0AD1"/>
    <w:rsid w:val="003B218F"/>
    <w:rsid w:val="003B3287"/>
    <w:rsid w:val="003B53EA"/>
    <w:rsid w:val="003C0598"/>
    <w:rsid w:val="003C1110"/>
    <w:rsid w:val="003C1C66"/>
    <w:rsid w:val="003C2840"/>
    <w:rsid w:val="003D1C38"/>
    <w:rsid w:val="003D2F0A"/>
    <w:rsid w:val="003D36B6"/>
    <w:rsid w:val="003D4A86"/>
    <w:rsid w:val="003E13B9"/>
    <w:rsid w:val="003E1B8C"/>
    <w:rsid w:val="003E508F"/>
    <w:rsid w:val="003E7400"/>
    <w:rsid w:val="003E75C2"/>
    <w:rsid w:val="003E7D5E"/>
    <w:rsid w:val="003F0DDE"/>
    <w:rsid w:val="003F144A"/>
    <w:rsid w:val="003F2681"/>
    <w:rsid w:val="003F4E7D"/>
    <w:rsid w:val="003F55F0"/>
    <w:rsid w:val="00402CDC"/>
    <w:rsid w:val="004030F2"/>
    <w:rsid w:val="0040340B"/>
    <w:rsid w:val="004038A5"/>
    <w:rsid w:val="00403DC8"/>
    <w:rsid w:val="004053F9"/>
    <w:rsid w:val="00405664"/>
    <w:rsid w:val="00405E8A"/>
    <w:rsid w:val="00406A4F"/>
    <w:rsid w:val="004071D5"/>
    <w:rsid w:val="00411DD8"/>
    <w:rsid w:val="00412663"/>
    <w:rsid w:val="00414336"/>
    <w:rsid w:val="0041589F"/>
    <w:rsid w:val="004176D2"/>
    <w:rsid w:val="00420326"/>
    <w:rsid w:val="00421083"/>
    <w:rsid w:val="004234D2"/>
    <w:rsid w:val="00424802"/>
    <w:rsid w:val="00425DC7"/>
    <w:rsid w:val="00426EA0"/>
    <w:rsid w:val="00426F04"/>
    <w:rsid w:val="00430384"/>
    <w:rsid w:val="00430552"/>
    <w:rsid w:val="00430937"/>
    <w:rsid w:val="004316B2"/>
    <w:rsid w:val="004316C8"/>
    <w:rsid w:val="0043214F"/>
    <w:rsid w:val="0043332A"/>
    <w:rsid w:val="004375F1"/>
    <w:rsid w:val="00445110"/>
    <w:rsid w:val="00446564"/>
    <w:rsid w:val="00447819"/>
    <w:rsid w:val="00447951"/>
    <w:rsid w:val="00452A6D"/>
    <w:rsid w:val="00452A7E"/>
    <w:rsid w:val="0045429A"/>
    <w:rsid w:val="004544C3"/>
    <w:rsid w:val="00455390"/>
    <w:rsid w:val="00455D8D"/>
    <w:rsid w:val="00460428"/>
    <w:rsid w:val="004605F2"/>
    <w:rsid w:val="004611F8"/>
    <w:rsid w:val="00461238"/>
    <w:rsid w:val="00464BD9"/>
    <w:rsid w:val="0046500B"/>
    <w:rsid w:val="00465EB6"/>
    <w:rsid w:val="0047111C"/>
    <w:rsid w:val="00471600"/>
    <w:rsid w:val="0047201E"/>
    <w:rsid w:val="00472960"/>
    <w:rsid w:val="00472C01"/>
    <w:rsid w:val="00473DFB"/>
    <w:rsid w:val="004844C2"/>
    <w:rsid w:val="0048634C"/>
    <w:rsid w:val="00486907"/>
    <w:rsid w:val="00486FE8"/>
    <w:rsid w:val="00490481"/>
    <w:rsid w:val="0049075B"/>
    <w:rsid w:val="00490E87"/>
    <w:rsid w:val="004910BF"/>
    <w:rsid w:val="004925F3"/>
    <w:rsid w:val="00494FA0"/>
    <w:rsid w:val="00495CAE"/>
    <w:rsid w:val="004968E8"/>
    <w:rsid w:val="004A1713"/>
    <w:rsid w:val="004A216E"/>
    <w:rsid w:val="004A30F5"/>
    <w:rsid w:val="004A3F72"/>
    <w:rsid w:val="004A50CB"/>
    <w:rsid w:val="004A6938"/>
    <w:rsid w:val="004A7950"/>
    <w:rsid w:val="004A7D28"/>
    <w:rsid w:val="004B3DF4"/>
    <w:rsid w:val="004B4B15"/>
    <w:rsid w:val="004B5581"/>
    <w:rsid w:val="004B7816"/>
    <w:rsid w:val="004B78F8"/>
    <w:rsid w:val="004C10B2"/>
    <w:rsid w:val="004D0AB5"/>
    <w:rsid w:val="004D4EE3"/>
    <w:rsid w:val="004D4FC8"/>
    <w:rsid w:val="004D6FDE"/>
    <w:rsid w:val="004E19A5"/>
    <w:rsid w:val="004E408A"/>
    <w:rsid w:val="004E4AFD"/>
    <w:rsid w:val="004E5BC6"/>
    <w:rsid w:val="004E62C1"/>
    <w:rsid w:val="004F0F29"/>
    <w:rsid w:val="004F664C"/>
    <w:rsid w:val="004F7510"/>
    <w:rsid w:val="0050116B"/>
    <w:rsid w:val="005019EA"/>
    <w:rsid w:val="00503738"/>
    <w:rsid w:val="005042CB"/>
    <w:rsid w:val="00512E40"/>
    <w:rsid w:val="00512EDB"/>
    <w:rsid w:val="00513E97"/>
    <w:rsid w:val="00515AF8"/>
    <w:rsid w:val="00516191"/>
    <w:rsid w:val="00516825"/>
    <w:rsid w:val="00521774"/>
    <w:rsid w:val="0052238A"/>
    <w:rsid w:val="00522C4E"/>
    <w:rsid w:val="00522DB2"/>
    <w:rsid w:val="005315C4"/>
    <w:rsid w:val="00533D5C"/>
    <w:rsid w:val="0053463B"/>
    <w:rsid w:val="00535635"/>
    <w:rsid w:val="00537616"/>
    <w:rsid w:val="0054222A"/>
    <w:rsid w:val="00542978"/>
    <w:rsid w:val="00543FD5"/>
    <w:rsid w:val="00545C5C"/>
    <w:rsid w:val="00546DEB"/>
    <w:rsid w:val="005478A2"/>
    <w:rsid w:val="0055014F"/>
    <w:rsid w:val="00552602"/>
    <w:rsid w:val="00553018"/>
    <w:rsid w:val="00553166"/>
    <w:rsid w:val="005544DF"/>
    <w:rsid w:val="0055652F"/>
    <w:rsid w:val="005569FA"/>
    <w:rsid w:val="0056015B"/>
    <w:rsid w:val="0056230A"/>
    <w:rsid w:val="00564A04"/>
    <w:rsid w:val="00565D35"/>
    <w:rsid w:val="005661EF"/>
    <w:rsid w:val="00567480"/>
    <w:rsid w:val="0057192F"/>
    <w:rsid w:val="0057193F"/>
    <w:rsid w:val="00572AA2"/>
    <w:rsid w:val="00572DE5"/>
    <w:rsid w:val="005744E4"/>
    <w:rsid w:val="00576F35"/>
    <w:rsid w:val="00581384"/>
    <w:rsid w:val="00581483"/>
    <w:rsid w:val="00581616"/>
    <w:rsid w:val="00584383"/>
    <w:rsid w:val="00584606"/>
    <w:rsid w:val="00591C5B"/>
    <w:rsid w:val="00596FC9"/>
    <w:rsid w:val="005978B6"/>
    <w:rsid w:val="005A1381"/>
    <w:rsid w:val="005A335B"/>
    <w:rsid w:val="005A3D5A"/>
    <w:rsid w:val="005A4B58"/>
    <w:rsid w:val="005A5212"/>
    <w:rsid w:val="005A54A3"/>
    <w:rsid w:val="005A5898"/>
    <w:rsid w:val="005B040F"/>
    <w:rsid w:val="005B1094"/>
    <w:rsid w:val="005B1EE9"/>
    <w:rsid w:val="005B2920"/>
    <w:rsid w:val="005B4FB8"/>
    <w:rsid w:val="005B5D23"/>
    <w:rsid w:val="005B5FE7"/>
    <w:rsid w:val="005C0903"/>
    <w:rsid w:val="005C0AB8"/>
    <w:rsid w:val="005C0E2E"/>
    <w:rsid w:val="005C16E5"/>
    <w:rsid w:val="005C1E70"/>
    <w:rsid w:val="005C3079"/>
    <w:rsid w:val="005C3D38"/>
    <w:rsid w:val="005C4A8C"/>
    <w:rsid w:val="005C6148"/>
    <w:rsid w:val="005D107D"/>
    <w:rsid w:val="005D154D"/>
    <w:rsid w:val="005D2292"/>
    <w:rsid w:val="005D2626"/>
    <w:rsid w:val="005D3680"/>
    <w:rsid w:val="005D48AD"/>
    <w:rsid w:val="005E7B1B"/>
    <w:rsid w:val="005F1AA6"/>
    <w:rsid w:val="005F5B9D"/>
    <w:rsid w:val="005F6685"/>
    <w:rsid w:val="005F7137"/>
    <w:rsid w:val="006023E1"/>
    <w:rsid w:val="00605216"/>
    <w:rsid w:val="006053EB"/>
    <w:rsid w:val="00606EC5"/>
    <w:rsid w:val="00610B7E"/>
    <w:rsid w:val="0061263B"/>
    <w:rsid w:val="0061424A"/>
    <w:rsid w:val="00614551"/>
    <w:rsid w:val="00614B50"/>
    <w:rsid w:val="0061586F"/>
    <w:rsid w:val="00617C97"/>
    <w:rsid w:val="00617FC9"/>
    <w:rsid w:val="00620A7B"/>
    <w:rsid w:val="0062563F"/>
    <w:rsid w:val="00625DFB"/>
    <w:rsid w:val="00626CAF"/>
    <w:rsid w:val="00634806"/>
    <w:rsid w:val="006369D3"/>
    <w:rsid w:val="00636BA5"/>
    <w:rsid w:val="00637281"/>
    <w:rsid w:val="00637D40"/>
    <w:rsid w:val="00642A3B"/>
    <w:rsid w:val="00642E04"/>
    <w:rsid w:val="0064363D"/>
    <w:rsid w:val="00646D30"/>
    <w:rsid w:val="00654820"/>
    <w:rsid w:val="006557F3"/>
    <w:rsid w:val="00655C3A"/>
    <w:rsid w:val="00656327"/>
    <w:rsid w:val="006567C6"/>
    <w:rsid w:val="00656ABC"/>
    <w:rsid w:val="00660330"/>
    <w:rsid w:val="00660D5B"/>
    <w:rsid w:val="006621FE"/>
    <w:rsid w:val="00662FD1"/>
    <w:rsid w:val="00665FDE"/>
    <w:rsid w:val="0066614B"/>
    <w:rsid w:val="00670491"/>
    <w:rsid w:val="00671986"/>
    <w:rsid w:val="00673CF1"/>
    <w:rsid w:val="00673FF9"/>
    <w:rsid w:val="0067534C"/>
    <w:rsid w:val="00675909"/>
    <w:rsid w:val="00677250"/>
    <w:rsid w:val="0067730A"/>
    <w:rsid w:val="0067733A"/>
    <w:rsid w:val="00680158"/>
    <w:rsid w:val="00681677"/>
    <w:rsid w:val="00682395"/>
    <w:rsid w:val="006823BA"/>
    <w:rsid w:val="0068270C"/>
    <w:rsid w:val="00686FAC"/>
    <w:rsid w:val="00691A81"/>
    <w:rsid w:val="00691CAF"/>
    <w:rsid w:val="0069294D"/>
    <w:rsid w:val="00692A16"/>
    <w:rsid w:val="0069331B"/>
    <w:rsid w:val="00693F38"/>
    <w:rsid w:val="0069631C"/>
    <w:rsid w:val="00697E35"/>
    <w:rsid w:val="006A0290"/>
    <w:rsid w:val="006A0765"/>
    <w:rsid w:val="006A1BAF"/>
    <w:rsid w:val="006A2EAD"/>
    <w:rsid w:val="006A3368"/>
    <w:rsid w:val="006A3F20"/>
    <w:rsid w:val="006A486A"/>
    <w:rsid w:val="006A5F54"/>
    <w:rsid w:val="006A63ED"/>
    <w:rsid w:val="006A7223"/>
    <w:rsid w:val="006B178E"/>
    <w:rsid w:val="006B42D8"/>
    <w:rsid w:val="006B4461"/>
    <w:rsid w:val="006B7DF2"/>
    <w:rsid w:val="006B7FDF"/>
    <w:rsid w:val="006C12FE"/>
    <w:rsid w:val="006C5473"/>
    <w:rsid w:val="006C6CC2"/>
    <w:rsid w:val="006C7665"/>
    <w:rsid w:val="006D4D27"/>
    <w:rsid w:val="006D5323"/>
    <w:rsid w:val="006D5B70"/>
    <w:rsid w:val="006D6F24"/>
    <w:rsid w:val="006D7691"/>
    <w:rsid w:val="006E037C"/>
    <w:rsid w:val="006E0697"/>
    <w:rsid w:val="006E331F"/>
    <w:rsid w:val="006F02C4"/>
    <w:rsid w:val="006F12EF"/>
    <w:rsid w:val="006F162A"/>
    <w:rsid w:val="006F3E18"/>
    <w:rsid w:val="006F5290"/>
    <w:rsid w:val="00703D7F"/>
    <w:rsid w:val="00704141"/>
    <w:rsid w:val="00704161"/>
    <w:rsid w:val="00705449"/>
    <w:rsid w:val="00705C3D"/>
    <w:rsid w:val="007070E7"/>
    <w:rsid w:val="00711033"/>
    <w:rsid w:val="007122F2"/>
    <w:rsid w:val="00712894"/>
    <w:rsid w:val="00713951"/>
    <w:rsid w:val="007143A0"/>
    <w:rsid w:val="00717C5A"/>
    <w:rsid w:val="00721B67"/>
    <w:rsid w:val="00723E24"/>
    <w:rsid w:val="007250E2"/>
    <w:rsid w:val="00725269"/>
    <w:rsid w:val="007263C3"/>
    <w:rsid w:val="007264A4"/>
    <w:rsid w:val="0073062D"/>
    <w:rsid w:val="00730A5F"/>
    <w:rsid w:val="00730BB0"/>
    <w:rsid w:val="00730F6F"/>
    <w:rsid w:val="007334D8"/>
    <w:rsid w:val="007339CA"/>
    <w:rsid w:val="00743E8C"/>
    <w:rsid w:val="007460B3"/>
    <w:rsid w:val="0074624C"/>
    <w:rsid w:val="007519D0"/>
    <w:rsid w:val="00752578"/>
    <w:rsid w:val="00754236"/>
    <w:rsid w:val="00757FA3"/>
    <w:rsid w:val="00760152"/>
    <w:rsid w:val="00760D22"/>
    <w:rsid w:val="00760DD8"/>
    <w:rsid w:val="0076185B"/>
    <w:rsid w:val="007619A7"/>
    <w:rsid w:val="00764C39"/>
    <w:rsid w:val="00770608"/>
    <w:rsid w:val="007724DD"/>
    <w:rsid w:val="007776BD"/>
    <w:rsid w:val="00785436"/>
    <w:rsid w:val="00790381"/>
    <w:rsid w:val="00793117"/>
    <w:rsid w:val="00793695"/>
    <w:rsid w:val="00793AE4"/>
    <w:rsid w:val="0079458D"/>
    <w:rsid w:val="00794908"/>
    <w:rsid w:val="00794BEE"/>
    <w:rsid w:val="00795484"/>
    <w:rsid w:val="00795DF9"/>
    <w:rsid w:val="007965E9"/>
    <w:rsid w:val="007A371A"/>
    <w:rsid w:val="007A4321"/>
    <w:rsid w:val="007A5347"/>
    <w:rsid w:val="007B1573"/>
    <w:rsid w:val="007B29A6"/>
    <w:rsid w:val="007B36EB"/>
    <w:rsid w:val="007B36F3"/>
    <w:rsid w:val="007B3CF2"/>
    <w:rsid w:val="007B3DAE"/>
    <w:rsid w:val="007B4C47"/>
    <w:rsid w:val="007C1B00"/>
    <w:rsid w:val="007C2D1E"/>
    <w:rsid w:val="007C3A4D"/>
    <w:rsid w:val="007C5FBF"/>
    <w:rsid w:val="007C6232"/>
    <w:rsid w:val="007C6D5F"/>
    <w:rsid w:val="007C70A7"/>
    <w:rsid w:val="007C7615"/>
    <w:rsid w:val="007D0628"/>
    <w:rsid w:val="007D4132"/>
    <w:rsid w:val="007E127E"/>
    <w:rsid w:val="007E1A06"/>
    <w:rsid w:val="007E4EDB"/>
    <w:rsid w:val="007E6337"/>
    <w:rsid w:val="007E68F4"/>
    <w:rsid w:val="007F051E"/>
    <w:rsid w:val="007F13AB"/>
    <w:rsid w:val="007F1CCF"/>
    <w:rsid w:val="007F3BDB"/>
    <w:rsid w:val="007F50D7"/>
    <w:rsid w:val="00800A6C"/>
    <w:rsid w:val="00801C4C"/>
    <w:rsid w:val="0080262C"/>
    <w:rsid w:val="00802B9E"/>
    <w:rsid w:val="00803E92"/>
    <w:rsid w:val="00811F95"/>
    <w:rsid w:val="00812AEF"/>
    <w:rsid w:val="00814BC3"/>
    <w:rsid w:val="008169C4"/>
    <w:rsid w:val="00817900"/>
    <w:rsid w:val="0082087C"/>
    <w:rsid w:val="008214EF"/>
    <w:rsid w:val="00821E67"/>
    <w:rsid w:val="00822F29"/>
    <w:rsid w:val="00824B36"/>
    <w:rsid w:val="00826C61"/>
    <w:rsid w:val="00827C2E"/>
    <w:rsid w:val="0083377A"/>
    <w:rsid w:val="00833C05"/>
    <w:rsid w:val="00834E33"/>
    <w:rsid w:val="00840343"/>
    <w:rsid w:val="008419DB"/>
    <w:rsid w:val="00844CC1"/>
    <w:rsid w:val="00845886"/>
    <w:rsid w:val="00850E2D"/>
    <w:rsid w:val="00850E52"/>
    <w:rsid w:val="00855666"/>
    <w:rsid w:val="00856982"/>
    <w:rsid w:val="00862203"/>
    <w:rsid w:val="00862711"/>
    <w:rsid w:val="00863421"/>
    <w:rsid w:val="008647D3"/>
    <w:rsid w:val="00864EE5"/>
    <w:rsid w:val="008653B6"/>
    <w:rsid w:val="008713D6"/>
    <w:rsid w:val="008723DE"/>
    <w:rsid w:val="008726BF"/>
    <w:rsid w:val="00875F3B"/>
    <w:rsid w:val="00880694"/>
    <w:rsid w:val="00881750"/>
    <w:rsid w:val="008826F3"/>
    <w:rsid w:val="00885DF5"/>
    <w:rsid w:val="00886A3C"/>
    <w:rsid w:val="008872FD"/>
    <w:rsid w:val="0089497C"/>
    <w:rsid w:val="00897294"/>
    <w:rsid w:val="0089794D"/>
    <w:rsid w:val="008A1186"/>
    <w:rsid w:val="008A2E43"/>
    <w:rsid w:val="008A5388"/>
    <w:rsid w:val="008A5F44"/>
    <w:rsid w:val="008A6E46"/>
    <w:rsid w:val="008A79DC"/>
    <w:rsid w:val="008A7D1D"/>
    <w:rsid w:val="008B01BB"/>
    <w:rsid w:val="008B169A"/>
    <w:rsid w:val="008B17B7"/>
    <w:rsid w:val="008B2276"/>
    <w:rsid w:val="008B6FC4"/>
    <w:rsid w:val="008B7B53"/>
    <w:rsid w:val="008B7D5D"/>
    <w:rsid w:val="008C0412"/>
    <w:rsid w:val="008C0521"/>
    <w:rsid w:val="008C101E"/>
    <w:rsid w:val="008C1FA4"/>
    <w:rsid w:val="008C3BA2"/>
    <w:rsid w:val="008C3BCF"/>
    <w:rsid w:val="008C4897"/>
    <w:rsid w:val="008C5E5E"/>
    <w:rsid w:val="008C7754"/>
    <w:rsid w:val="008D0183"/>
    <w:rsid w:val="008D5C22"/>
    <w:rsid w:val="008D65E3"/>
    <w:rsid w:val="008D6842"/>
    <w:rsid w:val="008D7566"/>
    <w:rsid w:val="008D7A76"/>
    <w:rsid w:val="008E0714"/>
    <w:rsid w:val="008E1253"/>
    <w:rsid w:val="008E18BA"/>
    <w:rsid w:val="008E3049"/>
    <w:rsid w:val="008E3444"/>
    <w:rsid w:val="008E39D8"/>
    <w:rsid w:val="008E4D4E"/>
    <w:rsid w:val="008F1BA9"/>
    <w:rsid w:val="009018D1"/>
    <w:rsid w:val="00902F53"/>
    <w:rsid w:val="00904043"/>
    <w:rsid w:val="00904079"/>
    <w:rsid w:val="00912CEE"/>
    <w:rsid w:val="00913520"/>
    <w:rsid w:val="00914856"/>
    <w:rsid w:val="00915C5A"/>
    <w:rsid w:val="009165EA"/>
    <w:rsid w:val="00916D17"/>
    <w:rsid w:val="00917308"/>
    <w:rsid w:val="009174DF"/>
    <w:rsid w:val="0091776E"/>
    <w:rsid w:val="00920B55"/>
    <w:rsid w:val="00923717"/>
    <w:rsid w:val="00933C6D"/>
    <w:rsid w:val="009364B5"/>
    <w:rsid w:val="0094021D"/>
    <w:rsid w:val="00940413"/>
    <w:rsid w:val="009415FA"/>
    <w:rsid w:val="009422E0"/>
    <w:rsid w:val="00945967"/>
    <w:rsid w:val="00950B15"/>
    <w:rsid w:val="00951076"/>
    <w:rsid w:val="009541AC"/>
    <w:rsid w:val="00955564"/>
    <w:rsid w:val="0095662A"/>
    <w:rsid w:val="00957BDF"/>
    <w:rsid w:val="00961BBE"/>
    <w:rsid w:val="00964C0C"/>
    <w:rsid w:val="00965EB7"/>
    <w:rsid w:val="009666A2"/>
    <w:rsid w:val="009679B2"/>
    <w:rsid w:val="009726DB"/>
    <w:rsid w:val="009757E2"/>
    <w:rsid w:val="00975E59"/>
    <w:rsid w:val="0098045A"/>
    <w:rsid w:val="00981AF9"/>
    <w:rsid w:val="00981F28"/>
    <w:rsid w:val="00983F3B"/>
    <w:rsid w:val="009862F9"/>
    <w:rsid w:val="00987044"/>
    <w:rsid w:val="00987121"/>
    <w:rsid w:val="009903B1"/>
    <w:rsid w:val="009920ED"/>
    <w:rsid w:val="00995038"/>
    <w:rsid w:val="0099704E"/>
    <w:rsid w:val="009A6DDC"/>
    <w:rsid w:val="009B0AE1"/>
    <w:rsid w:val="009B180B"/>
    <w:rsid w:val="009B657A"/>
    <w:rsid w:val="009C120D"/>
    <w:rsid w:val="009C5917"/>
    <w:rsid w:val="009C6D6D"/>
    <w:rsid w:val="009C7292"/>
    <w:rsid w:val="009C785C"/>
    <w:rsid w:val="009D02FE"/>
    <w:rsid w:val="009D2588"/>
    <w:rsid w:val="009D47E4"/>
    <w:rsid w:val="009D6006"/>
    <w:rsid w:val="009D66B2"/>
    <w:rsid w:val="009D6D30"/>
    <w:rsid w:val="009E0331"/>
    <w:rsid w:val="009E08A2"/>
    <w:rsid w:val="009E450C"/>
    <w:rsid w:val="009E73AC"/>
    <w:rsid w:val="009E7430"/>
    <w:rsid w:val="009F1426"/>
    <w:rsid w:val="009F2962"/>
    <w:rsid w:val="009F3740"/>
    <w:rsid w:val="009F39E9"/>
    <w:rsid w:val="009F7954"/>
    <w:rsid w:val="00A03D2D"/>
    <w:rsid w:val="00A1300F"/>
    <w:rsid w:val="00A131CA"/>
    <w:rsid w:val="00A14489"/>
    <w:rsid w:val="00A15DA7"/>
    <w:rsid w:val="00A15EB7"/>
    <w:rsid w:val="00A16618"/>
    <w:rsid w:val="00A216B7"/>
    <w:rsid w:val="00A21E24"/>
    <w:rsid w:val="00A23B2E"/>
    <w:rsid w:val="00A24D21"/>
    <w:rsid w:val="00A27629"/>
    <w:rsid w:val="00A34982"/>
    <w:rsid w:val="00A35843"/>
    <w:rsid w:val="00A36010"/>
    <w:rsid w:val="00A36B02"/>
    <w:rsid w:val="00A402C3"/>
    <w:rsid w:val="00A43589"/>
    <w:rsid w:val="00A45671"/>
    <w:rsid w:val="00A46248"/>
    <w:rsid w:val="00A46728"/>
    <w:rsid w:val="00A559A6"/>
    <w:rsid w:val="00A566F1"/>
    <w:rsid w:val="00A57325"/>
    <w:rsid w:val="00A6349C"/>
    <w:rsid w:val="00A64B74"/>
    <w:rsid w:val="00A66E02"/>
    <w:rsid w:val="00A70A83"/>
    <w:rsid w:val="00A7110B"/>
    <w:rsid w:val="00A72A92"/>
    <w:rsid w:val="00A73828"/>
    <w:rsid w:val="00A73BBA"/>
    <w:rsid w:val="00A777D0"/>
    <w:rsid w:val="00A8196D"/>
    <w:rsid w:val="00A81BE0"/>
    <w:rsid w:val="00A8550D"/>
    <w:rsid w:val="00A8583C"/>
    <w:rsid w:val="00A90604"/>
    <w:rsid w:val="00A91BF0"/>
    <w:rsid w:val="00A93209"/>
    <w:rsid w:val="00A943F2"/>
    <w:rsid w:val="00A97952"/>
    <w:rsid w:val="00AA215A"/>
    <w:rsid w:val="00AA2986"/>
    <w:rsid w:val="00AA3BFD"/>
    <w:rsid w:val="00AA3D7F"/>
    <w:rsid w:val="00AA4A16"/>
    <w:rsid w:val="00AA67E2"/>
    <w:rsid w:val="00AA6932"/>
    <w:rsid w:val="00AA6F32"/>
    <w:rsid w:val="00AB04ED"/>
    <w:rsid w:val="00AB3803"/>
    <w:rsid w:val="00AB3941"/>
    <w:rsid w:val="00AB5BCD"/>
    <w:rsid w:val="00AB5F93"/>
    <w:rsid w:val="00AB68B0"/>
    <w:rsid w:val="00AB76B5"/>
    <w:rsid w:val="00AC121E"/>
    <w:rsid w:val="00AC279B"/>
    <w:rsid w:val="00AC4424"/>
    <w:rsid w:val="00AC4CCB"/>
    <w:rsid w:val="00AC7CB2"/>
    <w:rsid w:val="00AD094E"/>
    <w:rsid w:val="00AD374F"/>
    <w:rsid w:val="00AD3A9F"/>
    <w:rsid w:val="00AD4615"/>
    <w:rsid w:val="00AD4F32"/>
    <w:rsid w:val="00AD5445"/>
    <w:rsid w:val="00AD69A5"/>
    <w:rsid w:val="00AD6B44"/>
    <w:rsid w:val="00AD71AD"/>
    <w:rsid w:val="00AD725F"/>
    <w:rsid w:val="00AD7821"/>
    <w:rsid w:val="00AE0D8C"/>
    <w:rsid w:val="00AE3E61"/>
    <w:rsid w:val="00AE4E9A"/>
    <w:rsid w:val="00AE5FB4"/>
    <w:rsid w:val="00AF01F0"/>
    <w:rsid w:val="00AF43DD"/>
    <w:rsid w:val="00B03A24"/>
    <w:rsid w:val="00B03BF8"/>
    <w:rsid w:val="00B04BA8"/>
    <w:rsid w:val="00B05E4C"/>
    <w:rsid w:val="00B05E55"/>
    <w:rsid w:val="00B05EC3"/>
    <w:rsid w:val="00B05FAE"/>
    <w:rsid w:val="00B116F1"/>
    <w:rsid w:val="00B146F0"/>
    <w:rsid w:val="00B16EE3"/>
    <w:rsid w:val="00B17F1A"/>
    <w:rsid w:val="00B20BB2"/>
    <w:rsid w:val="00B20E05"/>
    <w:rsid w:val="00B21F04"/>
    <w:rsid w:val="00B22C8C"/>
    <w:rsid w:val="00B233A0"/>
    <w:rsid w:val="00B2494A"/>
    <w:rsid w:val="00B2594C"/>
    <w:rsid w:val="00B26436"/>
    <w:rsid w:val="00B33DF7"/>
    <w:rsid w:val="00B35AFE"/>
    <w:rsid w:val="00B368C6"/>
    <w:rsid w:val="00B37C60"/>
    <w:rsid w:val="00B413BE"/>
    <w:rsid w:val="00B42887"/>
    <w:rsid w:val="00B4777B"/>
    <w:rsid w:val="00B47D96"/>
    <w:rsid w:val="00B519E5"/>
    <w:rsid w:val="00B5267C"/>
    <w:rsid w:val="00B52C36"/>
    <w:rsid w:val="00B6030F"/>
    <w:rsid w:val="00B61946"/>
    <w:rsid w:val="00B66C8F"/>
    <w:rsid w:val="00B679C5"/>
    <w:rsid w:val="00B70910"/>
    <w:rsid w:val="00B709D7"/>
    <w:rsid w:val="00B7209A"/>
    <w:rsid w:val="00B74256"/>
    <w:rsid w:val="00B77BC4"/>
    <w:rsid w:val="00B80679"/>
    <w:rsid w:val="00B81776"/>
    <w:rsid w:val="00B8406E"/>
    <w:rsid w:val="00B85165"/>
    <w:rsid w:val="00B85D7F"/>
    <w:rsid w:val="00B85DC8"/>
    <w:rsid w:val="00B86607"/>
    <w:rsid w:val="00B86D23"/>
    <w:rsid w:val="00B92F33"/>
    <w:rsid w:val="00BA1883"/>
    <w:rsid w:val="00BA1E17"/>
    <w:rsid w:val="00BA202D"/>
    <w:rsid w:val="00BA2B6C"/>
    <w:rsid w:val="00BA4FD9"/>
    <w:rsid w:val="00BA6D14"/>
    <w:rsid w:val="00BA734D"/>
    <w:rsid w:val="00BA785F"/>
    <w:rsid w:val="00BB49A8"/>
    <w:rsid w:val="00BB64AC"/>
    <w:rsid w:val="00BC211D"/>
    <w:rsid w:val="00BC4267"/>
    <w:rsid w:val="00BC50AA"/>
    <w:rsid w:val="00BC641C"/>
    <w:rsid w:val="00BD0579"/>
    <w:rsid w:val="00BD2CA2"/>
    <w:rsid w:val="00BD2DFF"/>
    <w:rsid w:val="00BD4161"/>
    <w:rsid w:val="00BD4CB9"/>
    <w:rsid w:val="00BE0A1B"/>
    <w:rsid w:val="00BE156A"/>
    <w:rsid w:val="00BE1815"/>
    <w:rsid w:val="00BE47DC"/>
    <w:rsid w:val="00BE6E21"/>
    <w:rsid w:val="00BE6FC6"/>
    <w:rsid w:val="00BE7E54"/>
    <w:rsid w:val="00BF0B0A"/>
    <w:rsid w:val="00BF24D0"/>
    <w:rsid w:val="00BF6CC0"/>
    <w:rsid w:val="00BF7F3A"/>
    <w:rsid w:val="00C03595"/>
    <w:rsid w:val="00C03803"/>
    <w:rsid w:val="00C05141"/>
    <w:rsid w:val="00C062C7"/>
    <w:rsid w:val="00C065BA"/>
    <w:rsid w:val="00C11899"/>
    <w:rsid w:val="00C11998"/>
    <w:rsid w:val="00C12032"/>
    <w:rsid w:val="00C12BF2"/>
    <w:rsid w:val="00C13298"/>
    <w:rsid w:val="00C13862"/>
    <w:rsid w:val="00C14317"/>
    <w:rsid w:val="00C208C2"/>
    <w:rsid w:val="00C21097"/>
    <w:rsid w:val="00C22373"/>
    <w:rsid w:val="00C225DC"/>
    <w:rsid w:val="00C237B8"/>
    <w:rsid w:val="00C24178"/>
    <w:rsid w:val="00C24E97"/>
    <w:rsid w:val="00C256C5"/>
    <w:rsid w:val="00C26FDB"/>
    <w:rsid w:val="00C30079"/>
    <w:rsid w:val="00C3237C"/>
    <w:rsid w:val="00C327A3"/>
    <w:rsid w:val="00C33827"/>
    <w:rsid w:val="00C33A90"/>
    <w:rsid w:val="00C34CD2"/>
    <w:rsid w:val="00C35E47"/>
    <w:rsid w:val="00C41ACD"/>
    <w:rsid w:val="00C41D99"/>
    <w:rsid w:val="00C500F5"/>
    <w:rsid w:val="00C50E86"/>
    <w:rsid w:val="00C50F85"/>
    <w:rsid w:val="00C52E15"/>
    <w:rsid w:val="00C54461"/>
    <w:rsid w:val="00C551C4"/>
    <w:rsid w:val="00C57FA4"/>
    <w:rsid w:val="00C612C8"/>
    <w:rsid w:val="00C6149E"/>
    <w:rsid w:val="00C6173F"/>
    <w:rsid w:val="00C61C35"/>
    <w:rsid w:val="00C655A3"/>
    <w:rsid w:val="00C66432"/>
    <w:rsid w:val="00C66732"/>
    <w:rsid w:val="00C668E4"/>
    <w:rsid w:val="00C66AB1"/>
    <w:rsid w:val="00C72ACB"/>
    <w:rsid w:val="00C75513"/>
    <w:rsid w:val="00C7783F"/>
    <w:rsid w:val="00C80EFD"/>
    <w:rsid w:val="00C811E5"/>
    <w:rsid w:val="00C81351"/>
    <w:rsid w:val="00C85876"/>
    <w:rsid w:val="00C87A29"/>
    <w:rsid w:val="00C9418E"/>
    <w:rsid w:val="00C943B4"/>
    <w:rsid w:val="00C97BEA"/>
    <w:rsid w:val="00CA04ED"/>
    <w:rsid w:val="00CA16A4"/>
    <w:rsid w:val="00CA19E9"/>
    <w:rsid w:val="00CA362E"/>
    <w:rsid w:val="00CA3765"/>
    <w:rsid w:val="00CA6658"/>
    <w:rsid w:val="00CA6955"/>
    <w:rsid w:val="00CB0162"/>
    <w:rsid w:val="00CB1583"/>
    <w:rsid w:val="00CB19CD"/>
    <w:rsid w:val="00CB1AFB"/>
    <w:rsid w:val="00CB441B"/>
    <w:rsid w:val="00CB54D2"/>
    <w:rsid w:val="00CB7408"/>
    <w:rsid w:val="00CB7B63"/>
    <w:rsid w:val="00CC2EDB"/>
    <w:rsid w:val="00CC3336"/>
    <w:rsid w:val="00CC4493"/>
    <w:rsid w:val="00CD1327"/>
    <w:rsid w:val="00CD3DDC"/>
    <w:rsid w:val="00CD51C1"/>
    <w:rsid w:val="00CD7549"/>
    <w:rsid w:val="00CE0619"/>
    <w:rsid w:val="00CE0DAE"/>
    <w:rsid w:val="00CE0DC3"/>
    <w:rsid w:val="00CE3421"/>
    <w:rsid w:val="00CE47FD"/>
    <w:rsid w:val="00CE520D"/>
    <w:rsid w:val="00CE5237"/>
    <w:rsid w:val="00CF0031"/>
    <w:rsid w:val="00CF123A"/>
    <w:rsid w:val="00CF28CA"/>
    <w:rsid w:val="00CF4484"/>
    <w:rsid w:val="00CF471A"/>
    <w:rsid w:val="00CF568D"/>
    <w:rsid w:val="00CF762B"/>
    <w:rsid w:val="00D028DA"/>
    <w:rsid w:val="00D031EB"/>
    <w:rsid w:val="00D0397C"/>
    <w:rsid w:val="00D04C17"/>
    <w:rsid w:val="00D20AFC"/>
    <w:rsid w:val="00D22247"/>
    <w:rsid w:val="00D23801"/>
    <w:rsid w:val="00D2456C"/>
    <w:rsid w:val="00D25AB5"/>
    <w:rsid w:val="00D27771"/>
    <w:rsid w:val="00D31CB6"/>
    <w:rsid w:val="00D32582"/>
    <w:rsid w:val="00D35020"/>
    <w:rsid w:val="00D42700"/>
    <w:rsid w:val="00D43752"/>
    <w:rsid w:val="00D55FEB"/>
    <w:rsid w:val="00D57CD6"/>
    <w:rsid w:val="00D6080B"/>
    <w:rsid w:val="00D60850"/>
    <w:rsid w:val="00D60CDF"/>
    <w:rsid w:val="00D614A7"/>
    <w:rsid w:val="00D631C0"/>
    <w:rsid w:val="00D6352C"/>
    <w:rsid w:val="00D6384C"/>
    <w:rsid w:val="00D64580"/>
    <w:rsid w:val="00D65D07"/>
    <w:rsid w:val="00D66E4F"/>
    <w:rsid w:val="00D700AC"/>
    <w:rsid w:val="00D70DA1"/>
    <w:rsid w:val="00D71157"/>
    <w:rsid w:val="00D71F80"/>
    <w:rsid w:val="00D75847"/>
    <w:rsid w:val="00D86827"/>
    <w:rsid w:val="00D90441"/>
    <w:rsid w:val="00D92FF3"/>
    <w:rsid w:val="00D9396B"/>
    <w:rsid w:val="00D93BF7"/>
    <w:rsid w:val="00D956BF"/>
    <w:rsid w:val="00D95F15"/>
    <w:rsid w:val="00D96720"/>
    <w:rsid w:val="00D97005"/>
    <w:rsid w:val="00DA319A"/>
    <w:rsid w:val="00DA57ED"/>
    <w:rsid w:val="00DB0619"/>
    <w:rsid w:val="00DB2151"/>
    <w:rsid w:val="00DB323A"/>
    <w:rsid w:val="00DB7804"/>
    <w:rsid w:val="00DC02A1"/>
    <w:rsid w:val="00DC10DF"/>
    <w:rsid w:val="00DC1DCB"/>
    <w:rsid w:val="00DC3A5D"/>
    <w:rsid w:val="00DC4E20"/>
    <w:rsid w:val="00DC4E36"/>
    <w:rsid w:val="00DC533E"/>
    <w:rsid w:val="00DC5AA4"/>
    <w:rsid w:val="00DD019D"/>
    <w:rsid w:val="00DD0420"/>
    <w:rsid w:val="00DD0A46"/>
    <w:rsid w:val="00DD6B57"/>
    <w:rsid w:val="00DE045B"/>
    <w:rsid w:val="00DE0AB2"/>
    <w:rsid w:val="00DE3E6F"/>
    <w:rsid w:val="00DE469F"/>
    <w:rsid w:val="00DE5A42"/>
    <w:rsid w:val="00DE6F0C"/>
    <w:rsid w:val="00DF26E7"/>
    <w:rsid w:val="00DF5129"/>
    <w:rsid w:val="00DF7E20"/>
    <w:rsid w:val="00DF7EFD"/>
    <w:rsid w:val="00E00230"/>
    <w:rsid w:val="00E036EF"/>
    <w:rsid w:val="00E062E8"/>
    <w:rsid w:val="00E07178"/>
    <w:rsid w:val="00E11097"/>
    <w:rsid w:val="00E11AD0"/>
    <w:rsid w:val="00E11B84"/>
    <w:rsid w:val="00E134C4"/>
    <w:rsid w:val="00E13BDE"/>
    <w:rsid w:val="00E22BB2"/>
    <w:rsid w:val="00E24085"/>
    <w:rsid w:val="00E25A51"/>
    <w:rsid w:val="00E262E2"/>
    <w:rsid w:val="00E278DD"/>
    <w:rsid w:val="00E279BE"/>
    <w:rsid w:val="00E315C8"/>
    <w:rsid w:val="00E32C8D"/>
    <w:rsid w:val="00E3535D"/>
    <w:rsid w:val="00E35A55"/>
    <w:rsid w:val="00E35B62"/>
    <w:rsid w:val="00E36E4F"/>
    <w:rsid w:val="00E37822"/>
    <w:rsid w:val="00E40927"/>
    <w:rsid w:val="00E42A76"/>
    <w:rsid w:val="00E465EB"/>
    <w:rsid w:val="00E4665B"/>
    <w:rsid w:val="00E46780"/>
    <w:rsid w:val="00E50224"/>
    <w:rsid w:val="00E5132C"/>
    <w:rsid w:val="00E52EF1"/>
    <w:rsid w:val="00E530E9"/>
    <w:rsid w:val="00E547D8"/>
    <w:rsid w:val="00E5488D"/>
    <w:rsid w:val="00E55CAA"/>
    <w:rsid w:val="00E56BFC"/>
    <w:rsid w:val="00E578FC"/>
    <w:rsid w:val="00E579E7"/>
    <w:rsid w:val="00E57ABE"/>
    <w:rsid w:val="00E61690"/>
    <w:rsid w:val="00E61E01"/>
    <w:rsid w:val="00E623FF"/>
    <w:rsid w:val="00E62912"/>
    <w:rsid w:val="00E632D8"/>
    <w:rsid w:val="00E65D16"/>
    <w:rsid w:val="00E66D1B"/>
    <w:rsid w:val="00E70271"/>
    <w:rsid w:val="00E706D6"/>
    <w:rsid w:val="00E736AA"/>
    <w:rsid w:val="00E736EF"/>
    <w:rsid w:val="00E7498E"/>
    <w:rsid w:val="00E75208"/>
    <w:rsid w:val="00E8449F"/>
    <w:rsid w:val="00E84B18"/>
    <w:rsid w:val="00E84F9F"/>
    <w:rsid w:val="00E86888"/>
    <w:rsid w:val="00E90E0D"/>
    <w:rsid w:val="00E9114E"/>
    <w:rsid w:val="00E91989"/>
    <w:rsid w:val="00E93750"/>
    <w:rsid w:val="00E94F56"/>
    <w:rsid w:val="00E95734"/>
    <w:rsid w:val="00E969E2"/>
    <w:rsid w:val="00E96E52"/>
    <w:rsid w:val="00E97356"/>
    <w:rsid w:val="00EA20C6"/>
    <w:rsid w:val="00EA417C"/>
    <w:rsid w:val="00EA6730"/>
    <w:rsid w:val="00EA791C"/>
    <w:rsid w:val="00EB3FAE"/>
    <w:rsid w:val="00EC056A"/>
    <w:rsid w:val="00EC2B52"/>
    <w:rsid w:val="00EC7B4C"/>
    <w:rsid w:val="00ED7D3D"/>
    <w:rsid w:val="00EE0D82"/>
    <w:rsid w:val="00EE21E7"/>
    <w:rsid w:val="00EE255D"/>
    <w:rsid w:val="00EE2B71"/>
    <w:rsid w:val="00EE3410"/>
    <w:rsid w:val="00EE74D6"/>
    <w:rsid w:val="00EE76BA"/>
    <w:rsid w:val="00EF24FE"/>
    <w:rsid w:val="00EF2C90"/>
    <w:rsid w:val="00EF63D2"/>
    <w:rsid w:val="00EF74EB"/>
    <w:rsid w:val="00F00A1C"/>
    <w:rsid w:val="00F00A32"/>
    <w:rsid w:val="00F01FB4"/>
    <w:rsid w:val="00F02800"/>
    <w:rsid w:val="00F05723"/>
    <w:rsid w:val="00F06737"/>
    <w:rsid w:val="00F119CA"/>
    <w:rsid w:val="00F14189"/>
    <w:rsid w:val="00F15246"/>
    <w:rsid w:val="00F176EB"/>
    <w:rsid w:val="00F17D33"/>
    <w:rsid w:val="00F20950"/>
    <w:rsid w:val="00F211F6"/>
    <w:rsid w:val="00F24918"/>
    <w:rsid w:val="00F27BBC"/>
    <w:rsid w:val="00F310AE"/>
    <w:rsid w:val="00F3149A"/>
    <w:rsid w:val="00F341C5"/>
    <w:rsid w:val="00F3495A"/>
    <w:rsid w:val="00F34F58"/>
    <w:rsid w:val="00F36028"/>
    <w:rsid w:val="00F4471D"/>
    <w:rsid w:val="00F46519"/>
    <w:rsid w:val="00F46695"/>
    <w:rsid w:val="00F47D32"/>
    <w:rsid w:val="00F47F3D"/>
    <w:rsid w:val="00F51670"/>
    <w:rsid w:val="00F51999"/>
    <w:rsid w:val="00F53C36"/>
    <w:rsid w:val="00F57033"/>
    <w:rsid w:val="00F57AAA"/>
    <w:rsid w:val="00F61B1A"/>
    <w:rsid w:val="00F62A25"/>
    <w:rsid w:val="00F66B05"/>
    <w:rsid w:val="00F7027B"/>
    <w:rsid w:val="00F70937"/>
    <w:rsid w:val="00F73610"/>
    <w:rsid w:val="00F778DD"/>
    <w:rsid w:val="00F81021"/>
    <w:rsid w:val="00F83DB4"/>
    <w:rsid w:val="00F85D42"/>
    <w:rsid w:val="00F861FB"/>
    <w:rsid w:val="00F8714C"/>
    <w:rsid w:val="00F914DC"/>
    <w:rsid w:val="00F91DB9"/>
    <w:rsid w:val="00F94792"/>
    <w:rsid w:val="00FA0899"/>
    <w:rsid w:val="00FA11FC"/>
    <w:rsid w:val="00FA2324"/>
    <w:rsid w:val="00FA3095"/>
    <w:rsid w:val="00FA3136"/>
    <w:rsid w:val="00FA57CA"/>
    <w:rsid w:val="00FA6DDB"/>
    <w:rsid w:val="00FB17E0"/>
    <w:rsid w:val="00FB2F91"/>
    <w:rsid w:val="00FB3FED"/>
    <w:rsid w:val="00FB48BB"/>
    <w:rsid w:val="00FB5522"/>
    <w:rsid w:val="00FB5614"/>
    <w:rsid w:val="00FB5BCB"/>
    <w:rsid w:val="00FB608B"/>
    <w:rsid w:val="00FB61DB"/>
    <w:rsid w:val="00FB6D56"/>
    <w:rsid w:val="00FC1AC6"/>
    <w:rsid w:val="00FC3A34"/>
    <w:rsid w:val="00FD0672"/>
    <w:rsid w:val="00FD2189"/>
    <w:rsid w:val="00FD3E5A"/>
    <w:rsid w:val="00FD3E6E"/>
    <w:rsid w:val="00FD6020"/>
    <w:rsid w:val="00FD6305"/>
    <w:rsid w:val="00FD7153"/>
    <w:rsid w:val="00FE2897"/>
    <w:rsid w:val="00FE2DD0"/>
    <w:rsid w:val="00FE4910"/>
    <w:rsid w:val="00FE4B5D"/>
    <w:rsid w:val="00FE582F"/>
    <w:rsid w:val="00FE6FDE"/>
    <w:rsid w:val="00FF0F2B"/>
    <w:rsid w:val="00FF5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List Bullet" w:uiPriority="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49A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Klassieketabel1">
    <w:name w:val="Table Classic 1"/>
    <w:basedOn w:val="Standaardtabel"/>
    <w:uiPriority w:val="99"/>
    <w:rsid w:val="00261D79"/>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rsid w:val="00C500F5"/>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Plattetekst">
    <w:name w:val="Body Text"/>
    <w:basedOn w:val="Standaard"/>
    <w:link w:val="PlattetekstChar"/>
    <w:uiPriority w:val="99"/>
    <w:rsid w:val="00BB49A8"/>
    <w:pPr>
      <w:widowControl w:val="0"/>
      <w:tabs>
        <w:tab w:val="left" w:pos="1418"/>
        <w:tab w:val="left" w:pos="2835"/>
        <w:tab w:val="left" w:pos="4253"/>
        <w:tab w:val="left" w:pos="5670"/>
      </w:tabs>
      <w:suppressAutoHyphens/>
      <w:spacing w:line="260" w:lineRule="exact"/>
    </w:pPr>
    <w:rPr>
      <w:rFonts w:ascii="Arial" w:hAnsi="Arial" w:cs="Arial"/>
      <w:sz w:val="20"/>
      <w:szCs w:val="20"/>
    </w:rPr>
  </w:style>
  <w:style w:type="character" w:customStyle="1" w:styleId="PlattetekstChar">
    <w:name w:val="Platte tekst Char"/>
    <w:basedOn w:val="Standaardalinea-lettertype"/>
    <w:link w:val="Plattetekst"/>
    <w:uiPriority w:val="99"/>
    <w:semiHidden/>
    <w:rsid w:val="008C37D3"/>
    <w:rPr>
      <w:sz w:val="24"/>
      <w:szCs w:val="24"/>
    </w:rPr>
  </w:style>
  <w:style w:type="paragraph" w:customStyle="1" w:styleId="Char2CharChar">
    <w:name w:val="Char2 Char Char"/>
    <w:basedOn w:val="Standaard"/>
    <w:uiPriority w:val="99"/>
    <w:rsid w:val="00BB49A8"/>
    <w:pPr>
      <w:spacing w:after="160" w:line="240" w:lineRule="exact"/>
    </w:pPr>
    <w:rPr>
      <w:rFonts w:ascii="Tahoma" w:hAnsi="Tahoma" w:cs="Tahoma"/>
      <w:sz w:val="20"/>
      <w:szCs w:val="20"/>
      <w:lang w:val="en-US" w:eastAsia="en-US"/>
    </w:rPr>
  </w:style>
  <w:style w:type="character" w:styleId="Nadruk">
    <w:name w:val="Emphasis"/>
    <w:basedOn w:val="Standaardalinea-lettertype"/>
    <w:uiPriority w:val="99"/>
    <w:qFormat/>
    <w:rsid w:val="005B5D23"/>
    <w:rPr>
      <w:i/>
      <w:iCs/>
    </w:rPr>
  </w:style>
  <w:style w:type="paragraph" w:customStyle="1" w:styleId="CharCharCharCharCharCharCharCharCharChar">
    <w:name w:val="Char Char Char Char Char Char Char Char Char Char"/>
    <w:aliases w:val="Standaardalinea-lettertype Char11 Char,Char Char Char Char Char Char11 Char,Standaardalinea-lettertype Char Char1 Char,Standaardalinea-lettertype Char2,Standaardalinea-lettertype Char Char"/>
    <w:basedOn w:val="Standaard"/>
    <w:uiPriority w:val="99"/>
    <w:rsid w:val="00961BBE"/>
    <w:pPr>
      <w:widowControl w:val="0"/>
      <w:adjustRightInd w:val="0"/>
      <w:spacing w:after="160" w:line="240" w:lineRule="exact"/>
      <w:jc w:val="both"/>
      <w:textAlignment w:val="baseline"/>
    </w:pPr>
    <w:rPr>
      <w:rFonts w:ascii="Tahoma" w:hAnsi="Tahoma" w:cs="Tahoma"/>
      <w:sz w:val="20"/>
      <w:szCs w:val="20"/>
      <w:lang w:val="en-US" w:eastAsia="en-US"/>
    </w:rPr>
  </w:style>
  <w:style w:type="paragraph" w:customStyle="1" w:styleId="CharChar">
    <w:name w:val="Char Char"/>
    <w:basedOn w:val="Standaard"/>
    <w:uiPriority w:val="99"/>
    <w:rsid w:val="00EC2B52"/>
    <w:pPr>
      <w:spacing w:after="160" w:line="240" w:lineRule="exact"/>
    </w:pPr>
    <w:rPr>
      <w:rFonts w:ascii="Tahoma" w:hAnsi="Tahoma" w:cs="Tahoma"/>
      <w:sz w:val="20"/>
      <w:szCs w:val="20"/>
      <w:lang w:val="en-US" w:eastAsia="en-US"/>
    </w:rPr>
  </w:style>
  <w:style w:type="paragraph" w:styleId="Voettekst">
    <w:name w:val="footer"/>
    <w:basedOn w:val="Standaard"/>
    <w:link w:val="VoettekstChar"/>
    <w:uiPriority w:val="99"/>
    <w:rsid w:val="005D107D"/>
    <w:pPr>
      <w:spacing w:before="100" w:beforeAutospacing="1" w:after="100" w:afterAutospacing="1"/>
    </w:pPr>
  </w:style>
  <w:style w:type="character" w:customStyle="1" w:styleId="VoettekstChar">
    <w:name w:val="Voettekst Char"/>
    <w:basedOn w:val="Standaardalinea-lettertype"/>
    <w:link w:val="Voettekst"/>
    <w:uiPriority w:val="99"/>
    <w:rsid w:val="008C37D3"/>
    <w:rPr>
      <w:sz w:val="24"/>
      <w:szCs w:val="24"/>
    </w:rPr>
  </w:style>
  <w:style w:type="paragraph" w:customStyle="1" w:styleId="CharChar1">
    <w:name w:val="Char Char1"/>
    <w:basedOn w:val="Standaard"/>
    <w:uiPriority w:val="99"/>
    <w:rsid w:val="00856982"/>
    <w:pPr>
      <w:spacing w:after="160" w:line="240" w:lineRule="exact"/>
    </w:pPr>
    <w:rPr>
      <w:rFonts w:ascii="Utopia" w:hAnsi="Utopia" w:cs="Utopia"/>
      <w:sz w:val="22"/>
      <w:szCs w:val="22"/>
    </w:rPr>
  </w:style>
  <w:style w:type="paragraph" w:styleId="Geenafstand">
    <w:name w:val="No Spacing"/>
    <w:uiPriority w:val="1"/>
    <w:qFormat/>
    <w:rsid w:val="00686FAC"/>
    <w:rPr>
      <w:sz w:val="24"/>
      <w:szCs w:val="24"/>
    </w:rPr>
  </w:style>
  <w:style w:type="paragraph" w:styleId="Lijstalinea">
    <w:name w:val="List Paragraph"/>
    <w:basedOn w:val="Standaard"/>
    <w:uiPriority w:val="34"/>
    <w:qFormat/>
    <w:rsid w:val="00321221"/>
    <w:pPr>
      <w:ind w:left="720"/>
    </w:pPr>
    <w:rPr>
      <w:rFonts w:ascii="Calibri" w:hAnsi="Calibri" w:cs="Calibri"/>
      <w:sz w:val="22"/>
      <w:szCs w:val="22"/>
    </w:rPr>
  </w:style>
  <w:style w:type="character" w:styleId="Verwijzingopmerking">
    <w:name w:val="annotation reference"/>
    <w:basedOn w:val="Standaardalinea-lettertype"/>
    <w:uiPriority w:val="99"/>
    <w:semiHidden/>
    <w:unhideWhenUsed/>
    <w:rsid w:val="00D71157"/>
    <w:rPr>
      <w:sz w:val="16"/>
      <w:szCs w:val="16"/>
    </w:rPr>
  </w:style>
  <w:style w:type="paragraph" w:styleId="Tekstopmerking">
    <w:name w:val="annotation text"/>
    <w:basedOn w:val="Standaard"/>
    <w:link w:val="TekstopmerkingChar"/>
    <w:uiPriority w:val="99"/>
    <w:unhideWhenUsed/>
    <w:rsid w:val="00D71157"/>
    <w:rPr>
      <w:sz w:val="20"/>
      <w:szCs w:val="20"/>
    </w:rPr>
  </w:style>
  <w:style w:type="character" w:customStyle="1" w:styleId="TekstopmerkingChar">
    <w:name w:val="Tekst opmerking Char"/>
    <w:basedOn w:val="Standaardalinea-lettertype"/>
    <w:link w:val="Tekstopmerking"/>
    <w:uiPriority w:val="99"/>
    <w:rsid w:val="00D71157"/>
    <w:rPr>
      <w:sz w:val="20"/>
      <w:szCs w:val="20"/>
    </w:rPr>
  </w:style>
  <w:style w:type="paragraph" w:styleId="Ballontekst">
    <w:name w:val="Balloon Text"/>
    <w:basedOn w:val="Standaard"/>
    <w:link w:val="BallontekstChar"/>
    <w:uiPriority w:val="99"/>
    <w:semiHidden/>
    <w:unhideWhenUsed/>
    <w:rsid w:val="00D71157"/>
    <w:rPr>
      <w:rFonts w:ascii="Tahoma" w:hAnsi="Tahoma" w:cs="Tahoma"/>
      <w:sz w:val="16"/>
      <w:szCs w:val="16"/>
    </w:rPr>
  </w:style>
  <w:style w:type="character" w:customStyle="1" w:styleId="BallontekstChar">
    <w:name w:val="Ballontekst Char"/>
    <w:basedOn w:val="Standaardalinea-lettertype"/>
    <w:link w:val="Ballontekst"/>
    <w:uiPriority w:val="99"/>
    <w:semiHidden/>
    <w:rsid w:val="00D71157"/>
    <w:rPr>
      <w:rFonts w:ascii="Tahoma" w:hAnsi="Tahoma" w:cs="Tahoma"/>
      <w:sz w:val="16"/>
      <w:szCs w:val="16"/>
    </w:rPr>
  </w:style>
  <w:style w:type="paragraph" w:customStyle="1" w:styleId="Default">
    <w:name w:val="Default"/>
    <w:rsid w:val="006F02C4"/>
    <w:pPr>
      <w:autoSpaceDE w:val="0"/>
      <w:autoSpaceDN w:val="0"/>
      <w:adjustRightInd w:val="0"/>
    </w:pPr>
    <w:rPr>
      <w:rFonts w:ascii="Verdana" w:eastAsiaTheme="minorHAnsi" w:hAnsi="Verdana" w:cs="Verdana"/>
      <w:color w:val="000000"/>
      <w:sz w:val="24"/>
      <w:szCs w:val="24"/>
      <w:lang w:eastAsia="en-US"/>
    </w:rPr>
  </w:style>
  <w:style w:type="paragraph" w:customStyle="1" w:styleId="Char2CharChar0">
    <w:name w:val="Char2 Char Char"/>
    <w:basedOn w:val="Standaard"/>
    <w:rsid w:val="00817900"/>
    <w:pPr>
      <w:spacing w:after="160" w:line="240" w:lineRule="exact"/>
    </w:pPr>
    <w:rPr>
      <w:rFonts w:ascii="Tahoma" w:hAnsi="Tahoma"/>
      <w:sz w:val="20"/>
      <w:szCs w:val="20"/>
      <w:lang w:val="en-US" w:eastAsia="en-US"/>
    </w:rPr>
  </w:style>
  <w:style w:type="character" w:customStyle="1" w:styleId="KoptekstChar">
    <w:name w:val="Koptekst Char"/>
    <w:basedOn w:val="Standaardalinea-lettertype"/>
    <w:link w:val="Koptekst"/>
    <w:uiPriority w:val="99"/>
    <w:semiHidden/>
    <w:rsid w:val="00A36B02"/>
    <w:rPr>
      <w:rFonts w:eastAsiaTheme="minorEastAsia"/>
      <w:sz w:val="24"/>
      <w:szCs w:val="24"/>
    </w:rPr>
  </w:style>
  <w:style w:type="paragraph" w:styleId="Koptekst">
    <w:name w:val="header"/>
    <w:basedOn w:val="Standaard"/>
    <w:link w:val="KoptekstChar"/>
    <w:uiPriority w:val="99"/>
    <w:semiHidden/>
    <w:unhideWhenUsed/>
    <w:rsid w:val="00A36B02"/>
    <w:pPr>
      <w:tabs>
        <w:tab w:val="center" w:pos="4536"/>
        <w:tab w:val="right" w:pos="9072"/>
      </w:tabs>
    </w:pPr>
    <w:rPr>
      <w:rFonts w:eastAsiaTheme="minorEastAsia"/>
    </w:rPr>
  </w:style>
  <w:style w:type="paragraph" w:styleId="Bijschrift">
    <w:name w:val="caption"/>
    <w:basedOn w:val="Standaard"/>
    <w:next w:val="Standaard"/>
    <w:uiPriority w:val="35"/>
    <w:unhideWhenUsed/>
    <w:qFormat/>
    <w:rsid w:val="00C21097"/>
    <w:pPr>
      <w:spacing w:after="200"/>
    </w:pPr>
    <w:rPr>
      <w:b/>
      <w:bCs/>
      <w:color w:val="4F81BD" w:themeColor="accent1"/>
      <w:sz w:val="18"/>
      <w:szCs w:val="18"/>
    </w:rPr>
  </w:style>
  <w:style w:type="paragraph" w:styleId="Onderwerpvanopmerking">
    <w:name w:val="annotation subject"/>
    <w:basedOn w:val="Tekstopmerking"/>
    <w:next w:val="Tekstopmerking"/>
    <w:link w:val="OnderwerpvanopmerkingChar"/>
    <w:uiPriority w:val="99"/>
    <w:semiHidden/>
    <w:unhideWhenUsed/>
    <w:rsid w:val="00564A04"/>
    <w:rPr>
      <w:b/>
      <w:bCs/>
    </w:rPr>
  </w:style>
  <w:style w:type="character" w:customStyle="1" w:styleId="OnderwerpvanopmerkingChar">
    <w:name w:val="Onderwerp van opmerking Char"/>
    <w:basedOn w:val="TekstopmerkingChar"/>
    <w:link w:val="Onderwerpvanopmerking"/>
    <w:uiPriority w:val="99"/>
    <w:semiHidden/>
    <w:rsid w:val="00564A04"/>
    <w:rPr>
      <w:b/>
      <w:bCs/>
      <w:sz w:val="20"/>
      <w:szCs w:val="20"/>
    </w:rPr>
  </w:style>
  <w:style w:type="character" w:customStyle="1" w:styleId="captiontitel">
    <w:name w:val="captiontitel"/>
    <w:basedOn w:val="Standaardalinea-lettertype"/>
    <w:rsid w:val="005544DF"/>
  </w:style>
  <w:style w:type="character" w:customStyle="1" w:styleId="st1">
    <w:name w:val="st1"/>
    <w:basedOn w:val="Standaardalinea-lettertype"/>
    <w:rsid w:val="00FB17E0"/>
  </w:style>
  <w:style w:type="character" w:styleId="Voetnootmarkering">
    <w:name w:val="footnote reference"/>
    <w:basedOn w:val="Standaardalinea-lettertype"/>
    <w:uiPriority w:val="99"/>
    <w:semiHidden/>
    <w:rsid w:val="000F3F33"/>
    <w:rPr>
      <w:vertAlign w:val="superscript"/>
    </w:rPr>
  </w:style>
  <w:style w:type="paragraph" w:styleId="Voetnoottekst">
    <w:name w:val="footnote text"/>
    <w:basedOn w:val="Standaard"/>
    <w:link w:val="VoetnoottekstChar"/>
    <w:uiPriority w:val="99"/>
    <w:semiHidden/>
    <w:rsid w:val="000F3F33"/>
    <w:pPr>
      <w:widowControl w:val="0"/>
    </w:pPr>
    <w:rPr>
      <w:rFonts w:ascii="Courier New" w:hAnsi="Courier New" w:cs="Courier New"/>
      <w:lang w:val="nl"/>
    </w:rPr>
  </w:style>
  <w:style w:type="character" w:customStyle="1" w:styleId="VoetnoottekstChar">
    <w:name w:val="Voetnoottekst Char"/>
    <w:basedOn w:val="Standaardalinea-lettertype"/>
    <w:link w:val="Voetnoottekst"/>
    <w:uiPriority w:val="99"/>
    <w:semiHidden/>
    <w:rsid w:val="000F3F33"/>
    <w:rPr>
      <w:rFonts w:ascii="Courier New" w:hAnsi="Courier New" w:cs="Courier New"/>
      <w:sz w:val="24"/>
      <w:szCs w:val="24"/>
      <w:lang w:val="nl"/>
    </w:rPr>
  </w:style>
  <w:style w:type="character" w:styleId="Zwaar">
    <w:name w:val="Strong"/>
    <w:basedOn w:val="Standaardalinea-lettertype"/>
    <w:uiPriority w:val="22"/>
    <w:qFormat/>
    <w:rsid w:val="00DE3E6F"/>
    <w:rPr>
      <w:b/>
      <w:bCs/>
    </w:rPr>
  </w:style>
  <w:style w:type="paragraph" w:styleId="Lijstopsomteken">
    <w:name w:val="List Bullet"/>
    <w:basedOn w:val="Standaard"/>
    <w:rsid w:val="00FA6DDB"/>
    <w:pPr>
      <w:numPr>
        <w:numId w:val="1"/>
      </w:numPr>
      <w:spacing w:line="240" w:lineRule="atLeast"/>
    </w:pPr>
    <w:rPr>
      <w:rFonts w:ascii="Verdana" w:hAnsi="Verdana"/>
      <w:sz w:val="20"/>
    </w:rPr>
  </w:style>
  <w:style w:type="paragraph" w:styleId="Normaalweb">
    <w:name w:val="Normal (Web)"/>
    <w:basedOn w:val="Standaard"/>
    <w:uiPriority w:val="99"/>
    <w:unhideWhenUsed/>
    <w:rsid w:val="00BE0A1B"/>
    <w:pPr>
      <w:spacing w:before="100" w:beforeAutospacing="1" w:after="100" w:afterAutospacing="1"/>
    </w:pPr>
    <w:rPr>
      <w:rFonts w:eastAsiaTheme="minorHAnsi"/>
    </w:rPr>
  </w:style>
  <w:style w:type="paragraph" w:styleId="Tekstzonderopmaak">
    <w:name w:val="Plain Text"/>
    <w:basedOn w:val="Standaard"/>
    <w:link w:val="TekstzonderopmaakChar"/>
    <w:uiPriority w:val="99"/>
    <w:semiHidden/>
    <w:unhideWhenUsed/>
    <w:rsid w:val="00885DF5"/>
    <w:rPr>
      <w:rFonts w:ascii="Verdana" w:eastAsiaTheme="minorHAnsi" w:hAnsi="Verdana"/>
      <w:sz w:val="18"/>
      <w:szCs w:val="18"/>
    </w:rPr>
  </w:style>
  <w:style w:type="character" w:customStyle="1" w:styleId="TekstzonderopmaakChar">
    <w:name w:val="Tekst zonder opmaak Char"/>
    <w:basedOn w:val="Standaardalinea-lettertype"/>
    <w:link w:val="Tekstzonderopmaak"/>
    <w:uiPriority w:val="99"/>
    <w:semiHidden/>
    <w:rsid w:val="00885DF5"/>
    <w:rPr>
      <w:rFonts w:ascii="Verdana" w:eastAsiaTheme="minorHAnsi" w:hAnsi="Verdana"/>
      <w:sz w:val="18"/>
      <w:szCs w:val="18"/>
    </w:rPr>
  </w:style>
  <w:style w:type="character" w:customStyle="1" w:styleId="s5">
    <w:name w:val="s5"/>
    <w:basedOn w:val="Standaardalinea-lettertype"/>
    <w:rsid w:val="00696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List Bullet" w:uiPriority="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49A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Klassieketabel1">
    <w:name w:val="Table Classic 1"/>
    <w:basedOn w:val="Standaardtabel"/>
    <w:uiPriority w:val="99"/>
    <w:rsid w:val="00261D79"/>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rsid w:val="00C500F5"/>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Plattetekst">
    <w:name w:val="Body Text"/>
    <w:basedOn w:val="Standaard"/>
    <w:link w:val="PlattetekstChar"/>
    <w:uiPriority w:val="99"/>
    <w:rsid w:val="00BB49A8"/>
    <w:pPr>
      <w:widowControl w:val="0"/>
      <w:tabs>
        <w:tab w:val="left" w:pos="1418"/>
        <w:tab w:val="left" w:pos="2835"/>
        <w:tab w:val="left" w:pos="4253"/>
        <w:tab w:val="left" w:pos="5670"/>
      </w:tabs>
      <w:suppressAutoHyphens/>
      <w:spacing w:line="260" w:lineRule="exact"/>
    </w:pPr>
    <w:rPr>
      <w:rFonts w:ascii="Arial" w:hAnsi="Arial" w:cs="Arial"/>
      <w:sz w:val="20"/>
      <w:szCs w:val="20"/>
    </w:rPr>
  </w:style>
  <w:style w:type="character" w:customStyle="1" w:styleId="PlattetekstChar">
    <w:name w:val="Platte tekst Char"/>
    <w:basedOn w:val="Standaardalinea-lettertype"/>
    <w:link w:val="Plattetekst"/>
    <w:uiPriority w:val="99"/>
    <w:semiHidden/>
    <w:rsid w:val="008C37D3"/>
    <w:rPr>
      <w:sz w:val="24"/>
      <w:szCs w:val="24"/>
    </w:rPr>
  </w:style>
  <w:style w:type="paragraph" w:customStyle="1" w:styleId="Char2CharChar">
    <w:name w:val="Char2 Char Char"/>
    <w:basedOn w:val="Standaard"/>
    <w:uiPriority w:val="99"/>
    <w:rsid w:val="00BB49A8"/>
    <w:pPr>
      <w:spacing w:after="160" w:line="240" w:lineRule="exact"/>
    </w:pPr>
    <w:rPr>
      <w:rFonts w:ascii="Tahoma" w:hAnsi="Tahoma" w:cs="Tahoma"/>
      <w:sz w:val="20"/>
      <w:szCs w:val="20"/>
      <w:lang w:val="en-US" w:eastAsia="en-US"/>
    </w:rPr>
  </w:style>
  <w:style w:type="character" w:styleId="Nadruk">
    <w:name w:val="Emphasis"/>
    <w:basedOn w:val="Standaardalinea-lettertype"/>
    <w:uiPriority w:val="99"/>
    <w:qFormat/>
    <w:rsid w:val="005B5D23"/>
    <w:rPr>
      <w:i/>
      <w:iCs/>
    </w:rPr>
  </w:style>
  <w:style w:type="paragraph" w:customStyle="1" w:styleId="CharCharCharCharCharCharCharCharCharChar">
    <w:name w:val="Char Char Char Char Char Char Char Char Char Char"/>
    <w:aliases w:val="Standaardalinea-lettertype Char11 Char,Char Char Char Char Char Char11 Char,Standaardalinea-lettertype Char Char1 Char,Standaardalinea-lettertype Char2,Standaardalinea-lettertype Char Char"/>
    <w:basedOn w:val="Standaard"/>
    <w:uiPriority w:val="99"/>
    <w:rsid w:val="00961BBE"/>
    <w:pPr>
      <w:widowControl w:val="0"/>
      <w:adjustRightInd w:val="0"/>
      <w:spacing w:after="160" w:line="240" w:lineRule="exact"/>
      <w:jc w:val="both"/>
      <w:textAlignment w:val="baseline"/>
    </w:pPr>
    <w:rPr>
      <w:rFonts w:ascii="Tahoma" w:hAnsi="Tahoma" w:cs="Tahoma"/>
      <w:sz w:val="20"/>
      <w:szCs w:val="20"/>
      <w:lang w:val="en-US" w:eastAsia="en-US"/>
    </w:rPr>
  </w:style>
  <w:style w:type="paragraph" w:customStyle="1" w:styleId="CharChar">
    <w:name w:val="Char Char"/>
    <w:basedOn w:val="Standaard"/>
    <w:uiPriority w:val="99"/>
    <w:rsid w:val="00EC2B52"/>
    <w:pPr>
      <w:spacing w:after="160" w:line="240" w:lineRule="exact"/>
    </w:pPr>
    <w:rPr>
      <w:rFonts w:ascii="Tahoma" w:hAnsi="Tahoma" w:cs="Tahoma"/>
      <w:sz w:val="20"/>
      <w:szCs w:val="20"/>
      <w:lang w:val="en-US" w:eastAsia="en-US"/>
    </w:rPr>
  </w:style>
  <w:style w:type="paragraph" w:styleId="Voettekst">
    <w:name w:val="footer"/>
    <w:basedOn w:val="Standaard"/>
    <w:link w:val="VoettekstChar"/>
    <w:uiPriority w:val="99"/>
    <w:rsid w:val="005D107D"/>
    <w:pPr>
      <w:spacing w:before="100" w:beforeAutospacing="1" w:after="100" w:afterAutospacing="1"/>
    </w:pPr>
  </w:style>
  <w:style w:type="character" w:customStyle="1" w:styleId="VoettekstChar">
    <w:name w:val="Voettekst Char"/>
    <w:basedOn w:val="Standaardalinea-lettertype"/>
    <w:link w:val="Voettekst"/>
    <w:uiPriority w:val="99"/>
    <w:rsid w:val="008C37D3"/>
    <w:rPr>
      <w:sz w:val="24"/>
      <w:szCs w:val="24"/>
    </w:rPr>
  </w:style>
  <w:style w:type="paragraph" w:customStyle="1" w:styleId="CharChar1">
    <w:name w:val="Char Char1"/>
    <w:basedOn w:val="Standaard"/>
    <w:uiPriority w:val="99"/>
    <w:rsid w:val="00856982"/>
    <w:pPr>
      <w:spacing w:after="160" w:line="240" w:lineRule="exact"/>
    </w:pPr>
    <w:rPr>
      <w:rFonts w:ascii="Utopia" w:hAnsi="Utopia" w:cs="Utopia"/>
      <w:sz w:val="22"/>
      <w:szCs w:val="22"/>
    </w:rPr>
  </w:style>
  <w:style w:type="paragraph" w:styleId="Geenafstand">
    <w:name w:val="No Spacing"/>
    <w:uiPriority w:val="1"/>
    <w:qFormat/>
    <w:rsid w:val="00686FAC"/>
    <w:rPr>
      <w:sz w:val="24"/>
      <w:szCs w:val="24"/>
    </w:rPr>
  </w:style>
  <w:style w:type="paragraph" w:styleId="Lijstalinea">
    <w:name w:val="List Paragraph"/>
    <w:basedOn w:val="Standaard"/>
    <w:uiPriority w:val="34"/>
    <w:qFormat/>
    <w:rsid w:val="00321221"/>
    <w:pPr>
      <w:ind w:left="720"/>
    </w:pPr>
    <w:rPr>
      <w:rFonts w:ascii="Calibri" w:hAnsi="Calibri" w:cs="Calibri"/>
      <w:sz w:val="22"/>
      <w:szCs w:val="22"/>
    </w:rPr>
  </w:style>
  <w:style w:type="character" w:styleId="Verwijzingopmerking">
    <w:name w:val="annotation reference"/>
    <w:basedOn w:val="Standaardalinea-lettertype"/>
    <w:uiPriority w:val="99"/>
    <w:semiHidden/>
    <w:unhideWhenUsed/>
    <w:rsid w:val="00D71157"/>
    <w:rPr>
      <w:sz w:val="16"/>
      <w:szCs w:val="16"/>
    </w:rPr>
  </w:style>
  <w:style w:type="paragraph" w:styleId="Tekstopmerking">
    <w:name w:val="annotation text"/>
    <w:basedOn w:val="Standaard"/>
    <w:link w:val="TekstopmerkingChar"/>
    <w:uiPriority w:val="99"/>
    <w:unhideWhenUsed/>
    <w:rsid w:val="00D71157"/>
    <w:rPr>
      <w:sz w:val="20"/>
      <w:szCs w:val="20"/>
    </w:rPr>
  </w:style>
  <w:style w:type="character" w:customStyle="1" w:styleId="TekstopmerkingChar">
    <w:name w:val="Tekst opmerking Char"/>
    <w:basedOn w:val="Standaardalinea-lettertype"/>
    <w:link w:val="Tekstopmerking"/>
    <w:uiPriority w:val="99"/>
    <w:rsid w:val="00D71157"/>
    <w:rPr>
      <w:sz w:val="20"/>
      <w:szCs w:val="20"/>
    </w:rPr>
  </w:style>
  <w:style w:type="paragraph" w:styleId="Ballontekst">
    <w:name w:val="Balloon Text"/>
    <w:basedOn w:val="Standaard"/>
    <w:link w:val="BallontekstChar"/>
    <w:uiPriority w:val="99"/>
    <w:semiHidden/>
    <w:unhideWhenUsed/>
    <w:rsid w:val="00D71157"/>
    <w:rPr>
      <w:rFonts w:ascii="Tahoma" w:hAnsi="Tahoma" w:cs="Tahoma"/>
      <w:sz w:val="16"/>
      <w:szCs w:val="16"/>
    </w:rPr>
  </w:style>
  <w:style w:type="character" w:customStyle="1" w:styleId="BallontekstChar">
    <w:name w:val="Ballontekst Char"/>
    <w:basedOn w:val="Standaardalinea-lettertype"/>
    <w:link w:val="Ballontekst"/>
    <w:uiPriority w:val="99"/>
    <w:semiHidden/>
    <w:rsid w:val="00D71157"/>
    <w:rPr>
      <w:rFonts w:ascii="Tahoma" w:hAnsi="Tahoma" w:cs="Tahoma"/>
      <w:sz w:val="16"/>
      <w:szCs w:val="16"/>
    </w:rPr>
  </w:style>
  <w:style w:type="paragraph" w:customStyle="1" w:styleId="Default">
    <w:name w:val="Default"/>
    <w:rsid w:val="006F02C4"/>
    <w:pPr>
      <w:autoSpaceDE w:val="0"/>
      <w:autoSpaceDN w:val="0"/>
      <w:adjustRightInd w:val="0"/>
    </w:pPr>
    <w:rPr>
      <w:rFonts w:ascii="Verdana" w:eastAsiaTheme="minorHAnsi" w:hAnsi="Verdana" w:cs="Verdana"/>
      <w:color w:val="000000"/>
      <w:sz w:val="24"/>
      <w:szCs w:val="24"/>
      <w:lang w:eastAsia="en-US"/>
    </w:rPr>
  </w:style>
  <w:style w:type="paragraph" w:customStyle="1" w:styleId="Char2CharChar0">
    <w:name w:val="Char2 Char Char"/>
    <w:basedOn w:val="Standaard"/>
    <w:rsid w:val="00817900"/>
    <w:pPr>
      <w:spacing w:after="160" w:line="240" w:lineRule="exact"/>
    </w:pPr>
    <w:rPr>
      <w:rFonts w:ascii="Tahoma" w:hAnsi="Tahoma"/>
      <w:sz w:val="20"/>
      <w:szCs w:val="20"/>
      <w:lang w:val="en-US" w:eastAsia="en-US"/>
    </w:rPr>
  </w:style>
  <w:style w:type="character" w:customStyle="1" w:styleId="KoptekstChar">
    <w:name w:val="Koptekst Char"/>
    <w:basedOn w:val="Standaardalinea-lettertype"/>
    <w:link w:val="Koptekst"/>
    <w:uiPriority w:val="99"/>
    <w:semiHidden/>
    <w:rsid w:val="00A36B02"/>
    <w:rPr>
      <w:rFonts w:eastAsiaTheme="minorEastAsia"/>
      <w:sz w:val="24"/>
      <w:szCs w:val="24"/>
    </w:rPr>
  </w:style>
  <w:style w:type="paragraph" w:styleId="Koptekst">
    <w:name w:val="header"/>
    <w:basedOn w:val="Standaard"/>
    <w:link w:val="KoptekstChar"/>
    <w:uiPriority w:val="99"/>
    <w:semiHidden/>
    <w:unhideWhenUsed/>
    <w:rsid w:val="00A36B02"/>
    <w:pPr>
      <w:tabs>
        <w:tab w:val="center" w:pos="4536"/>
        <w:tab w:val="right" w:pos="9072"/>
      </w:tabs>
    </w:pPr>
    <w:rPr>
      <w:rFonts w:eastAsiaTheme="minorEastAsia"/>
    </w:rPr>
  </w:style>
  <w:style w:type="paragraph" w:styleId="Bijschrift">
    <w:name w:val="caption"/>
    <w:basedOn w:val="Standaard"/>
    <w:next w:val="Standaard"/>
    <w:uiPriority w:val="35"/>
    <w:unhideWhenUsed/>
    <w:qFormat/>
    <w:rsid w:val="00C21097"/>
    <w:pPr>
      <w:spacing w:after="200"/>
    </w:pPr>
    <w:rPr>
      <w:b/>
      <w:bCs/>
      <w:color w:val="4F81BD" w:themeColor="accent1"/>
      <w:sz w:val="18"/>
      <w:szCs w:val="18"/>
    </w:rPr>
  </w:style>
  <w:style w:type="paragraph" w:styleId="Onderwerpvanopmerking">
    <w:name w:val="annotation subject"/>
    <w:basedOn w:val="Tekstopmerking"/>
    <w:next w:val="Tekstopmerking"/>
    <w:link w:val="OnderwerpvanopmerkingChar"/>
    <w:uiPriority w:val="99"/>
    <w:semiHidden/>
    <w:unhideWhenUsed/>
    <w:rsid w:val="00564A04"/>
    <w:rPr>
      <w:b/>
      <w:bCs/>
    </w:rPr>
  </w:style>
  <w:style w:type="character" w:customStyle="1" w:styleId="OnderwerpvanopmerkingChar">
    <w:name w:val="Onderwerp van opmerking Char"/>
    <w:basedOn w:val="TekstopmerkingChar"/>
    <w:link w:val="Onderwerpvanopmerking"/>
    <w:uiPriority w:val="99"/>
    <w:semiHidden/>
    <w:rsid w:val="00564A04"/>
    <w:rPr>
      <w:b/>
      <w:bCs/>
      <w:sz w:val="20"/>
      <w:szCs w:val="20"/>
    </w:rPr>
  </w:style>
  <w:style w:type="character" w:customStyle="1" w:styleId="captiontitel">
    <w:name w:val="captiontitel"/>
    <w:basedOn w:val="Standaardalinea-lettertype"/>
    <w:rsid w:val="005544DF"/>
  </w:style>
  <w:style w:type="character" w:customStyle="1" w:styleId="st1">
    <w:name w:val="st1"/>
    <w:basedOn w:val="Standaardalinea-lettertype"/>
    <w:rsid w:val="00FB17E0"/>
  </w:style>
  <w:style w:type="character" w:styleId="Voetnootmarkering">
    <w:name w:val="footnote reference"/>
    <w:basedOn w:val="Standaardalinea-lettertype"/>
    <w:uiPriority w:val="99"/>
    <w:semiHidden/>
    <w:rsid w:val="000F3F33"/>
    <w:rPr>
      <w:vertAlign w:val="superscript"/>
    </w:rPr>
  </w:style>
  <w:style w:type="paragraph" w:styleId="Voetnoottekst">
    <w:name w:val="footnote text"/>
    <w:basedOn w:val="Standaard"/>
    <w:link w:val="VoetnoottekstChar"/>
    <w:uiPriority w:val="99"/>
    <w:semiHidden/>
    <w:rsid w:val="000F3F33"/>
    <w:pPr>
      <w:widowControl w:val="0"/>
    </w:pPr>
    <w:rPr>
      <w:rFonts w:ascii="Courier New" w:hAnsi="Courier New" w:cs="Courier New"/>
      <w:lang w:val="nl"/>
    </w:rPr>
  </w:style>
  <w:style w:type="character" w:customStyle="1" w:styleId="VoetnoottekstChar">
    <w:name w:val="Voetnoottekst Char"/>
    <w:basedOn w:val="Standaardalinea-lettertype"/>
    <w:link w:val="Voetnoottekst"/>
    <w:uiPriority w:val="99"/>
    <w:semiHidden/>
    <w:rsid w:val="000F3F33"/>
    <w:rPr>
      <w:rFonts w:ascii="Courier New" w:hAnsi="Courier New" w:cs="Courier New"/>
      <w:sz w:val="24"/>
      <w:szCs w:val="24"/>
      <w:lang w:val="nl"/>
    </w:rPr>
  </w:style>
  <w:style w:type="character" w:styleId="Zwaar">
    <w:name w:val="Strong"/>
    <w:basedOn w:val="Standaardalinea-lettertype"/>
    <w:uiPriority w:val="22"/>
    <w:qFormat/>
    <w:rsid w:val="00DE3E6F"/>
    <w:rPr>
      <w:b/>
      <w:bCs/>
    </w:rPr>
  </w:style>
  <w:style w:type="paragraph" w:styleId="Lijstopsomteken">
    <w:name w:val="List Bullet"/>
    <w:basedOn w:val="Standaard"/>
    <w:rsid w:val="00FA6DDB"/>
    <w:pPr>
      <w:numPr>
        <w:numId w:val="1"/>
      </w:numPr>
      <w:spacing w:line="240" w:lineRule="atLeast"/>
    </w:pPr>
    <w:rPr>
      <w:rFonts w:ascii="Verdana" w:hAnsi="Verdana"/>
      <w:sz w:val="20"/>
    </w:rPr>
  </w:style>
  <w:style w:type="paragraph" w:styleId="Normaalweb">
    <w:name w:val="Normal (Web)"/>
    <w:basedOn w:val="Standaard"/>
    <w:uiPriority w:val="99"/>
    <w:unhideWhenUsed/>
    <w:rsid w:val="00BE0A1B"/>
    <w:pPr>
      <w:spacing w:before="100" w:beforeAutospacing="1" w:after="100" w:afterAutospacing="1"/>
    </w:pPr>
    <w:rPr>
      <w:rFonts w:eastAsiaTheme="minorHAnsi"/>
    </w:rPr>
  </w:style>
  <w:style w:type="paragraph" w:styleId="Tekstzonderopmaak">
    <w:name w:val="Plain Text"/>
    <w:basedOn w:val="Standaard"/>
    <w:link w:val="TekstzonderopmaakChar"/>
    <w:uiPriority w:val="99"/>
    <w:semiHidden/>
    <w:unhideWhenUsed/>
    <w:rsid w:val="00885DF5"/>
    <w:rPr>
      <w:rFonts w:ascii="Verdana" w:eastAsiaTheme="minorHAnsi" w:hAnsi="Verdana"/>
      <w:sz w:val="18"/>
      <w:szCs w:val="18"/>
    </w:rPr>
  </w:style>
  <w:style w:type="character" w:customStyle="1" w:styleId="TekstzonderopmaakChar">
    <w:name w:val="Tekst zonder opmaak Char"/>
    <w:basedOn w:val="Standaardalinea-lettertype"/>
    <w:link w:val="Tekstzonderopmaak"/>
    <w:uiPriority w:val="99"/>
    <w:semiHidden/>
    <w:rsid w:val="00885DF5"/>
    <w:rPr>
      <w:rFonts w:ascii="Verdana" w:eastAsiaTheme="minorHAnsi" w:hAnsi="Verdana"/>
      <w:sz w:val="18"/>
      <w:szCs w:val="18"/>
    </w:rPr>
  </w:style>
  <w:style w:type="character" w:customStyle="1" w:styleId="s5">
    <w:name w:val="s5"/>
    <w:basedOn w:val="Standaardalinea-lettertype"/>
    <w:rsid w:val="00696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093">
      <w:bodyDiv w:val="1"/>
      <w:marLeft w:val="0"/>
      <w:marRight w:val="0"/>
      <w:marTop w:val="0"/>
      <w:marBottom w:val="0"/>
      <w:divBdr>
        <w:top w:val="none" w:sz="0" w:space="0" w:color="auto"/>
        <w:left w:val="none" w:sz="0" w:space="0" w:color="auto"/>
        <w:bottom w:val="none" w:sz="0" w:space="0" w:color="auto"/>
        <w:right w:val="none" w:sz="0" w:space="0" w:color="auto"/>
      </w:divBdr>
    </w:div>
    <w:div w:id="12221814">
      <w:bodyDiv w:val="1"/>
      <w:marLeft w:val="0"/>
      <w:marRight w:val="0"/>
      <w:marTop w:val="0"/>
      <w:marBottom w:val="0"/>
      <w:divBdr>
        <w:top w:val="none" w:sz="0" w:space="0" w:color="auto"/>
        <w:left w:val="none" w:sz="0" w:space="0" w:color="auto"/>
        <w:bottom w:val="none" w:sz="0" w:space="0" w:color="auto"/>
        <w:right w:val="none" w:sz="0" w:space="0" w:color="auto"/>
      </w:divBdr>
    </w:div>
    <w:div w:id="19671412">
      <w:bodyDiv w:val="1"/>
      <w:marLeft w:val="0"/>
      <w:marRight w:val="0"/>
      <w:marTop w:val="0"/>
      <w:marBottom w:val="0"/>
      <w:divBdr>
        <w:top w:val="none" w:sz="0" w:space="0" w:color="auto"/>
        <w:left w:val="none" w:sz="0" w:space="0" w:color="auto"/>
        <w:bottom w:val="none" w:sz="0" w:space="0" w:color="auto"/>
        <w:right w:val="none" w:sz="0" w:space="0" w:color="auto"/>
      </w:divBdr>
    </w:div>
    <w:div w:id="20783055">
      <w:bodyDiv w:val="1"/>
      <w:marLeft w:val="0"/>
      <w:marRight w:val="0"/>
      <w:marTop w:val="0"/>
      <w:marBottom w:val="0"/>
      <w:divBdr>
        <w:top w:val="none" w:sz="0" w:space="0" w:color="auto"/>
        <w:left w:val="none" w:sz="0" w:space="0" w:color="auto"/>
        <w:bottom w:val="none" w:sz="0" w:space="0" w:color="auto"/>
        <w:right w:val="none" w:sz="0" w:space="0" w:color="auto"/>
      </w:divBdr>
    </w:div>
    <w:div w:id="27068803">
      <w:bodyDiv w:val="1"/>
      <w:marLeft w:val="0"/>
      <w:marRight w:val="0"/>
      <w:marTop w:val="0"/>
      <w:marBottom w:val="0"/>
      <w:divBdr>
        <w:top w:val="none" w:sz="0" w:space="0" w:color="auto"/>
        <w:left w:val="none" w:sz="0" w:space="0" w:color="auto"/>
        <w:bottom w:val="none" w:sz="0" w:space="0" w:color="auto"/>
        <w:right w:val="none" w:sz="0" w:space="0" w:color="auto"/>
      </w:divBdr>
    </w:div>
    <w:div w:id="31152363">
      <w:bodyDiv w:val="1"/>
      <w:marLeft w:val="0"/>
      <w:marRight w:val="0"/>
      <w:marTop w:val="0"/>
      <w:marBottom w:val="0"/>
      <w:divBdr>
        <w:top w:val="none" w:sz="0" w:space="0" w:color="auto"/>
        <w:left w:val="none" w:sz="0" w:space="0" w:color="auto"/>
        <w:bottom w:val="none" w:sz="0" w:space="0" w:color="auto"/>
        <w:right w:val="none" w:sz="0" w:space="0" w:color="auto"/>
      </w:divBdr>
    </w:div>
    <w:div w:id="41292901">
      <w:bodyDiv w:val="1"/>
      <w:marLeft w:val="0"/>
      <w:marRight w:val="0"/>
      <w:marTop w:val="0"/>
      <w:marBottom w:val="0"/>
      <w:divBdr>
        <w:top w:val="none" w:sz="0" w:space="0" w:color="auto"/>
        <w:left w:val="none" w:sz="0" w:space="0" w:color="auto"/>
        <w:bottom w:val="none" w:sz="0" w:space="0" w:color="auto"/>
        <w:right w:val="none" w:sz="0" w:space="0" w:color="auto"/>
      </w:divBdr>
    </w:div>
    <w:div w:id="46806551">
      <w:bodyDiv w:val="1"/>
      <w:marLeft w:val="0"/>
      <w:marRight w:val="0"/>
      <w:marTop w:val="0"/>
      <w:marBottom w:val="0"/>
      <w:divBdr>
        <w:top w:val="none" w:sz="0" w:space="0" w:color="auto"/>
        <w:left w:val="none" w:sz="0" w:space="0" w:color="auto"/>
        <w:bottom w:val="none" w:sz="0" w:space="0" w:color="auto"/>
        <w:right w:val="none" w:sz="0" w:space="0" w:color="auto"/>
      </w:divBdr>
    </w:div>
    <w:div w:id="78412542">
      <w:bodyDiv w:val="1"/>
      <w:marLeft w:val="0"/>
      <w:marRight w:val="0"/>
      <w:marTop w:val="0"/>
      <w:marBottom w:val="0"/>
      <w:divBdr>
        <w:top w:val="none" w:sz="0" w:space="0" w:color="auto"/>
        <w:left w:val="none" w:sz="0" w:space="0" w:color="auto"/>
        <w:bottom w:val="none" w:sz="0" w:space="0" w:color="auto"/>
        <w:right w:val="none" w:sz="0" w:space="0" w:color="auto"/>
      </w:divBdr>
    </w:div>
    <w:div w:id="97331041">
      <w:bodyDiv w:val="1"/>
      <w:marLeft w:val="0"/>
      <w:marRight w:val="0"/>
      <w:marTop w:val="0"/>
      <w:marBottom w:val="0"/>
      <w:divBdr>
        <w:top w:val="none" w:sz="0" w:space="0" w:color="auto"/>
        <w:left w:val="none" w:sz="0" w:space="0" w:color="auto"/>
        <w:bottom w:val="none" w:sz="0" w:space="0" w:color="auto"/>
        <w:right w:val="none" w:sz="0" w:space="0" w:color="auto"/>
      </w:divBdr>
    </w:div>
    <w:div w:id="106431026">
      <w:bodyDiv w:val="1"/>
      <w:marLeft w:val="0"/>
      <w:marRight w:val="0"/>
      <w:marTop w:val="0"/>
      <w:marBottom w:val="0"/>
      <w:divBdr>
        <w:top w:val="none" w:sz="0" w:space="0" w:color="auto"/>
        <w:left w:val="none" w:sz="0" w:space="0" w:color="auto"/>
        <w:bottom w:val="none" w:sz="0" w:space="0" w:color="auto"/>
        <w:right w:val="none" w:sz="0" w:space="0" w:color="auto"/>
      </w:divBdr>
    </w:div>
    <w:div w:id="122308427">
      <w:bodyDiv w:val="1"/>
      <w:marLeft w:val="0"/>
      <w:marRight w:val="0"/>
      <w:marTop w:val="0"/>
      <w:marBottom w:val="0"/>
      <w:divBdr>
        <w:top w:val="none" w:sz="0" w:space="0" w:color="auto"/>
        <w:left w:val="none" w:sz="0" w:space="0" w:color="auto"/>
        <w:bottom w:val="none" w:sz="0" w:space="0" w:color="auto"/>
        <w:right w:val="none" w:sz="0" w:space="0" w:color="auto"/>
      </w:divBdr>
    </w:div>
    <w:div w:id="128670989">
      <w:bodyDiv w:val="1"/>
      <w:marLeft w:val="0"/>
      <w:marRight w:val="0"/>
      <w:marTop w:val="0"/>
      <w:marBottom w:val="0"/>
      <w:divBdr>
        <w:top w:val="none" w:sz="0" w:space="0" w:color="auto"/>
        <w:left w:val="none" w:sz="0" w:space="0" w:color="auto"/>
        <w:bottom w:val="none" w:sz="0" w:space="0" w:color="auto"/>
        <w:right w:val="none" w:sz="0" w:space="0" w:color="auto"/>
      </w:divBdr>
    </w:div>
    <w:div w:id="137502764">
      <w:bodyDiv w:val="1"/>
      <w:marLeft w:val="0"/>
      <w:marRight w:val="0"/>
      <w:marTop w:val="0"/>
      <w:marBottom w:val="0"/>
      <w:divBdr>
        <w:top w:val="none" w:sz="0" w:space="0" w:color="auto"/>
        <w:left w:val="none" w:sz="0" w:space="0" w:color="auto"/>
        <w:bottom w:val="none" w:sz="0" w:space="0" w:color="auto"/>
        <w:right w:val="none" w:sz="0" w:space="0" w:color="auto"/>
      </w:divBdr>
    </w:div>
    <w:div w:id="143544903">
      <w:bodyDiv w:val="1"/>
      <w:marLeft w:val="0"/>
      <w:marRight w:val="0"/>
      <w:marTop w:val="0"/>
      <w:marBottom w:val="0"/>
      <w:divBdr>
        <w:top w:val="none" w:sz="0" w:space="0" w:color="auto"/>
        <w:left w:val="none" w:sz="0" w:space="0" w:color="auto"/>
        <w:bottom w:val="none" w:sz="0" w:space="0" w:color="auto"/>
        <w:right w:val="none" w:sz="0" w:space="0" w:color="auto"/>
      </w:divBdr>
    </w:div>
    <w:div w:id="149298735">
      <w:bodyDiv w:val="1"/>
      <w:marLeft w:val="0"/>
      <w:marRight w:val="0"/>
      <w:marTop w:val="0"/>
      <w:marBottom w:val="0"/>
      <w:divBdr>
        <w:top w:val="none" w:sz="0" w:space="0" w:color="auto"/>
        <w:left w:val="none" w:sz="0" w:space="0" w:color="auto"/>
        <w:bottom w:val="none" w:sz="0" w:space="0" w:color="auto"/>
        <w:right w:val="none" w:sz="0" w:space="0" w:color="auto"/>
      </w:divBdr>
    </w:div>
    <w:div w:id="157312249">
      <w:bodyDiv w:val="1"/>
      <w:marLeft w:val="0"/>
      <w:marRight w:val="0"/>
      <w:marTop w:val="0"/>
      <w:marBottom w:val="0"/>
      <w:divBdr>
        <w:top w:val="none" w:sz="0" w:space="0" w:color="auto"/>
        <w:left w:val="none" w:sz="0" w:space="0" w:color="auto"/>
        <w:bottom w:val="none" w:sz="0" w:space="0" w:color="auto"/>
        <w:right w:val="none" w:sz="0" w:space="0" w:color="auto"/>
      </w:divBdr>
    </w:div>
    <w:div w:id="164444678">
      <w:bodyDiv w:val="1"/>
      <w:marLeft w:val="0"/>
      <w:marRight w:val="0"/>
      <w:marTop w:val="0"/>
      <w:marBottom w:val="0"/>
      <w:divBdr>
        <w:top w:val="none" w:sz="0" w:space="0" w:color="auto"/>
        <w:left w:val="none" w:sz="0" w:space="0" w:color="auto"/>
        <w:bottom w:val="none" w:sz="0" w:space="0" w:color="auto"/>
        <w:right w:val="none" w:sz="0" w:space="0" w:color="auto"/>
      </w:divBdr>
    </w:div>
    <w:div w:id="172568852">
      <w:bodyDiv w:val="1"/>
      <w:marLeft w:val="0"/>
      <w:marRight w:val="0"/>
      <w:marTop w:val="0"/>
      <w:marBottom w:val="0"/>
      <w:divBdr>
        <w:top w:val="none" w:sz="0" w:space="0" w:color="auto"/>
        <w:left w:val="none" w:sz="0" w:space="0" w:color="auto"/>
        <w:bottom w:val="none" w:sz="0" w:space="0" w:color="auto"/>
        <w:right w:val="none" w:sz="0" w:space="0" w:color="auto"/>
      </w:divBdr>
    </w:div>
    <w:div w:id="198902100">
      <w:bodyDiv w:val="1"/>
      <w:marLeft w:val="0"/>
      <w:marRight w:val="0"/>
      <w:marTop w:val="0"/>
      <w:marBottom w:val="0"/>
      <w:divBdr>
        <w:top w:val="none" w:sz="0" w:space="0" w:color="auto"/>
        <w:left w:val="none" w:sz="0" w:space="0" w:color="auto"/>
        <w:bottom w:val="none" w:sz="0" w:space="0" w:color="auto"/>
        <w:right w:val="none" w:sz="0" w:space="0" w:color="auto"/>
      </w:divBdr>
    </w:div>
    <w:div w:id="216207920">
      <w:bodyDiv w:val="1"/>
      <w:marLeft w:val="0"/>
      <w:marRight w:val="0"/>
      <w:marTop w:val="0"/>
      <w:marBottom w:val="0"/>
      <w:divBdr>
        <w:top w:val="none" w:sz="0" w:space="0" w:color="auto"/>
        <w:left w:val="none" w:sz="0" w:space="0" w:color="auto"/>
        <w:bottom w:val="none" w:sz="0" w:space="0" w:color="auto"/>
        <w:right w:val="none" w:sz="0" w:space="0" w:color="auto"/>
      </w:divBdr>
    </w:div>
    <w:div w:id="250433783">
      <w:bodyDiv w:val="1"/>
      <w:marLeft w:val="0"/>
      <w:marRight w:val="0"/>
      <w:marTop w:val="0"/>
      <w:marBottom w:val="0"/>
      <w:divBdr>
        <w:top w:val="none" w:sz="0" w:space="0" w:color="auto"/>
        <w:left w:val="none" w:sz="0" w:space="0" w:color="auto"/>
        <w:bottom w:val="none" w:sz="0" w:space="0" w:color="auto"/>
        <w:right w:val="none" w:sz="0" w:space="0" w:color="auto"/>
      </w:divBdr>
    </w:div>
    <w:div w:id="253057354">
      <w:bodyDiv w:val="1"/>
      <w:marLeft w:val="0"/>
      <w:marRight w:val="0"/>
      <w:marTop w:val="0"/>
      <w:marBottom w:val="0"/>
      <w:divBdr>
        <w:top w:val="none" w:sz="0" w:space="0" w:color="auto"/>
        <w:left w:val="none" w:sz="0" w:space="0" w:color="auto"/>
        <w:bottom w:val="none" w:sz="0" w:space="0" w:color="auto"/>
        <w:right w:val="none" w:sz="0" w:space="0" w:color="auto"/>
      </w:divBdr>
    </w:div>
    <w:div w:id="259028054">
      <w:bodyDiv w:val="1"/>
      <w:marLeft w:val="0"/>
      <w:marRight w:val="0"/>
      <w:marTop w:val="0"/>
      <w:marBottom w:val="0"/>
      <w:divBdr>
        <w:top w:val="none" w:sz="0" w:space="0" w:color="auto"/>
        <w:left w:val="none" w:sz="0" w:space="0" w:color="auto"/>
        <w:bottom w:val="none" w:sz="0" w:space="0" w:color="auto"/>
        <w:right w:val="none" w:sz="0" w:space="0" w:color="auto"/>
      </w:divBdr>
    </w:div>
    <w:div w:id="269747897">
      <w:bodyDiv w:val="1"/>
      <w:marLeft w:val="0"/>
      <w:marRight w:val="0"/>
      <w:marTop w:val="0"/>
      <w:marBottom w:val="0"/>
      <w:divBdr>
        <w:top w:val="none" w:sz="0" w:space="0" w:color="auto"/>
        <w:left w:val="none" w:sz="0" w:space="0" w:color="auto"/>
        <w:bottom w:val="none" w:sz="0" w:space="0" w:color="auto"/>
        <w:right w:val="none" w:sz="0" w:space="0" w:color="auto"/>
      </w:divBdr>
    </w:div>
    <w:div w:id="270286115">
      <w:bodyDiv w:val="1"/>
      <w:marLeft w:val="0"/>
      <w:marRight w:val="0"/>
      <w:marTop w:val="0"/>
      <w:marBottom w:val="0"/>
      <w:divBdr>
        <w:top w:val="none" w:sz="0" w:space="0" w:color="auto"/>
        <w:left w:val="none" w:sz="0" w:space="0" w:color="auto"/>
        <w:bottom w:val="none" w:sz="0" w:space="0" w:color="auto"/>
        <w:right w:val="none" w:sz="0" w:space="0" w:color="auto"/>
      </w:divBdr>
    </w:div>
    <w:div w:id="271209782">
      <w:bodyDiv w:val="1"/>
      <w:marLeft w:val="0"/>
      <w:marRight w:val="0"/>
      <w:marTop w:val="0"/>
      <w:marBottom w:val="0"/>
      <w:divBdr>
        <w:top w:val="none" w:sz="0" w:space="0" w:color="auto"/>
        <w:left w:val="none" w:sz="0" w:space="0" w:color="auto"/>
        <w:bottom w:val="none" w:sz="0" w:space="0" w:color="auto"/>
        <w:right w:val="none" w:sz="0" w:space="0" w:color="auto"/>
      </w:divBdr>
    </w:div>
    <w:div w:id="272446097">
      <w:bodyDiv w:val="1"/>
      <w:marLeft w:val="0"/>
      <w:marRight w:val="0"/>
      <w:marTop w:val="0"/>
      <w:marBottom w:val="0"/>
      <w:divBdr>
        <w:top w:val="none" w:sz="0" w:space="0" w:color="auto"/>
        <w:left w:val="none" w:sz="0" w:space="0" w:color="auto"/>
        <w:bottom w:val="none" w:sz="0" w:space="0" w:color="auto"/>
        <w:right w:val="none" w:sz="0" w:space="0" w:color="auto"/>
      </w:divBdr>
    </w:div>
    <w:div w:id="280302798">
      <w:bodyDiv w:val="1"/>
      <w:marLeft w:val="0"/>
      <w:marRight w:val="0"/>
      <w:marTop w:val="0"/>
      <w:marBottom w:val="0"/>
      <w:divBdr>
        <w:top w:val="none" w:sz="0" w:space="0" w:color="auto"/>
        <w:left w:val="none" w:sz="0" w:space="0" w:color="auto"/>
        <w:bottom w:val="none" w:sz="0" w:space="0" w:color="auto"/>
        <w:right w:val="none" w:sz="0" w:space="0" w:color="auto"/>
      </w:divBdr>
    </w:div>
    <w:div w:id="292054591">
      <w:bodyDiv w:val="1"/>
      <w:marLeft w:val="0"/>
      <w:marRight w:val="0"/>
      <w:marTop w:val="0"/>
      <w:marBottom w:val="0"/>
      <w:divBdr>
        <w:top w:val="none" w:sz="0" w:space="0" w:color="auto"/>
        <w:left w:val="none" w:sz="0" w:space="0" w:color="auto"/>
        <w:bottom w:val="none" w:sz="0" w:space="0" w:color="auto"/>
        <w:right w:val="none" w:sz="0" w:space="0" w:color="auto"/>
      </w:divBdr>
    </w:div>
    <w:div w:id="308022130">
      <w:bodyDiv w:val="1"/>
      <w:marLeft w:val="0"/>
      <w:marRight w:val="0"/>
      <w:marTop w:val="0"/>
      <w:marBottom w:val="0"/>
      <w:divBdr>
        <w:top w:val="none" w:sz="0" w:space="0" w:color="auto"/>
        <w:left w:val="none" w:sz="0" w:space="0" w:color="auto"/>
        <w:bottom w:val="none" w:sz="0" w:space="0" w:color="auto"/>
        <w:right w:val="none" w:sz="0" w:space="0" w:color="auto"/>
      </w:divBdr>
    </w:div>
    <w:div w:id="308872476">
      <w:bodyDiv w:val="1"/>
      <w:marLeft w:val="0"/>
      <w:marRight w:val="0"/>
      <w:marTop w:val="0"/>
      <w:marBottom w:val="0"/>
      <w:divBdr>
        <w:top w:val="none" w:sz="0" w:space="0" w:color="auto"/>
        <w:left w:val="none" w:sz="0" w:space="0" w:color="auto"/>
        <w:bottom w:val="none" w:sz="0" w:space="0" w:color="auto"/>
        <w:right w:val="none" w:sz="0" w:space="0" w:color="auto"/>
      </w:divBdr>
    </w:div>
    <w:div w:id="330332998">
      <w:bodyDiv w:val="1"/>
      <w:marLeft w:val="0"/>
      <w:marRight w:val="0"/>
      <w:marTop w:val="0"/>
      <w:marBottom w:val="0"/>
      <w:divBdr>
        <w:top w:val="none" w:sz="0" w:space="0" w:color="auto"/>
        <w:left w:val="none" w:sz="0" w:space="0" w:color="auto"/>
        <w:bottom w:val="none" w:sz="0" w:space="0" w:color="auto"/>
        <w:right w:val="none" w:sz="0" w:space="0" w:color="auto"/>
      </w:divBdr>
    </w:div>
    <w:div w:id="341008933">
      <w:bodyDiv w:val="1"/>
      <w:marLeft w:val="0"/>
      <w:marRight w:val="0"/>
      <w:marTop w:val="0"/>
      <w:marBottom w:val="0"/>
      <w:divBdr>
        <w:top w:val="none" w:sz="0" w:space="0" w:color="auto"/>
        <w:left w:val="none" w:sz="0" w:space="0" w:color="auto"/>
        <w:bottom w:val="none" w:sz="0" w:space="0" w:color="auto"/>
        <w:right w:val="none" w:sz="0" w:space="0" w:color="auto"/>
      </w:divBdr>
    </w:div>
    <w:div w:id="346294481">
      <w:bodyDiv w:val="1"/>
      <w:marLeft w:val="0"/>
      <w:marRight w:val="0"/>
      <w:marTop w:val="0"/>
      <w:marBottom w:val="0"/>
      <w:divBdr>
        <w:top w:val="none" w:sz="0" w:space="0" w:color="auto"/>
        <w:left w:val="none" w:sz="0" w:space="0" w:color="auto"/>
        <w:bottom w:val="none" w:sz="0" w:space="0" w:color="auto"/>
        <w:right w:val="none" w:sz="0" w:space="0" w:color="auto"/>
      </w:divBdr>
    </w:div>
    <w:div w:id="362246043">
      <w:bodyDiv w:val="1"/>
      <w:marLeft w:val="0"/>
      <w:marRight w:val="0"/>
      <w:marTop w:val="0"/>
      <w:marBottom w:val="0"/>
      <w:divBdr>
        <w:top w:val="none" w:sz="0" w:space="0" w:color="auto"/>
        <w:left w:val="none" w:sz="0" w:space="0" w:color="auto"/>
        <w:bottom w:val="none" w:sz="0" w:space="0" w:color="auto"/>
        <w:right w:val="none" w:sz="0" w:space="0" w:color="auto"/>
      </w:divBdr>
    </w:div>
    <w:div w:id="366835258">
      <w:bodyDiv w:val="1"/>
      <w:marLeft w:val="0"/>
      <w:marRight w:val="0"/>
      <w:marTop w:val="0"/>
      <w:marBottom w:val="0"/>
      <w:divBdr>
        <w:top w:val="none" w:sz="0" w:space="0" w:color="auto"/>
        <w:left w:val="none" w:sz="0" w:space="0" w:color="auto"/>
        <w:bottom w:val="none" w:sz="0" w:space="0" w:color="auto"/>
        <w:right w:val="none" w:sz="0" w:space="0" w:color="auto"/>
      </w:divBdr>
    </w:div>
    <w:div w:id="371542385">
      <w:bodyDiv w:val="1"/>
      <w:marLeft w:val="0"/>
      <w:marRight w:val="0"/>
      <w:marTop w:val="0"/>
      <w:marBottom w:val="0"/>
      <w:divBdr>
        <w:top w:val="none" w:sz="0" w:space="0" w:color="auto"/>
        <w:left w:val="none" w:sz="0" w:space="0" w:color="auto"/>
        <w:bottom w:val="none" w:sz="0" w:space="0" w:color="auto"/>
        <w:right w:val="none" w:sz="0" w:space="0" w:color="auto"/>
      </w:divBdr>
    </w:div>
    <w:div w:id="373697482">
      <w:bodyDiv w:val="1"/>
      <w:marLeft w:val="0"/>
      <w:marRight w:val="0"/>
      <w:marTop w:val="0"/>
      <w:marBottom w:val="0"/>
      <w:divBdr>
        <w:top w:val="none" w:sz="0" w:space="0" w:color="auto"/>
        <w:left w:val="none" w:sz="0" w:space="0" w:color="auto"/>
        <w:bottom w:val="none" w:sz="0" w:space="0" w:color="auto"/>
        <w:right w:val="none" w:sz="0" w:space="0" w:color="auto"/>
      </w:divBdr>
    </w:div>
    <w:div w:id="384186539">
      <w:bodyDiv w:val="1"/>
      <w:marLeft w:val="0"/>
      <w:marRight w:val="0"/>
      <w:marTop w:val="0"/>
      <w:marBottom w:val="0"/>
      <w:divBdr>
        <w:top w:val="none" w:sz="0" w:space="0" w:color="auto"/>
        <w:left w:val="none" w:sz="0" w:space="0" w:color="auto"/>
        <w:bottom w:val="none" w:sz="0" w:space="0" w:color="auto"/>
        <w:right w:val="none" w:sz="0" w:space="0" w:color="auto"/>
      </w:divBdr>
    </w:div>
    <w:div w:id="392823146">
      <w:bodyDiv w:val="1"/>
      <w:marLeft w:val="0"/>
      <w:marRight w:val="0"/>
      <w:marTop w:val="0"/>
      <w:marBottom w:val="0"/>
      <w:divBdr>
        <w:top w:val="none" w:sz="0" w:space="0" w:color="auto"/>
        <w:left w:val="none" w:sz="0" w:space="0" w:color="auto"/>
        <w:bottom w:val="none" w:sz="0" w:space="0" w:color="auto"/>
        <w:right w:val="none" w:sz="0" w:space="0" w:color="auto"/>
      </w:divBdr>
    </w:div>
    <w:div w:id="393817345">
      <w:bodyDiv w:val="1"/>
      <w:marLeft w:val="0"/>
      <w:marRight w:val="0"/>
      <w:marTop w:val="0"/>
      <w:marBottom w:val="0"/>
      <w:divBdr>
        <w:top w:val="none" w:sz="0" w:space="0" w:color="auto"/>
        <w:left w:val="none" w:sz="0" w:space="0" w:color="auto"/>
        <w:bottom w:val="none" w:sz="0" w:space="0" w:color="auto"/>
        <w:right w:val="none" w:sz="0" w:space="0" w:color="auto"/>
      </w:divBdr>
    </w:div>
    <w:div w:id="395588495">
      <w:bodyDiv w:val="1"/>
      <w:marLeft w:val="0"/>
      <w:marRight w:val="0"/>
      <w:marTop w:val="0"/>
      <w:marBottom w:val="0"/>
      <w:divBdr>
        <w:top w:val="none" w:sz="0" w:space="0" w:color="auto"/>
        <w:left w:val="none" w:sz="0" w:space="0" w:color="auto"/>
        <w:bottom w:val="none" w:sz="0" w:space="0" w:color="auto"/>
        <w:right w:val="none" w:sz="0" w:space="0" w:color="auto"/>
      </w:divBdr>
    </w:div>
    <w:div w:id="406224559">
      <w:bodyDiv w:val="1"/>
      <w:marLeft w:val="0"/>
      <w:marRight w:val="0"/>
      <w:marTop w:val="0"/>
      <w:marBottom w:val="0"/>
      <w:divBdr>
        <w:top w:val="none" w:sz="0" w:space="0" w:color="auto"/>
        <w:left w:val="none" w:sz="0" w:space="0" w:color="auto"/>
        <w:bottom w:val="none" w:sz="0" w:space="0" w:color="auto"/>
        <w:right w:val="none" w:sz="0" w:space="0" w:color="auto"/>
      </w:divBdr>
    </w:div>
    <w:div w:id="407194311">
      <w:bodyDiv w:val="1"/>
      <w:marLeft w:val="0"/>
      <w:marRight w:val="0"/>
      <w:marTop w:val="0"/>
      <w:marBottom w:val="0"/>
      <w:divBdr>
        <w:top w:val="none" w:sz="0" w:space="0" w:color="auto"/>
        <w:left w:val="none" w:sz="0" w:space="0" w:color="auto"/>
        <w:bottom w:val="none" w:sz="0" w:space="0" w:color="auto"/>
        <w:right w:val="none" w:sz="0" w:space="0" w:color="auto"/>
      </w:divBdr>
    </w:div>
    <w:div w:id="417404840">
      <w:bodyDiv w:val="1"/>
      <w:marLeft w:val="0"/>
      <w:marRight w:val="0"/>
      <w:marTop w:val="0"/>
      <w:marBottom w:val="0"/>
      <w:divBdr>
        <w:top w:val="none" w:sz="0" w:space="0" w:color="auto"/>
        <w:left w:val="none" w:sz="0" w:space="0" w:color="auto"/>
        <w:bottom w:val="none" w:sz="0" w:space="0" w:color="auto"/>
        <w:right w:val="none" w:sz="0" w:space="0" w:color="auto"/>
      </w:divBdr>
    </w:div>
    <w:div w:id="423301495">
      <w:bodyDiv w:val="1"/>
      <w:marLeft w:val="0"/>
      <w:marRight w:val="0"/>
      <w:marTop w:val="0"/>
      <w:marBottom w:val="0"/>
      <w:divBdr>
        <w:top w:val="none" w:sz="0" w:space="0" w:color="auto"/>
        <w:left w:val="none" w:sz="0" w:space="0" w:color="auto"/>
        <w:bottom w:val="none" w:sz="0" w:space="0" w:color="auto"/>
        <w:right w:val="none" w:sz="0" w:space="0" w:color="auto"/>
      </w:divBdr>
    </w:div>
    <w:div w:id="431706286">
      <w:bodyDiv w:val="1"/>
      <w:marLeft w:val="0"/>
      <w:marRight w:val="0"/>
      <w:marTop w:val="0"/>
      <w:marBottom w:val="0"/>
      <w:divBdr>
        <w:top w:val="none" w:sz="0" w:space="0" w:color="auto"/>
        <w:left w:val="none" w:sz="0" w:space="0" w:color="auto"/>
        <w:bottom w:val="none" w:sz="0" w:space="0" w:color="auto"/>
        <w:right w:val="none" w:sz="0" w:space="0" w:color="auto"/>
      </w:divBdr>
    </w:div>
    <w:div w:id="432362484">
      <w:bodyDiv w:val="1"/>
      <w:marLeft w:val="0"/>
      <w:marRight w:val="0"/>
      <w:marTop w:val="0"/>
      <w:marBottom w:val="0"/>
      <w:divBdr>
        <w:top w:val="none" w:sz="0" w:space="0" w:color="auto"/>
        <w:left w:val="none" w:sz="0" w:space="0" w:color="auto"/>
        <w:bottom w:val="none" w:sz="0" w:space="0" w:color="auto"/>
        <w:right w:val="none" w:sz="0" w:space="0" w:color="auto"/>
      </w:divBdr>
    </w:div>
    <w:div w:id="446434289">
      <w:bodyDiv w:val="1"/>
      <w:marLeft w:val="0"/>
      <w:marRight w:val="0"/>
      <w:marTop w:val="0"/>
      <w:marBottom w:val="0"/>
      <w:divBdr>
        <w:top w:val="none" w:sz="0" w:space="0" w:color="auto"/>
        <w:left w:val="none" w:sz="0" w:space="0" w:color="auto"/>
        <w:bottom w:val="none" w:sz="0" w:space="0" w:color="auto"/>
        <w:right w:val="none" w:sz="0" w:space="0" w:color="auto"/>
      </w:divBdr>
    </w:div>
    <w:div w:id="449008531">
      <w:bodyDiv w:val="1"/>
      <w:marLeft w:val="0"/>
      <w:marRight w:val="0"/>
      <w:marTop w:val="0"/>
      <w:marBottom w:val="0"/>
      <w:divBdr>
        <w:top w:val="none" w:sz="0" w:space="0" w:color="auto"/>
        <w:left w:val="none" w:sz="0" w:space="0" w:color="auto"/>
        <w:bottom w:val="none" w:sz="0" w:space="0" w:color="auto"/>
        <w:right w:val="none" w:sz="0" w:space="0" w:color="auto"/>
      </w:divBdr>
    </w:div>
    <w:div w:id="465978079">
      <w:bodyDiv w:val="1"/>
      <w:marLeft w:val="0"/>
      <w:marRight w:val="0"/>
      <w:marTop w:val="0"/>
      <w:marBottom w:val="0"/>
      <w:divBdr>
        <w:top w:val="none" w:sz="0" w:space="0" w:color="auto"/>
        <w:left w:val="none" w:sz="0" w:space="0" w:color="auto"/>
        <w:bottom w:val="none" w:sz="0" w:space="0" w:color="auto"/>
        <w:right w:val="none" w:sz="0" w:space="0" w:color="auto"/>
      </w:divBdr>
    </w:div>
    <w:div w:id="484321532">
      <w:bodyDiv w:val="1"/>
      <w:marLeft w:val="0"/>
      <w:marRight w:val="0"/>
      <w:marTop w:val="0"/>
      <w:marBottom w:val="0"/>
      <w:divBdr>
        <w:top w:val="none" w:sz="0" w:space="0" w:color="auto"/>
        <w:left w:val="none" w:sz="0" w:space="0" w:color="auto"/>
        <w:bottom w:val="none" w:sz="0" w:space="0" w:color="auto"/>
        <w:right w:val="none" w:sz="0" w:space="0" w:color="auto"/>
      </w:divBdr>
    </w:div>
    <w:div w:id="484782586">
      <w:bodyDiv w:val="1"/>
      <w:marLeft w:val="0"/>
      <w:marRight w:val="0"/>
      <w:marTop w:val="0"/>
      <w:marBottom w:val="0"/>
      <w:divBdr>
        <w:top w:val="none" w:sz="0" w:space="0" w:color="auto"/>
        <w:left w:val="none" w:sz="0" w:space="0" w:color="auto"/>
        <w:bottom w:val="none" w:sz="0" w:space="0" w:color="auto"/>
        <w:right w:val="none" w:sz="0" w:space="0" w:color="auto"/>
      </w:divBdr>
    </w:div>
    <w:div w:id="491526394">
      <w:bodyDiv w:val="1"/>
      <w:marLeft w:val="0"/>
      <w:marRight w:val="0"/>
      <w:marTop w:val="0"/>
      <w:marBottom w:val="0"/>
      <w:divBdr>
        <w:top w:val="none" w:sz="0" w:space="0" w:color="auto"/>
        <w:left w:val="none" w:sz="0" w:space="0" w:color="auto"/>
        <w:bottom w:val="none" w:sz="0" w:space="0" w:color="auto"/>
        <w:right w:val="none" w:sz="0" w:space="0" w:color="auto"/>
      </w:divBdr>
    </w:div>
    <w:div w:id="500044961">
      <w:bodyDiv w:val="1"/>
      <w:marLeft w:val="0"/>
      <w:marRight w:val="0"/>
      <w:marTop w:val="0"/>
      <w:marBottom w:val="0"/>
      <w:divBdr>
        <w:top w:val="none" w:sz="0" w:space="0" w:color="auto"/>
        <w:left w:val="none" w:sz="0" w:space="0" w:color="auto"/>
        <w:bottom w:val="none" w:sz="0" w:space="0" w:color="auto"/>
        <w:right w:val="none" w:sz="0" w:space="0" w:color="auto"/>
      </w:divBdr>
    </w:div>
    <w:div w:id="529490301">
      <w:bodyDiv w:val="1"/>
      <w:marLeft w:val="0"/>
      <w:marRight w:val="0"/>
      <w:marTop w:val="0"/>
      <w:marBottom w:val="0"/>
      <w:divBdr>
        <w:top w:val="none" w:sz="0" w:space="0" w:color="auto"/>
        <w:left w:val="none" w:sz="0" w:space="0" w:color="auto"/>
        <w:bottom w:val="none" w:sz="0" w:space="0" w:color="auto"/>
        <w:right w:val="none" w:sz="0" w:space="0" w:color="auto"/>
      </w:divBdr>
    </w:div>
    <w:div w:id="532307764">
      <w:bodyDiv w:val="1"/>
      <w:marLeft w:val="0"/>
      <w:marRight w:val="0"/>
      <w:marTop w:val="0"/>
      <w:marBottom w:val="0"/>
      <w:divBdr>
        <w:top w:val="none" w:sz="0" w:space="0" w:color="auto"/>
        <w:left w:val="none" w:sz="0" w:space="0" w:color="auto"/>
        <w:bottom w:val="none" w:sz="0" w:space="0" w:color="auto"/>
        <w:right w:val="none" w:sz="0" w:space="0" w:color="auto"/>
      </w:divBdr>
    </w:div>
    <w:div w:id="532571610">
      <w:bodyDiv w:val="1"/>
      <w:marLeft w:val="0"/>
      <w:marRight w:val="0"/>
      <w:marTop w:val="0"/>
      <w:marBottom w:val="0"/>
      <w:divBdr>
        <w:top w:val="none" w:sz="0" w:space="0" w:color="auto"/>
        <w:left w:val="none" w:sz="0" w:space="0" w:color="auto"/>
        <w:bottom w:val="none" w:sz="0" w:space="0" w:color="auto"/>
        <w:right w:val="none" w:sz="0" w:space="0" w:color="auto"/>
      </w:divBdr>
    </w:div>
    <w:div w:id="540628804">
      <w:bodyDiv w:val="1"/>
      <w:marLeft w:val="0"/>
      <w:marRight w:val="0"/>
      <w:marTop w:val="0"/>
      <w:marBottom w:val="0"/>
      <w:divBdr>
        <w:top w:val="none" w:sz="0" w:space="0" w:color="auto"/>
        <w:left w:val="none" w:sz="0" w:space="0" w:color="auto"/>
        <w:bottom w:val="none" w:sz="0" w:space="0" w:color="auto"/>
        <w:right w:val="none" w:sz="0" w:space="0" w:color="auto"/>
      </w:divBdr>
    </w:div>
    <w:div w:id="556164205">
      <w:bodyDiv w:val="1"/>
      <w:marLeft w:val="0"/>
      <w:marRight w:val="0"/>
      <w:marTop w:val="0"/>
      <w:marBottom w:val="0"/>
      <w:divBdr>
        <w:top w:val="none" w:sz="0" w:space="0" w:color="auto"/>
        <w:left w:val="none" w:sz="0" w:space="0" w:color="auto"/>
        <w:bottom w:val="none" w:sz="0" w:space="0" w:color="auto"/>
        <w:right w:val="none" w:sz="0" w:space="0" w:color="auto"/>
      </w:divBdr>
    </w:div>
    <w:div w:id="570123719">
      <w:bodyDiv w:val="1"/>
      <w:marLeft w:val="0"/>
      <w:marRight w:val="0"/>
      <w:marTop w:val="0"/>
      <w:marBottom w:val="0"/>
      <w:divBdr>
        <w:top w:val="none" w:sz="0" w:space="0" w:color="auto"/>
        <w:left w:val="none" w:sz="0" w:space="0" w:color="auto"/>
        <w:bottom w:val="none" w:sz="0" w:space="0" w:color="auto"/>
        <w:right w:val="none" w:sz="0" w:space="0" w:color="auto"/>
      </w:divBdr>
    </w:div>
    <w:div w:id="585503817">
      <w:bodyDiv w:val="1"/>
      <w:marLeft w:val="0"/>
      <w:marRight w:val="0"/>
      <w:marTop w:val="0"/>
      <w:marBottom w:val="0"/>
      <w:divBdr>
        <w:top w:val="none" w:sz="0" w:space="0" w:color="auto"/>
        <w:left w:val="none" w:sz="0" w:space="0" w:color="auto"/>
        <w:bottom w:val="none" w:sz="0" w:space="0" w:color="auto"/>
        <w:right w:val="none" w:sz="0" w:space="0" w:color="auto"/>
      </w:divBdr>
    </w:div>
    <w:div w:id="591008919">
      <w:bodyDiv w:val="1"/>
      <w:marLeft w:val="0"/>
      <w:marRight w:val="0"/>
      <w:marTop w:val="0"/>
      <w:marBottom w:val="0"/>
      <w:divBdr>
        <w:top w:val="none" w:sz="0" w:space="0" w:color="auto"/>
        <w:left w:val="none" w:sz="0" w:space="0" w:color="auto"/>
        <w:bottom w:val="none" w:sz="0" w:space="0" w:color="auto"/>
        <w:right w:val="none" w:sz="0" w:space="0" w:color="auto"/>
      </w:divBdr>
    </w:div>
    <w:div w:id="597446890">
      <w:bodyDiv w:val="1"/>
      <w:marLeft w:val="0"/>
      <w:marRight w:val="0"/>
      <w:marTop w:val="0"/>
      <w:marBottom w:val="0"/>
      <w:divBdr>
        <w:top w:val="none" w:sz="0" w:space="0" w:color="auto"/>
        <w:left w:val="none" w:sz="0" w:space="0" w:color="auto"/>
        <w:bottom w:val="none" w:sz="0" w:space="0" w:color="auto"/>
        <w:right w:val="none" w:sz="0" w:space="0" w:color="auto"/>
      </w:divBdr>
    </w:div>
    <w:div w:id="604270622">
      <w:bodyDiv w:val="1"/>
      <w:marLeft w:val="0"/>
      <w:marRight w:val="0"/>
      <w:marTop w:val="0"/>
      <w:marBottom w:val="0"/>
      <w:divBdr>
        <w:top w:val="none" w:sz="0" w:space="0" w:color="auto"/>
        <w:left w:val="none" w:sz="0" w:space="0" w:color="auto"/>
        <w:bottom w:val="none" w:sz="0" w:space="0" w:color="auto"/>
        <w:right w:val="none" w:sz="0" w:space="0" w:color="auto"/>
      </w:divBdr>
    </w:div>
    <w:div w:id="611471717">
      <w:bodyDiv w:val="1"/>
      <w:marLeft w:val="0"/>
      <w:marRight w:val="0"/>
      <w:marTop w:val="0"/>
      <w:marBottom w:val="0"/>
      <w:divBdr>
        <w:top w:val="none" w:sz="0" w:space="0" w:color="auto"/>
        <w:left w:val="none" w:sz="0" w:space="0" w:color="auto"/>
        <w:bottom w:val="none" w:sz="0" w:space="0" w:color="auto"/>
        <w:right w:val="none" w:sz="0" w:space="0" w:color="auto"/>
      </w:divBdr>
    </w:div>
    <w:div w:id="612984297">
      <w:bodyDiv w:val="1"/>
      <w:marLeft w:val="0"/>
      <w:marRight w:val="0"/>
      <w:marTop w:val="0"/>
      <w:marBottom w:val="0"/>
      <w:divBdr>
        <w:top w:val="none" w:sz="0" w:space="0" w:color="auto"/>
        <w:left w:val="none" w:sz="0" w:space="0" w:color="auto"/>
        <w:bottom w:val="none" w:sz="0" w:space="0" w:color="auto"/>
        <w:right w:val="none" w:sz="0" w:space="0" w:color="auto"/>
      </w:divBdr>
    </w:div>
    <w:div w:id="622345543">
      <w:bodyDiv w:val="1"/>
      <w:marLeft w:val="0"/>
      <w:marRight w:val="0"/>
      <w:marTop w:val="0"/>
      <w:marBottom w:val="0"/>
      <w:divBdr>
        <w:top w:val="none" w:sz="0" w:space="0" w:color="auto"/>
        <w:left w:val="none" w:sz="0" w:space="0" w:color="auto"/>
        <w:bottom w:val="none" w:sz="0" w:space="0" w:color="auto"/>
        <w:right w:val="none" w:sz="0" w:space="0" w:color="auto"/>
      </w:divBdr>
    </w:div>
    <w:div w:id="636758665">
      <w:bodyDiv w:val="1"/>
      <w:marLeft w:val="0"/>
      <w:marRight w:val="0"/>
      <w:marTop w:val="0"/>
      <w:marBottom w:val="0"/>
      <w:divBdr>
        <w:top w:val="none" w:sz="0" w:space="0" w:color="auto"/>
        <w:left w:val="none" w:sz="0" w:space="0" w:color="auto"/>
        <w:bottom w:val="none" w:sz="0" w:space="0" w:color="auto"/>
        <w:right w:val="none" w:sz="0" w:space="0" w:color="auto"/>
      </w:divBdr>
    </w:div>
    <w:div w:id="637220768">
      <w:bodyDiv w:val="1"/>
      <w:marLeft w:val="0"/>
      <w:marRight w:val="0"/>
      <w:marTop w:val="0"/>
      <w:marBottom w:val="0"/>
      <w:divBdr>
        <w:top w:val="none" w:sz="0" w:space="0" w:color="auto"/>
        <w:left w:val="none" w:sz="0" w:space="0" w:color="auto"/>
        <w:bottom w:val="none" w:sz="0" w:space="0" w:color="auto"/>
        <w:right w:val="none" w:sz="0" w:space="0" w:color="auto"/>
      </w:divBdr>
    </w:div>
    <w:div w:id="642857946">
      <w:bodyDiv w:val="1"/>
      <w:marLeft w:val="0"/>
      <w:marRight w:val="0"/>
      <w:marTop w:val="0"/>
      <w:marBottom w:val="0"/>
      <w:divBdr>
        <w:top w:val="none" w:sz="0" w:space="0" w:color="auto"/>
        <w:left w:val="none" w:sz="0" w:space="0" w:color="auto"/>
        <w:bottom w:val="none" w:sz="0" w:space="0" w:color="auto"/>
        <w:right w:val="none" w:sz="0" w:space="0" w:color="auto"/>
      </w:divBdr>
    </w:div>
    <w:div w:id="651761412">
      <w:bodyDiv w:val="1"/>
      <w:marLeft w:val="0"/>
      <w:marRight w:val="0"/>
      <w:marTop w:val="0"/>
      <w:marBottom w:val="0"/>
      <w:divBdr>
        <w:top w:val="none" w:sz="0" w:space="0" w:color="auto"/>
        <w:left w:val="none" w:sz="0" w:space="0" w:color="auto"/>
        <w:bottom w:val="none" w:sz="0" w:space="0" w:color="auto"/>
        <w:right w:val="none" w:sz="0" w:space="0" w:color="auto"/>
      </w:divBdr>
    </w:div>
    <w:div w:id="668796593">
      <w:bodyDiv w:val="1"/>
      <w:marLeft w:val="0"/>
      <w:marRight w:val="0"/>
      <w:marTop w:val="0"/>
      <w:marBottom w:val="0"/>
      <w:divBdr>
        <w:top w:val="none" w:sz="0" w:space="0" w:color="auto"/>
        <w:left w:val="none" w:sz="0" w:space="0" w:color="auto"/>
        <w:bottom w:val="none" w:sz="0" w:space="0" w:color="auto"/>
        <w:right w:val="none" w:sz="0" w:space="0" w:color="auto"/>
      </w:divBdr>
    </w:div>
    <w:div w:id="677394491">
      <w:bodyDiv w:val="1"/>
      <w:marLeft w:val="0"/>
      <w:marRight w:val="0"/>
      <w:marTop w:val="0"/>
      <w:marBottom w:val="0"/>
      <w:divBdr>
        <w:top w:val="none" w:sz="0" w:space="0" w:color="auto"/>
        <w:left w:val="none" w:sz="0" w:space="0" w:color="auto"/>
        <w:bottom w:val="none" w:sz="0" w:space="0" w:color="auto"/>
        <w:right w:val="none" w:sz="0" w:space="0" w:color="auto"/>
      </w:divBdr>
    </w:div>
    <w:div w:id="690840818">
      <w:bodyDiv w:val="1"/>
      <w:marLeft w:val="0"/>
      <w:marRight w:val="0"/>
      <w:marTop w:val="0"/>
      <w:marBottom w:val="0"/>
      <w:divBdr>
        <w:top w:val="none" w:sz="0" w:space="0" w:color="auto"/>
        <w:left w:val="none" w:sz="0" w:space="0" w:color="auto"/>
        <w:bottom w:val="none" w:sz="0" w:space="0" w:color="auto"/>
        <w:right w:val="none" w:sz="0" w:space="0" w:color="auto"/>
      </w:divBdr>
    </w:div>
    <w:div w:id="691732544">
      <w:bodyDiv w:val="1"/>
      <w:marLeft w:val="0"/>
      <w:marRight w:val="0"/>
      <w:marTop w:val="0"/>
      <w:marBottom w:val="0"/>
      <w:divBdr>
        <w:top w:val="none" w:sz="0" w:space="0" w:color="auto"/>
        <w:left w:val="none" w:sz="0" w:space="0" w:color="auto"/>
        <w:bottom w:val="none" w:sz="0" w:space="0" w:color="auto"/>
        <w:right w:val="none" w:sz="0" w:space="0" w:color="auto"/>
      </w:divBdr>
    </w:div>
    <w:div w:id="694768993">
      <w:bodyDiv w:val="1"/>
      <w:marLeft w:val="0"/>
      <w:marRight w:val="0"/>
      <w:marTop w:val="0"/>
      <w:marBottom w:val="0"/>
      <w:divBdr>
        <w:top w:val="none" w:sz="0" w:space="0" w:color="auto"/>
        <w:left w:val="none" w:sz="0" w:space="0" w:color="auto"/>
        <w:bottom w:val="none" w:sz="0" w:space="0" w:color="auto"/>
        <w:right w:val="none" w:sz="0" w:space="0" w:color="auto"/>
      </w:divBdr>
    </w:div>
    <w:div w:id="697122945">
      <w:bodyDiv w:val="1"/>
      <w:marLeft w:val="0"/>
      <w:marRight w:val="0"/>
      <w:marTop w:val="0"/>
      <w:marBottom w:val="0"/>
      <w:divBdr>
        <w:top w:val="none" w:sz="0" w:space="0" w:color="auto"/>
        <w:left w:val="none" w:sz="0" w:space="0" w:color="auto"/>
        <w:bottom w:val="none" w:sz="0" w:space="0" w:color="auto"/>
        <w:right w:val="none" w:sz="0" w:space="0" w:color="auto"/>
      </w:divBdr>
    </w:div>
    <w:div w:id="701713701">
      <w:bodyDiv w:val="1"/>
      <w:marLeft w:val="0"/>
      <w:marRight w:val="0"/>
      <w:marTop w:val="0"/>
      <w:marBottom w:val="0"/>
      <w:divBdr>
        <w:top w:val="none" w:sz="0" w:space="0" w:color="auto"/>
        <w:left w:val="none" w:sz="0" w:space="0" w:color="auto"/>
        <w:bottom w:val="none" w:sz="0" w:space="0" w:color="auto"/>
        <w:right w:val="none" w:sz="0" w:space="0" w:color="auto"/>
      </w:divBdr>
    </w:div>
    <w:div w:id="713503447">
      <w:bodyDiv w:val="1"/>
      <w:marLeft w:val="0"/>
      <w:marRight w:val="0"/>
      <w:marTop w:val="0"/>
      <w:marBottom w:val="0"/>
      <w:divBdr>
        <w:top w:val="none" w:sz="0" w:space="0" w:color="auto"/>
        <w:left w:val="none" w:sz="0" w:space="0" w:color="auto"/>
        <w:bottom w:val="none" w:sz="0" w:space="0" w:color="auto"/>
        <w:right w:val="none" w:sz="0" w:space="0" w:color="auto"/>
      </w:divBdr>
    </w:div>
    <w:div w:id="718939135">
      <w:bodyDiv w:val="1"/>
      <w:marLeft w:val="0"/>
      <w:marRight w:val="0"/>
      <w:marTop w:val="0"/>
      <w:marBottom w:val="0"/>
      <w:divBdr>
        <w:top w:val="none" w:sz="0" w:space="0" w:color="auto"/>
        <w:left w:val="none" w:sz="0" w:space="0" w:color="auto"/>
        <w:bottom w:val="none" w:sz="0" w:space="0" w:color="auto"/>
        <w:right w:val="none" w:sz="0" w:space="0" w:color="auto"/>
      </w:divBdr>
    </w:div>
    <w:div w:id="722099851">
      <w:bodyDiv w:val="1"/>
      <w:marLeft w:val="0"/>
      <w:marRight w:val="0"/>
      <w:marTop w:val="0"/>
      <w:marBottom w:val="0"/>
      <w:divBdr>
        <w:top w:val="none" w:sz="0" w:space="0" w:color="auto"/>
        <w:left w:val="none" w:sz="0" w:space="0" w:color="auto"/>
        <w:bottom w:val="none" w:sz="0" w:space="0" w:color="auto"/>
        <w:right w:val="none" w:sz="0" w:space="0" w:color="auto"/>
      </w:divBdr>
    </w:div>
    <w:div w:id="733896359">
      <w:bodyDiv w:val="1"/>
      <w:marLeft w:val="0"/>
      <w:marRight w:val="0"/>
      <w:marTop w:val="0"/>
      <w:marBottom w:val="0"/>
      <w:divBdr>
        <w:top w:val="none" w:sz="0" w:space="0" w:color="auto"/>
        <w:left w:val="none" w:sz="0" w:space="0" w:color="auto"/>
        <w:bottom w:val="none" w:sz="0" w:space="0" w:color="auto"/>
        <w:right w:val="none" w:sz="0" w:space="0" w:color="auto"/>
      </w:divBdr>
    </w:div>
    <w:div w:id="740954627">
      <w:bodyDiv w:val="1"/>
      <w:marLeft w:val="0"/>
      <w:marRight w:val="0"/>
      <w:marTop w:val="0"/>
      <w:marBottom w:val="0"/>
      <w:divBdr>
        <w:top w:val="none" w:sz="0" w:space="0" w:color="auto"/>
        <w:left w:val="none" w:sz="0" w:space="0" w:color="auto"/>
        <w:bottom w:val="none" w:sz="0" w:space="0" w:color="auto"/>
        <w:right w:val="none" w:sz="0" w:space="0" w:color="auto"/>
      </w:divBdr>
    </w:div>
    <w:div w:id="743987811">
      <w:bodyDiv w:val="1"/>
      <w:marLeft w:val="0"/>
      <w:marRight w:val="0"/>
      <w:marTop w:val="0"/>
      <w:marBottom w:val="0"/>
      <w:divBdr>
        <w:top w:val="none" w:sz="0" w:space="0" w:color="auto"/>
        <w:left w:val="none" w:sz="0" w:space="0" w:color="auto"/>
        <w:bottom w:val="none" w:sz="0" w:space="0" w:color="auto"/>
        <w:right w:val="none" w:sz="0" w:space="0" w:color="auto"/>
      </w:divBdr>
    </w:div>
    <w:div w:id="758677204">
      <w:bodyDiv w:val="1"/>
      <w:marLeft w:val="0"/>
      <w:marRight w:val="0"/>
      <w:marTop w:val="0"/>
      <w:marBottom w:val="0"/>
      <w:divBdr>
        <w:top w:val="none" w:sz="0" w:space="0" w:color="auto"/>
        <w:left w:val="none" w:sz="0" w:space="0" w:color="auto"/>
        <w:bottom w:val="none" w:sz="0" w:space="0" w:color="auto"/>
        <w:right w:val="none" w:sz="0" w:space="0" w:color="auto"/>
      </w:divBdr>
    </w:div>
    <w:div w:id="761994072">
      <w:bodyDiv w:val="1"/>
      <w:marLeft w:val="0"/>
      <w:marRight w:val="0"/>
      <w:marTop w:val="0"/>
      <w:marBottom w:val="0"/>
      <w:divBdr>
        <w:top w:val="none" w:sz="0" w:space="0" w:color="auto"/>
        <w:left w:val="none" w:sz="0" w:space="0" w:color="auto"/>
        <w:bottom w:val="none" w:sz="0" w:space="0" w:color="auto"/>
        <w:right w:val="none" w:sz="0" w:space="0" w:color="auto"/>
      </w:divBdr>
    </w:div>
    <w:div w:id="768239217">
      <w:bodyDiv w:val="1"/>
      <w:marLeft w:val="0"/>
      <w:marRight w:val="0"/>
      <w:marTop w:val="0"/>
      <w:marBottom w:val="0"/>
      <w:divBdr>
        <w:top w:val="none" w:sz="0" w:space="0" w:color="auto"/>
        <w:left w:val="none" w:sz="0" w:space="0" w:color="auto"/>
        <w:bottom w:val="none" w:sz="0" w:space="0" w:color="auto"/>
        <w:right w:val="none" w:sz="0" w:space="0" w:color="auto"/>
      </w:divBdr>
    </w:div>
    <w:div w:id="769744561">
      <w:bodyDiv w:val="1"/>
      <w:marLeft w:val="0"/>
      <w:marRight w:val="0"/>
      <w:marTop w:val="0"/>
      <w:marBottom w:val="0"/>
      <w:divBdr>
        <w:top w:val="none" w:sz="0" w:space="0" w:color="auto"/>
        <w:left w:val="none" w:sz="0" w:space="0" w:color="auto"/>
        <w:bottom w:val="none" w:sz="0" w:space="0" w:color="auto"/>
        <w:right w:val="none" w:sz="0" w:space="0" w:color="auto"/>
      </w:divBdr>
    </w:div>
    <w:div w:id="785320412">
      <w:bodyDiv w:val="1"/>
      <w:marLeft w:val="0"/>
      <w:marRight w:val="0"/>
      <w:marTop w:val="0"/>
      <w:marBottom w:val="0"/>
      <w:divBdr>
        <w:top w:val="none" w:sz="0" w:space="0" w:color="auto"/>
        <w:left w:val="none" w:sz="0" w:space="0" w:color="auto"/>
        <w:bottom w:val="none" w:sz="0" w:space="0" w:color="auto"/>
        <w:right w:val="none" w:sz="0" w:space="0" w:color="auto"/>
      </w:divBdr>
    </w:div>
    <w:div w:id="785806157">
      <w:bodyDiv w:val="1"/>
      <w:marLeft w:val="0"/>
      <w:marRight w:val="0"/>
      <w:marTop w:val="0"/>
      <w:marBottom w:val="0"/>
      <w:divBdr>
        <w:top w:val="none" w:sz="0" w:space="0" w:color="auto"/>
        <w:left w:val="none" w:sz="0" w:space="0" w:color="auto"/>
        <w:bottom w:val="none" w:sz="0" w:space="0" w:color="auto"/>
        <w:right w:val="none" w:sz="0" w:space="0" w:color="auto"/>
      </w:divBdr>
    </w:div>
    <w:div w:id="788014825">
      <w:bodyDiv w:val="1"/>
      <w:marLeft w:val="0"/>
      <w:marRight w:val="0"/>
      <w:marTop w:val="0"/>
      <w:marBottom w:val="0"/>
      <w:divBdr>
        <w:top w:val="none" w:sz="0" w:space="0" w:color="auto"/>
        <w:left w:val="none" w:sz="0" w:space="0" w:color="auto"/>
        <w:bottom w:val="none" w:sz="0" w:space="0" w:color="auto"/>
        <w:right w:val="none" w:sz="0" w:space="0" w:color="auto"/>
      </w:divBdr>
    </w:div>
    <w:div w:id="788276921">
      <w:bodyDiv w:val="1"/>
      <w:marLeft w:val="0"/>
      <w:marRight w:val="0"/>
      <w:marTop w:val="0"/>
      <w:marBottom w:val="0"/>
      <w:divBdr>
        <w:top w:val="none" w:sz="0" w:space="0" w:color="auto"/>
        <w:left w:val="none" w:sz="0" w:space="0" w:color="auto"/>
        <w:bottom w:val="none" w:sz="0" w:space="0" w:color="auto"/>
        <w:right w:val="none" w:sz="0" w:space="0" w:color="auto"/>
      </w:divBdr>
    </w:div>
    <w:div w:id="795835479">
      <w:bodyDiv w:val="1"/>
      <w:marLeft w:val="0"/>
      <w:marRight w:val="0"/>
      <w:marTop w:val="0"/>
      <w:marBottom w:val="0"/>
      <w:divBdr>
        <w:top w:val="none" w:sz="0" w:space="0" w:color="auto"/>
        <w:left w:val="none" w:sz="0" w:space="0" w:color="auto"/>
        <w:bottom w:val="none" w:sz="0" w:space="0" w:color="auto"/>
        <w:right w:val="none" w:sz="0" w:space="0" w:color="auto"/>
      </w:divBdr>
    </w:div>
    <w:div w:id="795951955">
      <w:bodyDiv w:val="1"/>
      <w:marLeft w:val="0"/>
      <w:marRight w:val="0"/>
      <w:marTop w:val="0"/>
      <w:marBottom w:val="0"/>
      <w:divBdr>
        <w:top w:val="none" w:sz="0" w:space="0" w:color="auto"/>
        <w:left w:val="none" w:sz="0" w:space="0" w:color="auto"/>
        <w:bottom w:val="none" w:sz="0" w:space="0" w:color="auto"/>
        <w:right w:val="none" w:sz="0" w:space="0" w:color="auto"/>
      </w:divBdr>
    </w:div>
    <w:div w:id="796073174">
      <w:bodyDiv w:val="1"/>
      <w:marLeft w:val="0"/>
      <w:marRight w:val="0"/>
      <w:marTop w:val="0"/>
      <w:marBottom w:val="0"/>
      <w:divBdr>
        <w:top w:val="none" w:sz="0" w:space="0" w:color="auto"/>
        <w:left w:val="none" w:sz="0" w:space="0" w:color="auto"/>
        <w:bottom w:val="none" w:sz="0" w:space="0" w:color="auto"/>
        <w:right w:val="none" w:sz="0" w:space="0" w:color="auto"/>
      </w:divBdr>
    </w:div>
    <w:div w:id="802163148">
      <w:bodyDiv w:val="1"/>
      <w:marLeft w:val="0"/>
      <w:marRight w:val="0"/>
      <w:marTop w:val="0"/>
      <w:marBottom w:val="0"/>
      <w:divBdr>
        <w:top w:val="none" w:sz="0" w:space="0" w:color="auto"/>
        <w:left w:val="none" w:sz="0" w:space="0" w:color="auto"/>
        <w:bottom w:val="none" w:sz="0" w:space="0" w:color="auto"/>
        <w:right w:val="none" w:sz="0" w:space="0" w:color="auto"/>
      </w:divBdr>
    </w:div>
    <w:div w:id="803739771">
      <w:bodyDiv w:val="1"/>
      <w:marLeft w:val="0"/>
      <w:marRight w:val="0"/>
      <w:marTop w:val="0"/>
      <w:marBottom w:val="0"/>
      <w:divBdr>
        <w:top w:val="none" w:sz="0" w:space="0" w:color="auto"/>
        <w:left w:val="none" w:sz="0" w:space="0" w:color="auto"/>
        <w:bottom w:val="none" w:sz="0" w:space="0" w:color="auto"/>
        <w:right w:val="none" w:sz="0" w:space="0" w:color="auto"/>
      </w:divBdr>
    </w:div>
    <w:div w:id="808942685">
      <w:bodyDiv w:val="1"/>
      <w:marLeft w:val="0"/>
      <w:marRight w:val="0"/>
      <w:marTop w:val="0"/>
      <w:marBottom w:val="0"/>
      <w:divBdr>
        <w:top w:val="none" w:sz="0" w:space="0" w:color="auto"/>
        <w:left w:val="none" w:sz="0" w:space="0" w:color="auto"/>
        <w:bottom w:val="none" w:sz="0" w:space="0" w:color="auto"/>
        <w:right w:val="none" w:sz="0" w:space="0" w:color="auto"/>
      </w:divBdr>
    </w:div>
    <w:div w:id="840658144">
      <w:bodyDiv w:val="1"/>
      <w:marLeft w:val="0"/>
      <w:marRight w:val="0"/>
      <w:marTop w:val="0"/>
      <w:marBottom w:val="0"/>
      <w:divBdr>
        <w:top w:val="none" w:sz="0" w:space="0" w:color="auto"/>
        <w:left w:val="none" w:sz="0" w:space="0" w:color="auto"/>
        <w:bottom w:val="none" w:sz="0" w:space="0" w:color="auto"/>
        <w:right w:val="none" w:sz="0" w:space="0" w:color="auto"/>
      </w:divBdr>
    </w:div>
    <w:div w:id="840856237">
      <w:bodyDiv w:val="1"/>
      <w:marLeft w:val="0"/>
      <w:marRight w:val="0"/>
      <w:marTop w:val="0"/>
      <w:marBottom w:val="0"/>
      <w:divBdr>
        <w:top w:val="none" w:sz="0" w:space="0" w:color="auto"/>
        <w:left w:val="none" w:sz="0" w:space="0" w:color="auto"/>
        <w:bottom w:val="none" w:sz="0" w:space="0" w:color="auto"/>
        <w:right w:val="none" w:sz="0" w:space="0" w:color="auto"/>
      </w:divBdr>
    </w:div>
    <w:div w:id="851184589">
      <w:bodyDiv w:val="1"/>
      <w:marLeft w:val="0"/>
      <w:marRight w:val="0"/>
      <w:marTop w:val="0"/>
      <w:marBottom w:val="0"/>
      <w:divBdr>
        <w:top w:val="none" w:sz="0" w:space="0" w:color="auto"/>
        <w:left w:val="none" w:sz="0" w:space="0" w:color="auto"/>
        <w:bottom w:val="none" w:sz="0" w:space="0" w:color="auto"/>
        <w:right w:val="none" w:sz="0" w:space="0" w:color="auto"/>
      </w:divBdr>
    </w:div>
    <w:div w:id="852763769">
      <w:bodyDiv w:val="1"/>
      <w:marLeft w:val="0"/>
      <w:marRight w:val="0"/>
      <w:marTop w:val="0"/>
      <w:marBottom w:val="0"/>
      <w:divBdr>
        <w:top w:val="none" w:sz="0" w:space="0" w:color="auto"/>
        <w:left w:val="none" w:sz="0" w:space="0" w:color="auto"/>
        <w:bottom w:val="none" w:sz="0" w:space="0" w:color="auto"/>
        <w:right w:val="none" w:sz="0" w:space="0" w:color="auto"/>
      </w:divBdr>
    </w:div>
    <w:div w:id="871654859">
      <w:bodyDiv w:val="1"/>
      <w:marLeft w:val="0"/>
      <w:marRight w:val="0"/>
      <w:marTop w:val="0"/>
      <w:marBottom w:val="0"/>
      <w:divBdr>
        <w:top w:val="none" w:sz="0" w:space="0" w:color="auto"/>
        <w:left w:val="none" w:sz="0" w:space="0" w:color="auto"/>
        <w:bottom w:val="none" w:sz="0" w:space="0" w:color="auto"/>
        <w:right w:val="none" w:sz="0" w:space="0" w:color="auto"/>
      </w:divBdr>
    </w:div>
    <w:div w:id="880747662">
      <w:bodyDiv w:val="1"/>
      <w:marLeft w:val="0"/>
      <w:marRight w:val="0"/>
      <w:marTop w:val="0"/>
      <w:marBottom w:val="0"/>
      <w:divBdr>
        <w:top w:val="none" w:sz="0" w:space="0" w:color="auto"/>
        <w:left w:val="none" w:sz="0" w:space="0" w:color="auto"/>
        <w:bottom w:val="none" w:sz="0" w:space="0" w:color="auto"/>
        <w:right w:val="none" w:sz="0" w:space="0" w:color="auto"/>
      </w:divBdr>
    </w:div>
    <w:div w:id="897671367">
      <w:bodyDiv w:val="1"/>
      <w:marLeft w:val="0"/>
      <w:marRight w:val="0"/>
      <w:marTop w:val="0"/>
      <w:marBottom w:val="0"/>
      <w:divBdr>
        <w:top w:val="none" w:sz="0" w:space="0" w:color="auto"/>
        <w:left w:val="none" w:sz="0" w:space="0" w:color="auto"/>
        <w:bottom w:val="none" w:sz="0" w:space="0" w:color="auto"/>
        <w:right w:val="none" w:sz="0" w:space="0" w:color="auto"/>
      </w:divBdr>
    </w:div>
    <w:div w:id="898595598">
      <w:bodyDiv w:val="1"/>
      <w:marLeft w:val="0"/>
      <w:marRight w:val="0"/>
      <w:marTop w:val="0"/>
      <w:marBottom w:val="0"/>
      <w:divBdr>
        <w:top w:val="none" w:sz="0" w:space="0" w:color="auto"/>
        <w:left w:val="none" w:sz="0" w:space="0" w:color="auto"/>
        <w:bottom w:val="none" w:sz="0" w:space="0" w:color="auto"/>
        <w:right w:val="none" w:sz="0" w:space="0" w:color="auto"/>
      </w:divBdr>
    </w:div>
    <w:div w:id="898898810">
      <w:bodyDiv w:val="1"/>
      <w:marLeft w:val="0"/>
      <w:marRight w:val="0"/>
      <w:marTop w:val="0"/>
      <w:marBottom w:val="0"/>
      <w:divBdr>
        <w:top w:val="none" w:sz="0" w:space="0" w:color="auto"/>
        <w:left w:val="none" w:sz="0" w:space="0" w:color="auto"/>
        <w:bottom w:val="none" w:sz="0" w:space="0" w:color="auto"/>
        <w:right w:val="none" w:sz="0" w:space="0" w:color="auto"/>
      </w:divBdr>
    </w:div>
    <w:div w:id="922299156">
      <w:bodyDiv w:val="1"/>
      <w:marLeft w:val="0"/>
      <w:marRight w:val="0"/>
      <w:marTop w:val="0"/>
      <w:marBottom w:val="0"/>
      <w:divBdr>
        <w:top w:val="none" w:sz="0" w:space="0" w:color="auto"/>
        <w:left w:val="none" w:sz="0" w:space="0" w:color="auto"/>
        <w:bottom w:val="none" w:sz="0" w:space="0" w:color="auto"/>
        <w:right w:val="none" w:sz="0" w:space="0" w:color="auto"/>
      </w:divBdr>
    </w:div>
    <w:div w:id="924919946">
      <w:bodyDiv w:val="1"/>
      <w:marLeft w:val="0"/>
      <w:marRight w:val="0"/>
      <w:marTop w:val="0"/>
      <w:marBottom w:val="0"/>
      <w:divBdr>
        <w:top w:val="none" w:sz="0" w:space="0" w:color="auto"/>
        <w:left w:val="none" w:sz="0" w:space="0" w:color="auto"/>
        <w:bottom w:val="none" w:sz="0" w:space="0" w:color="auto"/>
        <w:right w:val="none" w:sz="0" w:space="0" w:color="auto"/>
      </w:divBdr>
    </w:div>
    <w:div w:id="946303982">
      <w:bodyDiv w:val="1"/>
      <w:marLeft w:val="0"/>
      <w:marRight w:val="0"/>
      <w:marTop w:val="0"/>
      <w:marBottom w:val="0"/>
      <w:divBdr>
        <w:top w:val="none" w:sz="0" w:space="0" w:color="auto"/>
        <w:left w:val="none" w:sz="0" w:space="0" w:color="auto"/>
        <w:bottom w:val="none" w:sz="0" w:space="0" w:color="auto"/>
        <w:right w:val="none" w:sz="0" w:space="0" w:color="auto"/>
      </w:divBdr>
    </w:div>
    <w:div w:id="965045661">
      <w:bodyDiv w:val="1"/>
      <w:marLeft w:val="0"/>
      <w:marRight w:val="0"/>
      <w:marTop w:val="0"/>
      <w:marBottom w:val="0"/>
      <w:divBdr>
        <w:top w:val="none" w:sz="0" w:space="0" w:color="auto"/>
        <w:left w:val="none" w:sz="0" w:space="0" w:color="auto"/>
        <w:bottom w:val="none" w:sz="0" w:space="0" w:color="auto"/>
        <w:right w:val="none" w:sz="0" w:space="0" w:color="auto"/>
      </w:divBdr>
    </w:div>
    <w:div w:id="970672950">
      <w:bodyDiv w:val="1"/>
      <w:marLeft w:val="0"/>
      <w:marRight w:val="0"/>
      <w:marTop w:val="0"/>
      <w:marBottom w:val="0"/>
      <w:divBdr>
        <w:top w:val="none" w:sz="0" w:space="0" w:color="auto"/>
        <w:left w:val="none" w:sz="0" w:space="0" w:color="auto"/>
        <w:bottom w:val="none" w:sz="0" w:space="0" w:color="auto"/>
        <w:right w:val="none" w:sz="0" w:space="0" w:color="auto"/>
      </w:divBdr>
    </w:div>
    <w:div w:id="976646063">
      <w:bodyDiv w:val="1"/>
      <w:marLeft w:val="0"/>
      <w:marRight w:val="0"/>
      <w:marTop w:val="0"/>
      <w:marBottom w:val="0"/>
      <w:divBdr>
        <w:top w:val="none" w:sz="0" w:space="0" w:color="auto"/>
        <w:left w:val="none" w:sz="0" w:space="0" w:color="auto"/>
        <w:bottom w:val="none" w:sz="0" w:space="0" w:color="auto"/>
        <w:right w:val="none" w:sz="0" w:space="0" w:color="auto"/>
      </w:divBdr>
    </w:div>
    <w:div w:id="979193812">
      <w:bodyDiv w:val="1"/>
      <w:marLeft w:val="0"/>
      <w:marRight w:val="0"/>
      <w:marTop w:val="0"/>
      <w:marBottom w:val="0"/>
      <w:divBdr>
        <w:top w:val="none" w:sz="0" w:space="0" w:color="auto"/>
        <w:left w:val="none" w:sz="0" w:space="0" w:color="auto"/>
        <w:bottom w:val="none" w:sz="0" w:space="0" w:color="auto"/>
        <w:right w:val="none" w:sz="0" w:space="0" w:color="auto"/>
      </w:divBdr>
    </w:div>
    <w:div w:id="981542414">
      <w:bodyDiv w:val="1"/>
      <w:marLeft w:val="0"/>
      <w:marRight w:val="0"/>
      <w:marTop w:val="0"/>
      <w:marBottom w:val="0"/>
      <w:divBdr>
        <w:top w:val="none" w:sz="0" w:space="0" w:color="auto"/>
        <w:left w:val="none" w:sz="0" w:space="0" w:color="auto"/>
        <w:bottom w:val="none" w:sz="0" w:space="0" w:color="auto"/>
        <w:right w:val="none" w:sz="0" w:space="0" w:color="auto"/>
      </w:divBdr>
    </w:div>
    <w:div w:id="987051991">
      <w:bodyDiv w:val="1"/>
      <w:marLeft w:val="0"/>
      <w:marRight w:val="0"/>
      <w:marTop w:val="0"/>
      <w:marBottom w:val="0"/>
      <w:divBdr>
        <w:top w:val="none" w:sz="0" w:space="0" w:color="auto"/>
        <w:left w:val="none" w:sz="0" w:space="0" w:color="auto"/>
        <w:bottom w:val="none" w:sz="0" w:space="0" w:color="auto"/>
        <w:right w:val="none" w:sz="0" w:space="0" w:color="auto"/>
      </w:divBdr>
    </w:div>
    <w:div w:id="1007095909">
      <w:bodyDiv w:val="1"/>
      <w:marLeft w:val="0"/>
      <w:marRight w:val="0"/>
      <w:marTop w:val="0"/>
      <w:marBottom w:val="0"/>
      <w:divBdr>
        <w:top w:val="none" w:sz="0" w:space="0" w:color="auto"/>
        <w:left w:val="none" w:sz="0" w:space="0" w:color="auto"/>
        <w:bottom w:val="none" w:sz="0" w:space="0" w:color="auto"/>
        <w:right w:val="none" w:sz="0" w:space="0" w:color="auto"/>
      </w:divBdr>
    </w:div>
    <w:div w:id="1010568530">
      <w:bodyDiv w:val="1"/>
      <w:marLeft w:val="0"/>
      <w:marRight w:val="0"/>
      <w:marTop w:val="0"/>
      <w:marBottom w:val="0"/>
      <w:divBdr>
        <w:top w:val="none" w:sz="0" w:space="0" w:color="auto"/>
        <w:left w:val="none" w:sz="0" w:space="0" w:color="auto"/>
        <w:bottom w:val="none" w:sz="0" w:space="0" w:color="auto"/>
        <w:right w:val="none" w:sz="0" w:space="0" w:color="auto"/>
      </w:divBdr>
    </w:div>
    <w:div w:id="1013460289">
      <w:bodyDiv w:val="1"/>
      <w:marLeft w:val="0"/>
      <w:marRight w:val="0"/>
      <w:marTop w:val="0"/>
      <w:marBottom w:val="0"/>
      <w:divBdr>
        <w:top w:val="none" w:sz="0" w:space="0" w:color="auto"/>
        <w:left w:val="none" w:sz="0" w:space="0" w:color="auto"/>
        <w:bottom w:val="none" w:sz="0" w:space="0" w:color="auto"/>
        <w:right w:val="none" w:sz="0" w:space="0" w:color="auto"/>
      </w:divBdr>
    </w:div>
    <w:div w:id="1019090640">
      <w:bodyDiv w:val="1"/>
      <w:marLeft w:val="0"/>
      <w:marRight w:val="0"/>
      <w:marTop w:val="0"/>
      <w:marBottom w:val="0"/>
      <w:divBdr>
        <w:top w:val="none" w:sz="0" w:space="0" w:color="auto"/>
        <w:left w:val="none" w:sz="0" w:space="0" w:color="auto"/>
        <w:bottom w:val="none" w:sz="0" w:space="0" w:color="auto"/>
        <w:right w:val="none" w:sz="0" w:space="0" w:color="auto"/>
      </w:divBdr>
    </w:div>
    <w:div w:id="1021274061">
      <w:bodyDiv w:val="1"/>
      <w:marLeft w:val="0"/>
      <w:marRight w:val="0"/>
      <w:marTop w:val="0"/>
      <w:marBottom w:val="0"/>
      <w:divBdr>
        <w:top w:val="none" w:sz="0" w:space="0" w:color="auto"/>
        <w:left w:val="none" w:sz="0" w:space="0" w:color="auto"/>
        <w:bottom w:val="none" w:sz="0" w:space="0" w:color="auto"/>
        <w:right w:val="none" w:sz="0" w:space="0" w:color="auto"/>
      </w:divBdr>
    </w:div>
    <w:div w:id="1027636807">
      <w:bodyDiv w:val="1"/>
      <w:marLeft w:val="0"/>
      <w:marRight w:val="0"/>
      <w:marTop w:val="0"/>
      <w:marBottom w:val="0"/>
      <w:divBdr>
        <w:top w:val="none" w:sz="0" w:space="0" w:color="auto"/>
        <w:left w:val="none" w:sz="0" w:space="0" w:color="auto"/>
        <w:bottom w:val="none" w:sz="0" w:space="0" w:color="auto"/>
        <w:right w:val="none" w:sz="0" w:space="0" w:color="auto"/>
      </w:divBdr>
    </w:div>
    <w:div w:id="1031419904">
      <w:bodyDiv w:val="1"/>
      <w:marLeft w:val="0"/>
      <w:marRight w:val="0"/>
      <w:marTop w:val="0"/>
      <w:marBottom w:val="0"/>
      <w:divBdr>
        <w:top w:val="none" w:sz="0" w:space="0" w:color="auto"/>
        <w:left w:val="none" w:sz="0" w:space="0" w:color="auto"/>
        <w:bottom w:val="none" w:sz="0" w:space="0" w:color="auto"/>
        <w:right w:val="none" w:sz="0" w:space="0" w:color="auto"/>
      </w:divBdr>
    </w:div>
    <w:div w:id="1034965366">
      <w:bodyDiv w:val="1"/>
      <w:marLeft w:val="0"/>
      <w:marRight w:val="0"/>
      <w:marTop w:val="0"/>
      <w:marBottom w:val="0"/>
      <w:divBdr>
        <w:top w:val="none" w:sz="0" w:space="0" w:color="auto"/>
        <w:left w:val="none" w:sz="0" w:space="0" w:color="auto"/>
        <w:bottom w:val="none" w:sz="0" w:space="0" w:color="auto"/>
        <w:right w:val="none" w:sz="0" w:space="0" w:color="auto"/>
      </w:divBdr>
    </w:div>
    <w:div w:id="1049843875">
      <w:bodyDiv w:val="1"/>
      <w:marLeft w:val="0"/>
      <w:marRight w:val="0"/>
      <w:marTop w:val="0"/>
      <w:marBottom w:val="0"/>
      <w:divBdr>
        <w:top w:val="none" w:sz="0" w:space="0" w:color="auto"/>
        <w:left w:val="none" w:sz="0" w:space="0" w:color="auto"/>
        <w:bottom w:val="none" w:sz="0" w:space="0" w:color="auto"/>
        <w:right w:val="none" w:sz="0" w:space="0" w:color="auto"/>
      </w:divBdr>
    </w:div>
    <w:div w:id="1058698927">
      <w:bodyDiv w:val="1"/>
      <w:marLeft w:val="0"/>
      <w:marRight w:val="0"/>
      <w:marTop w:val="0"/>
      <w:marBottom w:val="0"/>
      <w:divBdr>
        <w:top w:val="none" w:sz="0" w:space="0" w:color="auto"/>
        <w:left w:val="none" w:sz="0" w:space="0" w:color="auto"/>
        <w:bottom w:val="none" w:sz="0" w:space="0" w:color="auto"/>
        <w:right w:val="none" w:sz="0" w:space="0" w:color="auto"/>
      </w:divBdr>
    </w:div>
    <w:div w:id="1059552622">
      <w:bodyDiv w:val="1"/>
      <w:marLeft w:val="0"/>
      <w:marRight w:val="0"/>
      <w:marTop w:val="0"/>
      <w:marBottom w:val="0"/>
      <w:divBdr>
        <w:top w:val="none" w:sz="0" w:space="0" w:color="auto"/>
        <w:left w:val="none" w:sz="0" w:space="0" w:color="auto"/>
        <w:bottom w:val="none" w:sz="0" w:space="0" w:color="auto"/>
        <w:right w:val="none" w:sz="0" w:space="0" w:color="auto"/>
      </w:divBdr>
    </w:div>
    <w:div w:id="1064986768">
      <w:bodyDiv w:val="1"/>
      <w:marLeft w:val="0"/>
      <w:marRight w:val="0"/>
      <w:marTop w:val="0"/>
      <w:marBottom w:val="0"/>
      <w:divBdr>
        <w:top w:val="none" w:sz="0" w:space="0" w:color="auto"/>
        <w:left w:val="none" w:sz="0" w:space="0" w:color="auto"/>
        <w:bottom w:val="none" w:sz="0" w:space="0" w:color="auto"/>
        <w:right w:val="none" w:sz="0" w:space="0" w:color="auto"/>
      </w:divBdr>
    </w:div>
    <w:div w:id="1068916403">
      <w:bodyDiv w:val="1"/>
      <w:marLeft w:val="0"/>
      <w:marRight w:val="0"/>
      <w:marTop w:val="0"/>
      <w:marBottom w:val="0"/>
      <w:divBdr>
        <w:top w:val="none" w:sz="0" w:space="0" w:color="auto"/>
        <w:left w:val="none" w:sz="0" w:space="0" w:color="auto"/>
        <w:bottom w:val="none" w:sz="0" w:space="0" w:color="auto"/>
        <w:right w:val="none" w:sz="0" w:space="0" w:color="auto"/>
      </w:divBdr>
    </w:div>
    <w:div w:id="1086464467">
      <w:bodyDiv w:val="1"/>
      <w:marLeft w:val="0"/>
      <w:marRight w:val="0"/>
      <w:marTop w:val="0"/>
      <w:marBottom w:val="0"/>
      <w:divBdr>
        <w:top w:val="none" w:sz="0" w:space="0" w:color="auto"/>
        <w:left w:val="none" w:sz="0" w:space="0" w:color="auto"/>
        <w:bottom w:val="none" w:sz="0" w:space="0" w:color="auto"/>
        <w:right w:val="none" w:sz="0" w:space="0" w:color="auto"/>
      </w:divBdr>
    </w:div>
    <w:div w:id="1088966216">
      <w:bodyDiv w:val="1"/>
      <w:marLeft w:val="0"/>
      <w:marRight w:val="0"/>
      <w:marTop w:val="0"/>
      <w:marBottom w:val="0"/>
      <w:divBdr>
        <w:top w:val="none" w:sz="0" w:space="0" w:color="auto"/>
        <w:left w:val="none" w:sz="0" w:space="0" w:color="auto"/>
        <w:bottom w:val="none" w:sz="0" w:space="0" w:color="auto"/>
        <w:right w:val="none" w:sz="0" w:space="0" w:color="auto"/>
      </w:divBdr>
    </w:div>
    <w:div w:id="1089816046">
      <w:bodyDiv w:val="1"/>
      <w:marLeft w:val="0"/>
      <w:marRight w:val="0"/>
      <w:marTop w:val="0"/>
      <w:marBottom w:val="0"/>
      <w:divBdr>
        <w:top w:val="none" w:sz="0" w:space="0" w:color="auto"/>
        <w:left w:val="none" w:sz="0" w:space="0" w:color="auto"/>
        <w:bottom w:val="none" w:sz="0" w:space="0" w:color="auto"/>
        <w:right w:val="none" w:sz="0" w:space="0" w:color="auto"/>
      </w:divBdr>
    </w:div>
    <w:div w:id="1105034461">
      <w:bodyDiv w:val="1"/>
      <w:marLeft w:val="0"/>
      <w:marRight w:val="0"/>
      <w:marTop w:val="0"/>
      <w:marBottom w:val="0"/>
      <w:divBdr>
        <w:top w:val="none" w:sz="0" w:space="0" w:color="auto"/>
        <w:left w:val="none" w:sz="0" w:space="0" w:color="auto"/>
        <w:bottom w:val="none" w:sz="0" w:space="0" w:color="auto"/>
        <w:right w:val="none" w:sz="0" w:space="0" w:color="auto"/>
      </w:divBdr>
    </w:div>
    <w:div w:id="1107384689">
      <w:bodyDiv w:val="1"/>
      <w:marLeft w:val="0"/>
      <w:marRight w:val="0"/>
      <w:marTop w:val="0"/>
      <w:marBottom w:val="0"/>
      <w:divBdr>
        <w:top w:val="none" w:sz="0" w:space="0" w:color="auto"/>
        <w:left w:val="none" w:sz="0" w:space="0" w:color="auto"/>
        <w:bottom w:val="none" w:sz="0" w:space="0" w:color="auto"/>
        <w:right w:val="none" w:sz="0" w:space="0" w:color="auto"/>
      </w:divBdr>
    </w:div>
    <w:div w:id="1114324184">
      <w:bodyDiv w:val="1"/>
      <w:marLeft w:val="0"/>
      <w:marRight w:val="0"/>
      <w:marTop w:val="0"/>
      <w:marBottom w:val="0"/>
      <w:divBdr>
        <w:top w:val="none" w:sz="0" w:space="0" w:color="auto"/>
        <w:left w:val="none" w:sz="0" w:space="0" w:color="auto"/>
        <w:bottom w:val="none" w:sz="0" w:space="0" w:color="auto"/>
        <w:right w:val="none" w:sz="0" w:space="0" w:color="auto"/>
      </w:divBdr>
    </w:div>
    <w:div w:id="1116094710">
      <w:bodyDiv w:val="1"/>
      <w:marLeft w:val="0"/>
      <w:marRight w:val="0"/>
      <w:marTop w:val="0"/>
      <w:marBottom w:val="0"/>
      <w:divBdr>
        <w:top w:val="none" w:sz="0" w:space="0" w:color="auto"/>
        <w:left w:val="none" w:sz="0" w:space="0" w:color="auto"/>
        <w:bottom w:val="none" w:sz="0" w:space="0" w:color="auto"/>
        <w:right w:val="none" w:sz="0" w:space="0" w:color="auto"/>
      </w:divBdr>
    </w:div>
    <w:div w:id="1129320744">
      <w:bodyDiv w:val="1"/>
      <w:marLeft w:val="0"/>
      <w:marRight w:val="0"/>
      <w:marTop w:val="0"/>
      <w:marBottom w:val="0"/>
      <w:divBdr>
        <w:top w:val="none" w:sz="0" w:space="0" w:color="auto"/>
        <w:left w:val="none" w:sz="0" w:space="0" w:color="auto"/>
        <w:bottom w:val="none" w:sz="0" w:space="0" w:color="auto"/>
        <w:right w:val="none" w:sz="0" w:space="0" w:color="auto"/>
      </w:divBdr>
    </w:div>
    <w:div w:id="1161197121">
      <w:bodyDiv w:val="1"/>
      <w:marLeft w:val="0"/>
      <w:marRight w:val="0"/>
      <w:marTop w:val="0"/>
      <w:marBottom w:val="0"/>
      <w:divBdr>
        <w:top w:val="none" w:sz="0" w:space="0" w:color="auto"/>
        <w:left w:val="none" w:sz="0" w:space="0" w:color="auto"/>
        <w:bottom w:val="none" w:sz="0" w:space="0" w:color="auto"/>
        <w:right w:val="none" w:sz="0" w:space="0" w:color="auto"/>
      </w:divBdr>
    </w:div>
    <w:div w:id="1163013640">
      <w:bodyDiv w:val="1"/>
      <w:marLeft w:val="0"/>
      <w:marRight w:val="0"/>
      <w:marTop w:val="0"/>
      <w:marBottom w:val="0"/>
      <w:divBdr>
        <w:top w:val="none" w:sz="0" w:space="0" w:color="auto"/>
        <w:left w:val="none" w:sz="0" w:space="0" w:color="auto"/>
        <w:bottom w:val="none" w:sz="0" w:space="0" w:color="auto"/>
        <w:right w:val="none" w:sz="0" w:space="0" w:color="auto"/>
      </w:divBdr>
    </w:div>
    <w:div w:id="1178736767">
      <w:bodyDiv w:val="1"/>
      <w:marLeft w:val="0"/>
      <w:marRight w:val="0"/>
      <w:marTop w:val="0"/>
      <w:marBottom w:val="0"/>
      <w:divBdr>
        <w:top w:val="none" w:sz="0" w:space="0" w:color="auto"/>
        <w:left w:val="none" w:sz="0" w:space="0" w:color="auto"/>
        <w:bottom w:val="none" w:sz="0" w:space="0" w:color="auto"/>
        <w:right w:val="none" w:sz="0" w:space="0" w:color="auto"/>
      </w:divBdr>
    </w:div>
    <w:div w:id="1180238887">
      <w:bodyDiv w:val="1"/>
      <w:marLeft w:val="0"/>
      <w:marRight w:val="0"/>
      <w:marTop w:val="0"/>
      <w:marBottom w:val="0"/>
      <w:divBdr>
        <w:top w:val="none" w:sz="0" w:space="0" w:color="auto"/>
        <w:left w:val="none" w:sz="0" w:space="0" w:color="auto"/>
        <w:bottom w:val="none" w:sz="0" w:space="0" w:color="auto"/>
        <w:right w:val="none" w:sz="0" w:space="0" w:color="auto"/>
      </w:divBdr>
    </w:div>
    <w:div w:id="1192769154">
      <w:marLeft w:val="0"/>
      <w:marRight w:val="0"/>
      <w:marTop w:val="0"/>
      <w:marBottom w:val="0"/>
      <w:divBdr>
        <w:top w:val="none" w:sz="0" w:space="0" w:color="auto"/>
        <w:left w:val="none" w:sz="0" w:space="0" w:color="auto"/>
        <w:bottom w:val="none" w:sz="0" w:space="0" w:color="auto"/>
        <w:right w:val="none" w:sz="0" w:space="0" w:color="auto"/>
      </w:divBdr>
      <w:divsChild>
        <w:div w:id="1192769155">
          <w:marLeft w:val="0"/>
          <w:marRight w:val="0"/>
          <w:marTop w:val="0"/>
          <w:marBottom w:val="0"/>
          <w:divBdr>
            <w:top w:val="none" w:sz="0" w:space="0" w:color="auto"/>
            <w:left w:val="none" w:sz="0" w:space="0" w:color="auto"/>
            <w:bottom w:val="none" w:sz="0" w:space="0" w:color="auto"/>
            <w:right w:val="none" w:sz="0" w:space="0" w:color="auto"/>
          </w:divBdr>
        </w:div>
        <w:div w:id="1192769157">
          <w:marLeft w:val="0"/>
          <w:marRight w:val="0"/>
          <w:marTop w:val="0"/>
          <w:marBottom w:val="0"/>
          <w:divBdr>
            <w:top w:val="none" w:sz="0" w:space="0" w:color="auto"/>
            <w:left w:val="none" w:sz="0" w:space="0" w:color="auto"/>
            <w:bottom w:val="none" w:sz="0" w:space="0" w:color="auto"/>
            <w:right w:val="none" w:sz="0" w:space="0" w:color="auto"/>
          </w:divBdr>
        </w:div>
      </w:divsChild>
    </w:div>
    <w:div w:id="1192769160">
      <w:marLeft w:val="0"/>
      <w:marRight w:val="0"/>
      <w:marTop w:val="0"/>
      <w:marBottom w:val="0"/>
      <w:divBdr>
        <w:top w:val="none" w:sz="0" w:space="0" w:color="auto"/>
        <w:left w:val="none" w:sz="0" w:space="0" w:color="auto"/>
        <w:bottom w:val="none" w:sz="0" w:space="0" w:color="auto"/>
        <w:right w:val="none" w:sz="0" w:space="0" w:color="auto"/>
      </w:divBdr>
      <w:divsChild>
        <w:div w:id="1192769159">
          <w:marLeft w:val="0"/>
          <w:marRight w:val="0"/>
          <w:marTop w:val="0"/>
          <w:marBottom w:val="0"/>
          <w:divBdr>
            <w:top w:val="none" w:sz="0" w:space="0" w:color="auto"/>
            <w:left w:val="none" w:sz="0" w:space="0" w:color="auto"/>
            <w:bottom w:val="none" w:sz="0" w:space="0" w:color="auto"/>
            <w:right w:val="none" w:sz="0" w:space="0" w:color="auto"/>
          </w:divBdr>
          <w:divsChild>
            <w:div w:id="1192769153">
              <w:marLeft w:val="0"/>
              <w:marRight w:val="0"/>
              <w:marTop w:val="0"/>
              <w:marBottom w:val="0"/>
              <w:divBdr>
                <w:top w:val="none" w:sz="0" w:space="0" w:color="auto"/>
                <w:left w:val="none" w:sz="0" w:space="0" w:color="auto"/>
                <w:bottom w:val="none" w:sz="0" w:space="0" w:color="auto"/>
                <w:right w:val="none" w:sz="0" w:space="0" w:color="auto"/>
              </w:divBdr>
            </w:div>
            <w:div w:id="1192769156">
              <w:marLeft w:val="0"/>
              <w:marRight w:val="0"/>
              <w:marTop w:val="0"/>
              <w:marBottom w:val="0"/>
              <w:divBdr>
                <w:top w:val="none" w:sz="0" w:space="0" w:color="auto"/>
                <w:left w:val="none" w:sz="0" w:space="0" w:color="auto"/>
                <w:bottom w:val="none" w:sz="0" w:space="0" w:color="auto"/>
                <w:right w:val="none" w:sz="0" w:space="0" w:color="auto"/>
              </w:divBdr>
            </w:div>
            <w:div w:id="1192769158">
              <w:marLeft w:val="0"/>
              <w:marRight w:val="0"/>
              <w:marTop w:val="0"/>
              <w:marBottom w:val="0"/>
              <w:divBdr>
                <w:top w:val="none" w:sz="0" w:space="0" w:color="auto"/>
                <w:left w:val="none" w:sz="0" w:space="0" w:color="auto"/>
                <w:bottom w:val="none" w:sz="0" w:space="0" w:color="auto"/>
                <w:right w:val="none" w:sz="0" w:space="0" w:color="auto"/>
              </w:divBdr>
            </w:div>
            <w:div w:id="1192769161">
              <w:marLeft w:val="0"/>
              <w:marRight w:val="0"/>
              <w:marTop w:val="0"/>
              <w:marBottom w:val="0"/>
              <w:divBdr>
                <w:top w:val="none" w:sz="0" w:space="0" w:color="auto"/>
                <w:left w:val="none" w:sz="0" w:space="0" w:color="auto"/>
                <w:bottom w:val="none" w:sz="0" w:space="0" w:color="auto"/>
                <w:right w:val="none" w:sz="0" w:space="0" w:color="auto"/>
              </w:divBdr>
            </w:div>
            <w:div w:id="11927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4836">
      <w:bodyDiv w:val="1"/>
      <w:marLeft w:val="0"/>
      <w:marRight w:val="0"/>
      <w:marTop w:val="0"/>
      <w:marBottom w:val="0"/>
      <w:divBdr>
        <w:top w:val="none" w:sz="0" w:space="0" w:color="auto"/>
        <w:left w:val="none" w:sz="0" w:space="0" w:color="auto"/>
        <w:bottom w:val="none" w:sz="0" w:space="0" w:color="auto"/>
        <w:right w:val="none" w:sz="0" w:space="0" w:color="auto"/>
      </w:divBdr>
    </w:div>
    <w:div w:id="1222522011">
      <w:bodyDiv w:val="1"/>
      <w:marLeft w:val="0"/>
      <w:marRight w:val="0"/>
      <w:marTop w:val="0"/>
      <w:marBottom w:val="0"/>
      <w:divBdr>
        <w:top w:val="none" w:sz="0" w:space="0" w:color="auto"/>
        <w:left w:val="none" w:sz="0" w:space="0" w:color="auto"/>
        <w:bottom w:val="none" w:sz="0" w:space="0" w:color="auto"/>
        <w:right w:val="none" w:sz="0" w:space="0" w:color="auto"/>
      </w:divBdr>
    </w:div>
    <w:div w:id="1237011086">
      <w:bodyDiv w:val="1"/>
      <w:marLeft w:val="0"/>
      <w:marRight w:val="0"/>
      <w:marTop w:val="0"/>
      <w:marBottom w:val="0"/>
      <w:divBdr>
        <w:top w:val="none" w:sz="0" w:space="0" w:color="auto"/>
        <w:left w:val="none" w:sz="0" w:space="0" w:color="auto"/>
        <w:bottom w:val="none" w:sz="0" w:space="0" w:color="auto"/>
        <w:right w:val="none" w:sz="0" w:space="0" w:color="auto"/>
      </w:divBdr>
    </w:div>
    <w:div w:id="1260869592">
      <w:bodyDiv w:val="1"/>
      <w:marLeft w:val="0"/>
      <w:marRight w:val="0"/>
      <w:marTop w:val="0"/>
      <w:marBottom w:val="0"/>
      <w:divBdr>
        <w:top w:val="none" w:sz="0" w:space="0" w:color="auto"/>
        <w:left w:val="none" w:sz="0" w:space="0" w:color="auto"/>
        <w:bottom w:val="none" w:sz="0" w:space="0" w:color="auto"/>
        <w:right w:val="none" w:sz="0" w:space="0" w:color="auto"/>
      </w:divBdr>
    </w:div>
    <w:div w:id="1261722652">
      <w:bodyDiv w:val="1"/>
      <w:marLeft w:val="0"/>
      <w:marRight w:val="0"/>
      <w:marTop w:val="0"/>
      <w:marBottom w:val="0"/>
      <w:divBdr>
        <w:top w:val="none" w:sz="0" w:space="0" w:color="auto"/>
        <w:left w:val="none" w:sz="0" w:space="0" w:color="auto"/>
        <w:bottom w:val="none" w:sz="0" w:space="0" w:color="auto"/>
        <w:right w:val="none" w:sz="0" w:space="0" w:color="auto"/>
      </w:divBdr>
    </w:div>
    <w:div w:id="1272205075">
      <w:bodyDiv w:val="1"/>
      <w:marLeft w:val="0"/>
      <w:marRight w:val="0"/>
      <w:marTop w:val="0"/>
      <w:marBottom w:val="0"/>
      <w:divBdr>
        <w:top w:val="none" w:sz="0" w:space="0" w:color="auto"/>
        <w:left w:val="none" w:sz="0" w:space="0" w:color="auto"/>
        <w:bottom w:val="none" w:sz="0" w:space="0" w:color="auto"/>
        <w:right w:val="none" w:sz="0" w:space="0" w:color="auto"/>
      </w:divBdr>
    </w:div>
    <w:div w:id="1285041025">
      <w:bodyDiv w:val="1"/>
      <w:marLeft w:val="0"/>
      <w:marRight w:val="0"/>
      <w:marTop w:val="0"/>
      <w:marBottom w:val="0"/>
      <w:divBdr>
        <w:top w:val="none" w:sz="0" w:space="0" w:color="auto"/>
        <w:left w:val="none" w:sz="0" w:space="0" w:color="auto"/>
        <w:bottom w:val="none" w:sz="0" w:space="0" w:color="auto"/>
        <w:right w:val="none" w:sz="0" w:space="0" w:color="auto"/>
      </w:divBdr>
    </w:div>
    <w:div w:id="1293245898">
      <w:bodyDiv w:val="1"/>
      <w:marLeft w:val="0"/>
      <w:marRight w:val="0"/>
      <w:marTop w:val="0"/>
      <w:marBottom w:val="0"/>
      <w:divBdr>
        <w:top w:val="none" w:sz="0" w:space="0" w:color="auto"/>
        <w:left w:val="none" w:sz="0" w:space="0" w:color="auto"/>
        <w:bottom w:val="none" w:sz="0" w:space="0" w:color="auto"/>
        <w:right w:val="none" w:sz="0" w:space="0" w:color="auto"/>
      </w:divBdr>
    </w:div>
    <w:div w:id="1295023915">
      <w:bodyDiv w:val="1"/>
      <w:marLeft w:val="0"/>
      <w:marRight w:val="0"/>
      <w:marTop w:val="0"/>
      <w:marBottom w:val="0"/>
      <w:divBdr>
        <w:top w:val="none" w:sz="0" w:space="0" w:color="auto"/>
        <w:left w:val="none" w:sz="0" w:space="0" w:color="auto"/>
        <w:bottom w:val="none" w:sz="0" w:space="0" w:color="auto"/>
        <w:right w:val="none" w:sz="0" w:space="0" w:color="auto"/>
      </w:divBdr>
    </w:div>
    <w:div w:id="1308558768">
      <w:bodyDiv w:val="1"/>
      <w:marLeft w:val="0"/>
      <w:marRight w:val="0"/>
      <w:marTop w:val="0"/>
      <w:marBottom w:val="0"/>
      <w:divBdr>
        <w:top w:val="none" w:sz="0" w:space="0" w:color="auto"/>
        <w:left w:val="none" w:sz="0" w:space="0" w:color="auto"/>
        <w:bottom w:val="none" w:sz="0" w:space="0" w:color="auto"/>
        <w:right w:val="none" w:sz="0" w:space="0" w:color="auto"/>
      </w:divBdr>
    </w:div>
    <w:div w:id="1314063625">
      <w:bodyDiv w:val="1"/>
      <w:marLeft w:val="0"/>
      <w:marRight w:val="0"/>
      <w:marTop w:val="0"/>
      <w:marBottom w:val="0"/>
      <w:divBdr>
        <w:top w:val="none" w:sz="0" w:space="0" w:color="auto"/>
        <w:left w:val="none" w:sz="0" w:space="0" w:color="auto"/>
        <w:bottom w:val="none" w:sz="0" w:space="0" w:color="auto"/>
        <w:right w:val="none" w:sz="0" w:space="0" w:color="auto"/>
      </w:divBdr>
    </w:div>
    <w:div w:id="1326202734">
      <w:bodyDiv w:val="1"/>
      <w:marLeft w:val="0"/>
      <w:marRight w:val="0"/>
      <w:marTop w:val="0"/>
      <w:marBottom w:val="0"/>
      <w:divBdr>
        <w:top w:val="none" w:sz="0" w:space="0" w:color="auto"/>
        <w:left w:val="none" w:sz="0" w:space="0" w:color="auto"/>
        <w:bottom w:val="none" w:sz="0" w:space="0" w:color="auto"/>
        <w:right w:val="none" w:sz="0" w:space="0" w:color="auto"/>
      </w:divBdr>
    </w:div>
    <w:div w:id="1345479754">
      <w:bodyDiv w:val="1"/>
      <w:marLeft w:val="0"/>
      <w:marRight w:val="0"/>
      <w:marTop w:val="0"/>
      <w:marBottom w:val="0"/>
      <w:divBdr>
        <w:top w:val="none" w:sz="0" w:space="0" w:color="auto"/>
        <w:left w:val="none" w:sz="0" w:space="0" w:color="auto"/>
        <w:bottom w:val="none" w:sz="0" w:space="0" w:color="auto"/>
        <w:right w:val="none" w:sz="0" w:space="0" w:color="auto"/>
      </w:divBdr>
    </w:div>
    <w:div w:id="1354115835">
      <w:bodyDiv w:val="1"/>
      <w:marLeft w:val="0"/>
      <w:marRight w:val="0"/>
      <w:marTop w:val="0"/>
      <w:marBottom w:val="0"/>
      <w:divBdr>
        <w:top w:val="none" w:sz="0" w:space="0" w:color="auto"/>
        <w:left w:val="none" w:sz="0" w:space="0" w:color="auto"/>
        <w:bottom w:val="none" w:sz="0" w:space="0" w:color="auto"/>
        <w:right w:val="none" w:sz="0" w:space="0" w:color="auto"/>
      </w:divBdr>
    </w:div>
    <w:div w:id="1368485037">
      <w:bodyDiv w:val="1"/>
      <w:marLeft w:val="0"/>
      <w:marRight w:val="0"/>
      <w:marTop w:val="0"/>
      <w:marBottom w:val="0"/>
      <w:divBdr>
        <w:top w:val="none" w:sz="0" w:space="0" w:color="auto"/>
        <w:left w:val="none" w:sz="0" w:space="0" w:color="auto"/>
        <w:bottom w:val="none" w:sz="0" w:space="0" w:color="auto"/>
        <w:right w:val="none" w:sz="0" w:space="0" w:color="auto"/>
      </w:divBdr>
    </w:div>
    <w:div w:id="1370685796">
      <w:bodyDiv w:val="1"/>
      <w:marLeft w:val="0"/>
      <w:marRight w:val="0"/>
      <w:marTop w:val="0"/>
      <w:marBottom w:val="0"/>
      <w:divBdr>
        <w:top w:val="none" w:sz="0" w:space="0" w:color="auto"/>
        <w:left w:val="none" w:sz="0" w:space="0" w:color="auto"/>
        <w:bottom w:val="none" w:sz="0" w:space="0" w:color="auto"/>
        <w:right w:val="none" w:sz="0" w:space="0" w:color="auto"/>
      </w:divBdr>
    </w:div>
    <w:div w:id="1371343365">
      <w:bodyDiv w:val="1"/>
      <w:marLeft w:val="0"/>
      <w:marRight w:val="0"/>
      <w:marTop w:val="0"/>
      <w:marBottom w:val="0"/>
      <w:divBdr>
        <w:top w:val="none" w:sz="0" w:space="0" w:color="auto"/>
        <w:left w:val="none" w:sz="0" w:space="0" w:color="auto"/>
        <w:bottom w:val="none" w:sz="0" w:space="0" w:color="auto"/>
        <w:right w:val="none" w:sz="0" w:space="0" w:color="auto"/>
      </w:divBdr>
    </w:div>
    <w:div w:id="1376469869">
      <w:bodyDiv w:val="1"/>
      <w:marLeft w:val="0"/>
      <w:marRight w:val="0"/>
      <w:marTop w:val="0"/>
      <w:marBottom w:val="0"/>
      <w:divBdr>
        <w:top w:val="none" w:sz="0" w:space="0" w:color="auto"/>
        <w:left w:val="none" w:sz="0" w:space="0" w:color="auto"/>
        <w:bottom w:val="none" w:sz="0" w:space="0" w:color="auto"/>
        <w:right w:val="none" w:sz="0" w:space="0" w:color="auto"/>
      </w:divBdr>
    </w:div>
    <w:div w:id="1388336370">
      <w:bodyDiv w:val="1"/>
      <w:marLeft w:val="0"/>
      <w:marRight w:val="0"/>
      <w:marTop w:val="0"/>
      <w:marBottom w:val="0"/>
      <w:divBdr>
        <w:top w:val="none" w:sz="0" w:space="0" w:color="auto"/>
        <w:left w:val="none" w:sz="0" w:space="0" w:color="auto"/>
        <w:bottom w:val="none" w:sz="0" w:space="0" w:color="auto"/>
        <w:right w:val="none" w:sz="0" w:space="0" w:color="auto"/>
      </w:divBdr>
    </w:div>
    <w:div w:id="1396507308">
      <w:bodyDiv w:val="1"/>
      <w:marLeft w:val="0"/>
      <w:marRight w:val="0"/>
      <w:marTop w:val="0"/>
      <w:marBottom w:val="0"/>
      <w:divBdr>
        <w:top w:val="none" w:sz="0" w:space="0" w:color="auto"/>
        <w:left w:val="none" w:sz="0" w:space="0" w:color="auto"/>
        <w:bottom w:val="none" w:sz="0" w:space="0" w:color="auto"/>
        <w:right w:val="none" w:sz="0" w:space="0" w:color="auto"/>
      </w:divBdr>
    </w:div>
    <w:div w:id="1399546884">
      <w:bodyDiv w:val="1"/>
      <w:marLeft w:val="0"/>
      <w:marRight w:val="0"/>
      <w:marTop w:val="0"/>
      <w:marBottom w:val="0"/>
      <w:divBdr>
        <w:top w:val="none" w:sz="0" w:space="0" w:color="auto"/>
        <w:left w:val="none" w:sz="0" w:space="0" w:color="auto"/>
        <w:bottom w:val="none" w:sz="0" w:space="0" w:color="auto"/>
        <w:right w:val="none" w:sz="0" w:space="0" w:color="auto"/>
      </w:divBdr>
    </w:div>
    <w:div w:id="1401439072">
      <w:bodyDiv w:val="1"/>
      <w:marLeft w:val="0"/>
      <w:marRight w:val="0"/>
      <w:marTop w:val="0"/>
      <w:marBottom w:val="0"/>
      <w:divBdr>
        <w:top w:val="none" w:sz="0" w:space="0" w:color="auto"/>
        <w:left w:val="none" w:sz="0" w:space="0" w:color="auto"/>
        <w:bottom w:val="none" w:sz="0" w:space="0" w:color="auto"/>
        <w:right w:val="none" w:sz="0" w:space="0" w:color="auto"/>
      </w:divBdr>
    </w:div>
    <w:div w:id="1427189486">
      <w:bodyDiv w:val="1"/>
      <w:marLeft w:val="0"/>
      <w:marRight w:val="0"/>
      <w:marTop w:val="0"/>
      <w:marBottom w:val="0"/>
      <w:divBdr>
        <w:top w:val="none" w:sz="0" w:space="0" w:color="auto"/>
        <w:left w:val="none" w:sz="0" w:space="0" w:color="auto"/>
        <w:bottom w:val="none" w:sz="0" w:space="0" w:color="auto"/>
        <w:right w:val="none" w:sz="0" w:space="0" w:color="auto"/>
      </w:divBdr>
    </w:div>
    <w:div w:id="1448425915">
      <w:bodyDiv w:val="1"/>
      <w:marLeft w:val="0"/>
      <w:marRight w:val="0"/>
      <w:marTop w:val="0"/>
      <w:marBottom w:val="0"/>
      <w:divBdr>
        <w:top w:val="none" w:sz="0" w:space="0" w:color="auto"/>
        <w:left w:val="none" w:sz="0" w:space="0" w:color="auto"/>
        <w:bottom w:val="none" w:sz="0" w:space="0" w:color="auto"/>
        <w:right w:val="none" w:sz="0" w:space="0" w:color="auto"/>
      </w:divBdr>
    </w:div>
    <w:div w:id="1459956156">
      <w:bodyDiv w:val="1"/>
      <w:marLeft w:val="0"/>
      <w:marRight w:val="0"/>
      <w:marTop w:val="0"/>
      <w:marBottom w:val="0"/>
      <w:divBdr>
        <w:top w:val="none" w:sz="0" w:space="0" w:color="auto"/>
        <w:left w:val="none" w:sz="0" w:space="0" w:color="auto"/>
        <w:bottom w:val="none" w:sz="0" w:space="0" w:color="auto"/>
        <w:right w:val="none" w:sz="0" w:space="0" w:color="auto"/>
      </w:divBdr>
    </w:div>
    <w:div w:id="1461605303">
      <w:bodyDiv w:val="1"/>
      <w:marLeft w:val="0"/>
      <w:marRight w:val="0"/>
      <w:marTop w:val="0"/>
      <w:marBottom w:val="0"/>
      <w:divBdr>
        <w:top w:val="none" w:sz="0" w:space="0" w:color="auto"/>
        <w:left w:val="none" w:sz="0" w:space="0" w:color="auto"/>
        <w:bottom w:val="none" w:sz="0" w:space="0" w:color="auto"/>
        <w:right w:val="none" w:sz="0" w:space="0" w:color="auto"/>
      </w:divBdr>
    </w:div>
    <w:div w:id="1480346905">
      <w:bodyDiv w:val="1"/>
      <w:marLeft w:val="0"/>
      <w:marRight w:val="0"/>
      <w:marTop w:val="0"/>
      <w:marBottom w:val="0"/>
      <w:divBdr>
        <w:top w:val="none" w:sz="0" w:space="0" w:color="auto"/>
        <w:left w:val="none" w:sz="0" w:space="0" w:color="auto"/>
        <w:bottom w:val="none" w:sz="0" w:space="0" w:color="auto"/>
        <w:right w:val="none" w:sz="0" w:space="0" w:color="auto"/>
      </w:divBdr>
    </w:div>
    <w:div w:id="1485779433">
      <w:bodyDiv w:val="1"/>
      <w:marLeft w:val="0"/>
      <w:marRight w:val="0"/>
      <w:marTop w:val="0"/>
      <w:marBottom w:val="0"/>
      <w:divBdr>
        <w:top w:val="none" w:sz="0" w:space="0" w:color="auto"/>
        <w:left w:val="none" w:sz="0" w:space="0" w:color="auto"/>
        <w:bottom w:val="none" w:sz="0" w:space="0" w:color="auto"/>
        <w:right w:val="none" w:sz="0" w:space="0" w:color="auto"/>
      </w:divBdr>
    </w:div>
    <w:div w:id="1489056332">
      <w:bodyDiv w:val="1"/>
      <w:marLeft w:val="0"/>
      <w:marRight w:val="0"/>
      <w:marTop w:val="0"/>
      <w:marBottom w:val="0"/>
      <w:divBdr>
        <w:top w:val="none" w:sz="0" w:space="0" w:color="auto"/>
        <w:left w:val="none" w:sz="0" w:space="0" w:color="auto"/>
        <w:bottom w:val="none" w:sz="0" w:space="0" w:color="auto"/>
        <w:right w:val="none" w:sz="0" w:space="0" w:color="auto"/>
      </w:divBdr>
    </w:div>
    <w:div w:id="1496531144">
      <w:bodyDiv w:val="1"/>
      <w:marLeft w:val="0"/>
      <w:marRight w:val="0"/>
      <w:marTop w:val="0"/>
      <w:marBottom w:val="0"/>
      <w:divBdr>
        <w:top w:val="none" w:sz="0" w:space="0" w:color="auto"/>
        <w:left w:val="none" w:sz="0" w:space="0" w:color="auto"/>
        <w:bottom w:val="none" w:sz="0" w:space="0" w:color="auto"/>
        <w:right w:val="none" w:sz="0" w:space="0" w:color="auto"/>
      </w:divBdr>
    </w:div>
    <w:div w:id="1514610737">
      <w:bodyDiv w:val="1"/>
      <w:marLeft w:val="0"/>
      <w:marRight w:val="0"/>
      <w:marTop w:val="0"/>
      <w:marBottom w:val="0"/>
      <w:divBdr>
        <w:top w:val="none" w:sz="0" w:space="0" w:color="auto"/>
        <w:left w:val="none" w:sz="0" w:space="0" w:color="auto"/>
        <w:bottom w:val="none" w:sz="0" w:space="0" w:color="auto"/>
        <w:right w:val="none" w:sz="0" w:space="0" w:color="auto"/>
      </w:divBdr>
    </w:div>
    <w:div w:id="1522164002">
      <w:bodyDiv w:val="1"/>
      <w:marLeft w:val="0"/>
      <w:marRight w:val="0"/>
      <w:marTop w:val="0"/>
      <w:marBottom w:val="0"/>
      <w:divBdr>
        <w:top w:val="none" w:sz="0" w:space="0" w:color="auto"/>
        <w:left w:val="none" w:sz="0" w:space="0" w:color="auto"/>
        <w:bottom w:val="none" w:sz="0" w:space="0" w:color="auto"/>
        <w:right w:val="none" w:sz="0" w:space="0" w:color="auto"/>
      </w:divBdr>
    </w:div>
    <w:div w:id="1526407247">
      <w:bodyDiv w:val="1"/>
      <w:marLeft w:val="0"/>
      <w:marRight w:val="0"/>
      <w:marTop w:val="0"/>
      <w:marBottom w:val="0"/>
      <w:divBdr>
        <w:top w:val="none" w:sz="0" w:space="0" w:color="auto"/>
        <w:left w:val="none" w:sz="0" w:space="0" w:color="auto"/>
        <w:bottom w:val="none" w:sz="0" w:space="0" w:color="auto"/>
        <w:right w:val="none" w:sz="0" w:space="0" w:color="auto"/>
      </w:divBdr>
    </w:div>
    <w:div w:id="1535272249">
      <w:bodyDiv w:val="1"/>
      <w:marLeft w:val="0"/>
      <w:marRight w:val="0"/>
      <w:marTop w:val="0"/>
      <w:marBottom w:val="0"/>
      <w:divBdr>
        <w:top w:val="none" w:sz="0" w:space="0" w:color="auto"/>
        <w:left w:val="none" w:sz="0" w:space="0" w:color="auto"/>
        <w:bottom w:val="none" w:sz="0" w:space="0" w:color="auto"/>
        <w:right w:val="none" w:sz="0" w:space="0" w:color="auto"/>
      </w:divBdr>
    </w:div>
    <w:div w:id="1548371871">
      <w:bodyDiv w:val="1"/>
      <w:marLeft w:val="0"/>
      <w:marRight w:val="0"/>
      <w:marTop w:val="0"/>
      <w:marBottom w:val="0"/>
      <w:divBdr>
        <w:top w:val="none" w:sz="0" w:space="0" w:color="auto"/>
        <w:left w:val="none" w:sz="0" w:space="0" w:color="auto"/>
        <w:bottom w:val="none" w:sz="0" w:space="0" w:color="auto"/>
        <w:right w:val="none" w:sz="0" w:space="0" w:color="auto"/>
      </w:divBdr>
    </w:div>
    <w:div w:id="1561481418">
      <w:bodyDiv w:val="1"/>
      <w:marLeft w:val="0"/>
      <w:marRight w:val="0"/>
      <w:marTop w:val="0"/>
      <w:marBottom w:val="0"/>
      <w:divBdr>
        <w:top w:val="none" w:sz="0" w:space="0" w:color="auto"/>
        <w:left w:val="none" w:sz="0" w:space="0" w:color="auto"/>
        <w:bottom w:val="none" w:sz="0" w:space="0" w:color="auto"/>
        <w:right w:val="none" w:sz="0" w:space="0" w:color="auto"/>
      </w:divBdr>
    </w:div>
    <w:div w:id="1565334320">
      <w:bodyDiv w:val="1"/>
      <w:marLeft w:val="0"/>
      <w:marRight w:val="0"/>
      <w:marTop w:val="0"/>
      <w:marBottom w:val="0"/>
      <w:divBdr>
        <w:top w:val="none" w:sz="0" w:space="0" w:color="auto"/>
        <w:left w:val="none" w:sz="0" w:space="0" w:color="auto"/>
        <w:bottom w:val="none" w:sz="0" w:space="0" w:color="auto"/>
        <w:right w:val="none" w:sz="0" w:space="0" w:color="auto"/>
      </w:divBdr>
    </w:div>
    <w:div w:id="1566525805">
      <w:bodyDiv w:val="1"/>
      <w:marLeft w:val="0"/>
      <w:marRight w:val="0"/>
      <w:marTop w:val="0"/>
      <w:marBottom w:val="0"/>
      <w:divBdr>
        <w:top w:val="none" w:sz="0" w:space="0" w:color="auto"/>
        <w:left w:val="none" w:sz="0" w:space="0" w:color="auto"/>
        <w:bottom w:val="none" w:sz="0" w:space="0" w:color="auto"/>
        <w:right w:val="none" w:sz="0" w:space="0" w:color="auto"/>
      </w:divBdr>
    </w:div>
    <w:div w:id="1575118154">
      <w:bodyDiv w:val="1"/>
      <w:marLeft w:val="0"/>
      <w:marRight w:val="0"/>
      <w:marTop w:val="0"/>
      <w:marBottom w:val="0"/>
      <w:divBdr>
        <w:top w:val="none" w:sz="0" w:space="0" w:color="auto"/>
        <w:left w:val="none" w:sz="0" w:space="0" w:color="auto"/>
        <w:bottom w:val="none" w:sz="0" w:space="0" w:color="auto"/>
        <w:right w:val="none" w:sz="0" w:space="0" w:color="auto"/>
      </w:divBdr>
    </w:div>
    <w:div w:id="1582711228">
      <w:bodyDiv w:val="1"/>
      <w:marLeft w:val="0"/>
      <w:marRight w:val="0"/>
      <w:marTop w:val="0"/>
      <w:marBottom w:val="0"/>
      <w:divBdr>
        <w:top w:val="none" w:sz="0" w:space="0" w:color="auto"/>
        <w:left w:val="none" w:sz="0" w:space="0" w:color="auto"/>
        <w:bottom w:val="none" w:sz="0" w:space="0" w:color="auto"/>
        <w:right w:val="none" w:sz="0" w:space="0" w:color="auto"/>
      </w:divBdr>
    </w:div>
    <w:div w:id="1595749288">
      <w:bodyDiv w:val="1"/>
      <w:marLeft w:val="0"/>
      <w:marRight w:val="0"/>
      <w:marTop w:val="0"/>
      <w:marBottom w:val="0"/>
      <w:divBdr>
        <w:top w:val="none" w:sz="0" w:space="0" w:color="auto"/>
        <w:left w:val="none" w:sz="0" w:space="0" w:color="auto"/>
        <w:bottom w:val="none" w:sz="0" w:space="0" w:color="auto"/>
        <w:right w:val="none" w:sz="0" w:space="0" w:color="auto"/>
      </w:divBdr>
    </w:div>
    <w:div w:id="1611012991">
      <w:bodyDiv w:val="1"/>
      <w:marLeft w:val="0"/>
      <w:marRight w:val="0"/>
      <w:marTop w:val="0"/>
      <w:marBottom w:val="0"/>
      <w:divBdr>
        <w:top w:val="none" w:sz="0" w:space="0" w:color="auto"/>
        <w:left w:val="none" w:sz="0" w:space="0" w:color="auto"/>
        <w:bottom w:val="none" w:sz="0" w:space="0" w:color="auto"/>
        <w:right w:val="none" w:sz="0" w:space="0" w:color="auto"/>
      </w:divBdr>
    </w:div>
    <w:div w:id="1615137110">
      <w:bodyDiv w:val="1"/>
      <w:marLeft w:val="0"/>
      <w:marRight w:val="0"/>
      <w:marTop w:val="0"/>
      <w:marBottom w:val="0"/>
      <w:divBdr>
        <w:top w:val="none" w:sz="0" w:space="0" w:color="auto"/>
        <w:left w:val="none" w:sz="0" w:space="0" w:color="auto"/>
        <w:bottom w:val="none" w:sz="0" w:space="0" w:color="auto"/>
        <w:right w:val="none" w:sz="0" w:space="0" w:color="auto"/>
      </w:divBdr>
    </w:div>
    <w:div w:id="1627158105">
      <w:bodyDiv w:val="1"/>
      <w:marLeft w:val="0"/>
      <w:marRight w:val="0"/>
      <w:marTop w:val="0"/>
      <w:marBottom w:val="0"/>
      <w:divBdr>
        <w:top w:val="none" w:sz="0" w:space="0" w:color="auto"/>
        <w:left w:val="none" w:sz="0" w:space="0" w:color="auto"/>
        <w:bottom w:val="none" w:sz="0" w:space="0" w:color="auto"/>
        <w:right w:val="none" w:sz="0" w:space="0" w:color="auto"/>
      </w:divBdr>
    </w:div>
    <w:div w:id="1646741428">
      <w:bodyDiv w:val="1"/>
      <w:marLeft w:val="0"/>
      <w:marRight w:val="0"/>
      <w:marTop w:val="0"/>
      <w:marBottom w:val="0"/>
      <w:divBdr>
        <w:top w:val="none" w:sz="0" w:space="0" w:color="auto"/>
        <w:left w:val="none" w:sz="0" w:space="0" w:color="auto"/>
        <w:bottom w:val="none" w:sz="0" w:space="0" w:color="auto"/>
        <w:right w:val="none" w:sz="0" w:space="0" w:color="auto"/>
      </w:divBdr>
    </w:div>
    <w:div w:id="1648123762">
      <w:bodyDiv w:val="1"/>
      <w:marLeft w:val="0"/>
      <w:marRight w:val="0"/>
      <w:marTop w:val="0"/>
      <w:marBottom w:val="0"/>
      <w:divBdr>
        <w:top w:val="none" w:sz="0" w:space="0" w:color="auto"/>
        <w:left w:val="none" w:sz="0" w:space="0" w:color="auto"/>
        <w:bottom w:val="none" w:sz="0" w:space="0" w:color="auto"/>
        <w:right w:val="none" w:sz="0" w:space="0" w:color="auto"/>
      </w:divBdr>
    </w:div>
    <w:div w:id="1663507379">
      <w:bodyDiv w:val="1"/>
      <w:marLeft w:val="0"/>
      <w:marRight w:val="0"/>
      <w:marTop w:val="0"/>
      <w:marBottom w:val="0"/>
      <w:divBdr>
        <w:top w:val="none" w:sz="0" w:space="0" w:color="auto"/>
        <w:left w:val="none" w:sz="0" w:space="0" w:color="auto"/>
        <w:bottom w:val="none" w:sz="0" w:space="0" w:color="auto"/>
        <w:right w:val="none" w:sz="0" w:space="0" w:color="auto"/>
      </w:divBdr>
    </w:div>
    <w:div w:id="1663658906">
      <w:bodyDiv w:val="1"/>
      <w:marLeft w:val="0"/>
      <w:marRight w:val="0"/>
      <w:marTop w:val="0"/>
      <w:marBottom w:val="0"/>
      <w:divBdr>
        <w:top w:val="none" w:sz="0" w:space="0" w:color="auto"/>
        <w:left w:val="none" w:sz="0" w:space="0" w:color="auto"/>
        <w:bottom w:val="none" w:sz="0" w:space="0" w:color="auto"/>
        <w:right w:val="none" w:sz="0" w:space="0" w:color="auto"/>
      </w:divBdr>
    </w:div>
    <w:div w:id="1670521890">
      <w:bodyDiv w:val="1"/>
      <w:marLeft w:val="0"/>
      <w:marRight w:val="0"/>
      <w:marTop w:val="0"/>
      <w:marBottom w:val="0"/>
      <w:divBdr>
        <w:top w:val="none" w:sz="0" w:space="0" w:color="auto"/>
        <w:left w:val="none" w:sz="0" w:space="0" w:color="auto"/>
        <w:bottom w:val="none" w:sz="0" w:space="0" w:color="auto"/>
        <w:right w:val="none" w:sz="0" w:space="0" w:color="auto"/>
      </w:divBdr>
    </w:div>
    <w:div w:id="1686783142">
      <w:bodyDiv w:val="1"/>
      <w:marLeft w:val="0"/>
      <w:marRight w:val="0"/>
      <w:marTop w:val="0"/>
      <w:marBottom w:val="0"/>
      <w:divBdr>
        <w:top w:val="none" w:sz="0" w:space="0" w:color="auto"/>
        <w:left w:val="none" w:sz="0" w:space="0" w:color="auto"/>
        <w:bottom w:val="none" w:sz="0" w:space="0" w:color="auto"/>
        <w:right w:val="none" w:sz="0" w:space="0" w:color="auto"/>
      </w:divBdr>
    </w:div>
    <w:div w:id="1688406740">
      <w:bodyDiv w:val="1"/>
      <w:marLeft w:val="0"/>
      <w:marRight w:val="0"/>
      <w:marTop w:val="0"/>
      <w:marBottom w:val="0"/>
      <w:divBdr>
        <w:top w:val="none" w:sz="0" w:space="0" w:color="auto"/>
        <w:left w:val="none" w:sz="0" w:space="0" w:color="auto"/>
        <w:bottom w:val="none" w:sz="0" w:space="0" w:color="auto"/>
        <w:right w:val="none" w:sz="0" w:space="0" w:color="auto"/>
      </w:divBdr>
    </w:div>
    <w:div w:id="1691639652">
      <w:bodyDiv w:val="1"/>
      <w:marLeft w:val="0"/>
      <w:marRight w:val="0"/>
      <w:marTop w:val="0"/>
      <w:marBottom w:val="0"/>
      <w:divBdr>
        <w:top w:val="none" w:sz="0" w:space="0" w:color="auto"/>
        <w:left w:val="none" w:sz="0" w:space="0" w:color="auto"/>
        <w:bottom w:val="none" w:sz="0" w:space="0" w:color="auto"/>
        <w:right w:val="none" w:sz="0" w:space="0" w:color="auto"/>
      </w:divBdr>
    </w:div>
    <w:div w:id="1704791778">
      <w:bodyDiv w:val="1"/>
      <w:marLeft w:val="0"/>
      <w:marRight w:val="0"/>
      <w:marTop w:val="0"/>
      <w:marBottom w:val="0"/>
      <w:divBdr>
        <w:top w:val="none" w:sz="0" w:space="0" w:color="auto"/>
        <w:left w:val="none" w:sz="0" w:space="0" w:color="auto"/>
        <w:bottom w:val="none" w:sz="0" w:space="0" w:color="auto"/>
        <w:right w:val="none" w:sz="0" w:space="0" w:color="auto"/>
      </w:divBdr>
    </w:div>
    <w:div w:id="1705400603">
      <w:bodyDiv w:val="1"/>
      <w:marLeft w:val="0"/>
      <w:marRight w:val="0"/>
      <w:marTop w:val="0"/>
      <w:marBottom w:val="0"/>
      <w:divBdr>
        <w:top w:val="none" w:sz="0" w:space="0" w:color="auto"/>
        <w:left w:val="none" w:sz="0" w:space="0" w:color="auto"/>
        <w:bottom w:val="none" w:sz="0" w:space="0" w:color="auto"/>
        <w:right w:val="none" w:sz="0" w:space="0" w:color="auto"/>
      </w:divBdr>
    </w:div>
    <w:div w:id="1711881009">
      <w:bodyDiv w:val="1"/>
      <w:marLeft w:val="0"/>
      <w:marRight w:val="0"/>
      <w:marTop w:val="0"/>
      <w:marBottom w:val="0"/>
      <w:divBdr>
        <w:top w:val="none" w:sz="0" w:space="0" w:color="auto"/>
        <w:left w:val="none" w:sz="0" w:space="0" w:color="auto"/>
        <w:bottom w:val="none" w:sz="0" w:space="0" w:color="auto"/>
        <w:right w:val="none" w:sz="0" w:space="0" w:color="auto"/>
      </w:divBdr>
    </w:div>
    <w:div w:id="1713917957">
      <w:bodyDiv w:val="1"/>
      <w:marLeft w:val="0"/>
      <w:marRight w:val="0"/>
      <w:marTop w:val="0"/>
      <w:marBottom w:val="0"/>
      <w:divBdr>
        <w:top w:val="none" w:sz="0" w:space="0" w:color="auto"/>
        <w:left w:val="none" w:sz="0" w:space="0" w:color="auto"/>
        <w:bottom w:val="none" w:sz="0" w:space="0" w:color="auto"/>
        <w:right w:val="none" w:sz="0" w:space="0" w:color="auto"/>
      </w:divBdr>
    </w:div>
    <w:div w:id="1714115064">
      <w:bodyDiv w:val="1"/>
      <w:marLeft w:val="0"/>
      <w:marRight w:val="0"/>
      <w:marTop w:val="0"/>
      <w:marBottom w:val="0"/>
      <w:divBdr>
        <w:top w:val="none" w:sz="0" w:space="0" w:color="auto"/>
        <w:left w:val="none" w:sz="0" w:space="0" w:color="auto"/>
        <w:bottom w:val="none" w:sz="0" w:space="0" w:color="auto"/>
        <w:right w:val="none" w:sz="0" w:space="0" w:color="auto"/>
      </w:divBdr>
    </w:div>
    <w:div w:id="1727753745">
      <w:bodyDiv w:val="1"/>
      <w:marLeft w:val="0"/>
      <w:marRight w:val="0"/>
      <w:marTop w:val="0"/>
      <w:marBottom w:val="0"/>
      <w:divBdr>
        <w:top w:val="none" w:sz="0" w:space="0" w:color="auto"/>
        <w:left w:val="none" w:sz="0" w:space="0" w:color="auto"/>
        <w:bottom w:val="none" w:sz="0" w:space="0" w:color="auto"/>
        <w:right w:val="none" w:sz="0" w:space="0" w:color="auto"/>
      </w:divBdr>
    </w:div>
    <w:div w:id="1730180707">
      <w:bodyDiv w:val="1"/>
      <w:marLeft w:val="0"/>
      <w:marRight w:val="0"/>
      <w:marTop w:val="0"/>
      <w:marBottom w:val="0"/>
      <w:divBdr>
        <w:top w:val="none" w:sz="0" w:space="0" w:color="auto"/>
        <w:left w:val="none" w:sz="0" w:space="0" w:color="auto"/>
        <w:bottom w:val="none" w:sz="0" w:space="0" w:color="auto"/>
        <w:right w:val="none" w:sz="0" w:space="0" w:color="auto"/>
      </w:divBdr>
    </w:div>
    <w:div w:id="1739478888">
      <w:bodyDiv w:val="1"/>
      <w:marLeft w:val="0"/>
      <w:marRight w:val="0"/>
      <w:marTop w:val="0"/>
      <w:marBottom w:val="0"/>
      <w:divBdr>
        <w:top w:val="none" w:sz="0" w:space="0" w:color="auto"/>
        <w:left w:val="none" w:sz="0" w:space="0" w:color="auto"/>
        <w:bottom w:val="none" w:sz="0" w:space="0" w:color="auto"/>
        <w:right w:val="none" w:sz="0" w:space="0" w:color="auto"/>
      </w:divBdr>
    </w:div>
    <w:div w:id="1744445355">
      <w:bodyDiv w:val="1"/>
      <w:marLeft w:val="0"/>
      <w:marRight w:val="0"/>
      <w:marTop w:val="0"/>
      <w:marBottom w:val="0"/>
      <w:divBdr>
        <w:top w:val="none" w:sz="0" w:space="0" w:color="auto"/>
        <w:left w:val="none" w:sz="0" w:space="0" w:color="auto"/>
        <w:bottom w:val="none" w:sz="0" w:space="0" w:color="auto"/>
        <w:right w:val="none" w:sz="0" w:space="0" w:color="auto"/>
      </w:divBdr>
    </w:div>
    <w:div w:id="1744454191">
      <w:bodyDiv w:val="1"/>
      <w:marLeft w:val="0"/>
      <w:marRight w:val="0"/>
      <w:marTop w:val="0"/>
      <w:marBottom w:val="0"/>
      <w:divBdr>
        <w:top w:val="none" w:sz="0" w:space="0" w:color="auto"/>
        <w:left w:val="none" w:sz="0" w:space="0" w:color="auto"/>
        <w:bottom w:val="none" w:sz="0" w:space="0" w:color="auto"/>
        <w:right w:val="none" w:sz="0" w:space="0" w:color="auto"/>
      </w:divBdr>
    </w:div>
    <w:div w:id="1745179450">
      <w:bodyDiv w:val="1"/>
      <w:marLeft w:val="0"/>
      <w:marRight w:val="0"/>
      <w:marTop w:val="0"/>
      <w:marBottom w:val="0"/>
      <w:divBdr>
        <w:top w:val="none" w:sz="0" w:space="0" w:color="auto"/>
        <w:left w:val="none" w:sz="0" w:space="0" w:color="auto"/>
        <w:bottom w:val="none" w:sz="0" w:space="0" w:color="auto"/>
        <w:right w:val="none" w:sz="0" w:space="0" w:color="auto"/>
      </w:divBdr>
    </w:div>
    <w:div w:id="1777403382">
      <w:bodyDiv w:val="1"/>
      <w:marLeft w:val="0"/>
      <w:marRight w:val="0"/>
      <w:marTop w:val="0"/>
      <w:marBottom w:val="0"/>
      <w:divBdr>
        <w:top w:val="none" w:sz="0" w:space="0" w:color="auto"/>
        <w:left w:val="none" w:sz="0" w:space="0" w:color="auto"/>
        <w:bottom w:val="none" w:sz="0" w:space="0" w:color="auto"/>
        <w:right w:val="none" w:sz="0" w:space="0" w:color="auto"/>
      </w:divBdr>
    </w:div>
    <w:div w:id="1787381990">
      <w:bodyDiv w:val="1"/>
      <w:marLeft w:val="0"/>
      <w:marRight w:val="0"/>
      <w:marTop w:val="0"/>
      <w:marBottom w:val="0"/>
      <w:divBdr>
        <w:top w:val="none" w:sz="0" w:space="0" w:color="auto"/>
        <w:left w:val="none" w:sz="0" w:space="0" w:color="auto"/>
        <w:bottom w:val="none" w:sz="0" w:space="0" w:color="auto"/>
        <w:right w:val="none" w:sz="0" w:space="0" w:color="auto"/>
      </w:divBdr>
    </w:div>
    <w:div w:id="1788619130">
      <w:bodyDiv w:val="1"/>
      <w:marLeft w:val="0"/>
      <w:marRight w:val="0"/>
      <w:marTop w:val="0"/>
      <w:marBottom w:val="0"/>
      <w:divBdr>
        <w:top w:val="none" w:sz="0" w:space="0" w:color="auto"/>
        <w:left w:val="none" w:sz="0" w:space="0" w:color="auto"/>
        <w:bottom w:val="none" w:sz="0" w:space="0" w:color="auto"/>
        <w:right w:val="none" w:sz="0" w:space="0" w:color="auto"/>
      </w:divBdr>
    </w:div>
    <w:div w:id="1789811142">
      <w:bodyDiv w:val="1"/>
      <w:marLeft w:val="0"/>
      <w:marRight w:val="0"/>
      <w:marTop w:val="0"/>
      <w:marBottom w:val="0"/>
      <w:divBdr>
        <w:top w:val="none" w:sz="0" w:space="0" w:color="auto"/>
        <w:left w:val="none" w:sz="0" w:space="0" w:color="auto"/>
        <w:bottom w:val="none" w:sz="0" w:space="0" w:color="auto"/>
        <w:right w:val="none" w:sz="0" w:space="0" w:color="auto"/>
      </w:divBdr>
    </w:div>
    <w:div w:id="1801607353">
      <w:bodyDiv w:val="1"/>
      <w:marLeft w:val="0"/>
      <w:marRight w:val="0"/>
      <w:marTop w:val="0"/>
      <w:marBottom w:val="0"/>
      <w:divBdr>
        <w:top w:val="none" w:sz="0" w:space="0" w:color="auto"/>
        <w:left w:val="none" w:sz="0" w:space="0" w:color="auto"/>
        <w:bottom w:val="none" w:sz="0" w:space="0" w:color="auto"/>
        <w:right w:val="none" w:sz="0" w:space="0" w:color="auto"/>
      </w:divBdr>
    </w:div>
    <w:div w:id="1802648237">
      <w:bodyDiv w:val="1"/>
      <w:marLeft w:val="0"/>
      <w:marRight w:val="0"/>
      <w:marTop w:val="0"/>
      <w:marBottom w:val="0"/>
      <w:divBdr>
        <w:top w:val="none" w:sz="0" w:space="0" w:color="auto"/>
        <w:left w:val="none" w:sz="0" w:space="0" w:color="auto"/>
        <w:bottom w:val="none" w:sz="0" w:space="0" w:color="auto"/>
        <w:right w:val="none" w:sz="0" w:space="0" w:color="auto"/>
      </w:divBdr>
    </w:div>
    <w:div w:id="1812016702">
      <w:bodyDiv w:val="1"/>
      <w:marLeft w:val="0"/>
      <w:marRight w:val="0"/>
      <w:marTop w:val="0"/>
      <w:marBottom w:val="0"/>
      <w:divBdr>
        <w:top w:val="none" w:sz="0" w:space="0" w:color="auto"/>
        <w:left w:val="none" w:sz="0" w:space="0" w:color="auto"/>
        <w:bottom w:val="none" w:sz="0" w:space="0" w:color="auto"/>
        <w:right w:val="none" w:sz="0" w:space="0" w:color="auto"/>
      </w:divBdr>
    </w:div>
    <w:div w:id="1825200455">
      <w:bodyDiv w:val="1"/>
      <w:marLeft w:val="0"/>
      <w:marRight w:val="0"/>
      <w:marTop w:val="0"/>
      <w:marBottom w:val="0"/>
      <w:divBdr>
        <w:top w:val="none" w:sz="0" w:space="0" w:color="auto"/>
        <w:left w:val="none" w:sz="0" w:space="0" w:color="auto"/>
        <w:bottom w:val="none" w:sz="0" w:space="0" w:color="auto"/>
        <w:right w:val="none" w:sz="0" w:space="0" w:color="auto"/>
      </w:divBdr>
    </w:div>
    <w:div w:id="1839419915">
      <w:bodyDiv w:val="1"/>
      <w:marLeft w:val="0"/>
      <w:marRight w:val="0"/>
      <w:marTop w:val="0"/>
      <w:marBottom w:val="0"/>
      <w:divBdr>
        <w:top w:val="none" w:sz="0" w:space="0" w:color="auto"/>
        <w:left w:val="none" w:sz="0" w:space="0" w:color="auto"/>
        <w:bottom w:val="none" w:sz="0" w:space="0" w:color="auto"/>
        <w:right w:val="none" w:sz="0" w:space="0" w:color="auto"/>
      </w:divBdr>
    </w:div>
    <w:div w:id="1839809331">
      <w:bodyDiv w:val="1"/>
      <w:marLeft w:val="0"/>
      <w:marRight w:val="0"/>
      <w:marTop w:val="0"/>
      <w:marBottom w:val="0"/>
      <w:divBdr>
        <w:top w:val="none" w:sz="0" w:space="0" w:color="auto"/>
        <w:left w:val="none" w:sz="0" w:space="0" w:color="auto"/>
        <w:bottom w:val="none" w:sz="0" w:space="0" w:color="auto"/>
        <w:right w:val="none" w:sz="0" w:space="0" w:color="auto"/>
      </w:divBdr>
    </w:div>
    <w:div w:id="1844857853">
      <w:bodyDiv w:val="1"/>
      <w:marLeft w:val="0"/>
      <w:marRight w:val="0"/>
      <w:marTop w:val="0"/>
      <w:marBottom w:val="0"/>
      <w:divBdr>
        <w:top w:val="none" w:sz="0" w:space="0" w:color="auto"/>
        <w:left w:val="none" w:sz="0" w:space="0" w:color="auto"/>
        <w:bottom w:val="none" w:sz="0" w:space="0" w:color="auto"/>
        <w:right w:val="none" w:sz="0" w:space="0" w:color="auto"/>
      </w:divBdr>
    </w:div>
    <w:div w:id="1845246355">
      <w:bodyDiv w:val="1"/>
      <w:marLeft w:val="0"/>
      <w:marRight w:val="0"/>
      <w:marTop w:val="0"/>
      <w:marBottom w:val="0"/>
      <w:divBdr>
        <w:top w:val="none" w:sz="0" w:space="0" w:color="auto"/>
        <w:left w:val="none" w:sz="0" w:space="0" w:color="auto"/>
        <w:bottom w:val="none" w:sz="0" w:space="0" w:color="auto"/>
        <w:right w:val="none" w:sz="0" w:space="0" w:color="auto"/>
      </w:divBdr>
    </w:div>
    <w:div w:id="1845391759">
      <w:bodyDiv w:val="1"/>
      <w:marLeft w:val="0"/>
      <w:marRight w:val="0"/>
      <w:marTop w:val="0"/>
      <w:marBottom w:val="0"/>
      <w:divBdr>
        <w:top w:val="none" w:sz="0" w:space="0" w:color="auto"/>
        <w:left w:val="none" w:sz="0" w:space="0" w:color="auto"/>
        <w:bottom w:val="none" w:sz="0" w:space="0" w:color="auto"/>
        <w:right w:val="none" w:sz="0" w:space="0" w:color="auto"/>
      </w:divBdr>
    </w:div>
    <w:div w:id="1849295551">
      <w:bodyDiv w:val="1"/>
      <w:marLeft w:val="0"/>
      <w:marRight w:val="0"/>
      <w:marTop w:val="0"/>
      <w:marBottom w:val="0"/>
      <w:divBdr>
        <w:top w:val="none" w:sz="0" w:space="0" w:color="auto"/>
        <w:left w:val="none" w:sz="0" w:space="0" w:color="auto"/>
        <w:bottom w:val="none" w:sz="0" w:space="0" w:color="auto"/>
        <w:right w:val="none" w:sz="0" w:space="0" w:color="auto"/>
      </w:divBdr>
    </w:div>
    <w:div w:id="1858076996">
      <w:bodyDiv w:val="1"/>
      <w:marLeft w:val="0"/>
      <w:marRight w:val="0"/>
      <w:marTop w:val="0"/>
      <w:marBottom w:val="0"/>
      <w:divBdr>
        <w:top w:val="none" w:sz="0" w:space="0" w:color="auto"/>
        <w:left w:val="none" w:sz="0" w:space="0" w:color="auto"/>
        <w:bottom w:val="none" w:sz="0" w:space="0" w:color="auto"/>
        <w:right w:val="none" w:sz="0" w:space="0" w:color="auto"/>
      </w:divBdr>
    </w:div>
    <w:div w:id="1862284657">
      <w:bodyDiv w:val="1"/>
      <w:marLeft w:val="0"/>
      <w:marRight w:val="0"/>
      <w:marTop w:val="0"/>
      <w:marBottom w:val="0"/>
      <w:divBdr>
        <w:top w:val="none" w:sz="0" w:space="0" w:color="auto"/>
        <w:left w:val="none" w:sz="0" w:space="0" w:color="auto"/>
        <w:bottom w:val="none" w:sz="0" w:space="0" w:color="auto"/>
        <w:right w:val="none" w:sz="0" w:space="0" w:color="auto"/>
      </w:divBdr>
    </w:div>
    <w:div w:id="1881473850">
      <w:bodyDiv w:val="1"/>
      <w:marLeft w:val="0"/>
      <w:marRight w:val="0"/>
      <w:marTop w:val="0"/>
      <w:marBottom w:val="0"/>
      <w:divBdr>
        <w:top w:val="none" w:sz="0" w:space="0" w:color="auto"/>
        <w:left w:val="none" w:sz="0" w:space="0" w:color="auto"/>
        <w:bottom w:val="none" w:sz="0" w:space="0" w:color="auto"/>
        <w:right w:val="none" w:sz="0" w:space="0" w:color="auto"/>
      </w:divBdr>
    </w:div>
    <w:div w:id="1882134596">
      <w:bodyDiv w:val="1"/>
      <w:marLeft w:val="0"/>
      <w:marRight w:val="0"/>
      <w:marTop w:val="0"/>
      <w:marBottom w:val="0"/>
      <w:divBdr>
        <w:top w:val="none" w:sz="0" w:space="0" w:color="auto"/>
        <w:left w:val="none" w:sz="0" w:space="0" w:color="auto"/>
        <w:bottom w:val="none" w:sz="0" w:space="0" w:color="auto"/>
        <w:right w:val="none" w:sz="0" w:space="0" w:color="auto"/>
      </w:divBdr>
    </w:div>
    <w:div w:id="1884095792">
      <w:bodyDiv w:val="1"/>
      <w:marLeft w:val="0"/>
      <w:marRight w:val="0"/>
      <w:marTop w:val="0"/>
      <w:marBottom w:val="0"/>
      <w:divBdr>
        <w:top w:val="none" w:sz="0" w:space="0" w:color="auto"/>
        <w:left w:val="none" w:sz="0" w:space="0" w:color="auto"/>
        <w:bottom w:val="none" w:sz="0" w:space="0" w:color="auto"/>
        <w:right w:val="none" w:sz="0" w:space="0" w:color="auto"/>
      </w:divBdr>
    </w:div>
    <w:div w:id="1893273709">
      <w:bodyDiv w:val="1"/>
      <w:marLeft w:val="0"/>
      <w:marRight w:val="0"/>
      <w:marTop w:val="0"/>
      <w:marBottom w:val="0"/>
      <w:divBdr>
        <w:top w:val="none" w:sz="0" w:space="0" w:color="auto"/>
        <w:left w:val="none" w:sz="0" w:space="0" w:color="auto"/>
        <w:bottom w:val="none" w:sz="0" w:space="0" w:color="auto"/>
        <w:right w:val="none" w:sz="0" w:space="0" w:color="auto"/>
      </w:divBdr>
    </w:div>
    <w:div w:id="1929074753">
      <w:bodyDiv w:val="1"/>
      <w:marLeft w:val="0"/>
      <w:marRight w:val="0"/>
      <w:marTop w:val="0"/>
      <w:marBottom w:val="0"/>
      <w:divBdr>
        <w:top w:val="none" w:sz="0" w:space="0" w:color="auto"/>
        <w:left w:val="none" w:sz="0" w:space="0" w:color="auto"/>
        <w:bottom w:val="none" w:sz="0" w:space="0" w:color="auto"/>
        <w:right w:val="none" w:sz="0" w:space="0" w:color="auto"/>
      </w:divBdr>
    </w:div>
    <w:div w:id="1974403645">
      <w:bodyDiv w:val="1"/>
      <w:marLeft w:val="0"/>
      <w:marRight w:val="0"/>
      <w:marTop w:val="0"/>
      <w:marBottom w:val="0"/>
      <w:divBdr>
        <w:top w:val="none" w:sz="0" w:space="0" w:color="auto"/>
        <w:left w:val="none" w:sz="0" w:space="0" w:color="auto"/>
        <w:bottom w:val="none" w:sz="0" w:space="0" w:color="auto"/>
        <w:right w:val="none" w:sz="0" w:space="0" w:color="auto"/>
      </w:divBdr>
    </w:div>
    <w:div w:id="1984693161">
      <w:bodyDiv w:val="1"/>
      <w:marLeft w:val="0"/>
      <w:marRight w:val="0"/>
      <w:marTop w:val="0"/>
      <w:marBottom w:val="0"/>
      <w:divBdr>
        <w:top w:val="none" w:sz="0" w:space="0" w:color="auto"/>
        <w:left w:val="none" w:sz="0" w:space="0" w:color="auto"/>
        <w:bottom w:val="none" w:sz="0" w:space="0" w:color="auto"/>
        <w:right w:val="none" w:sz="0" w:space="0" w:color="auto"/>
      </w:divBdr>
    </w:div>
    <w:div w:id="1986540378">
      <w:bodyDiv w:val="1"/>
      <w:marLeft w:val="0"/>
      <w:marRight w:val="0"/>
      <w:marTop w:val="0"/>
      <w:marBottom w:val="0"/>
      <w:divBdr>
        <w:top w:val="none" w:sz="0" w:space="0" w:color="auto"/>
        <w:left w:val="none" w:sz="0" w:space="0" w:color="auto"/>
        <w:bottom w:val="none" w:sz="0" w:space="0" w:color="auto"/>
        <w:right w:val="none" w:sz="0" w:space="0" w:color="auto"/>
      </w:divBdr>
    </w:div>
    <w:div w:id="1987397848">
      <w:bodyDiv w:val="1"/>
      <w:marLeft w:val="0"/>
      <w:marRight w:val="0"/>
      <w:marTop w:val="0"/>
      <w:marBottom w:val="0"/>
      <w:divBdr>
        <w:top w:val="none" w:sz="0" w:space="0" w:color="auto"/>
        <w:left w:val="none" w:sz="0" w:space="0" w:color="auto"/>
        <w:bottom w:val="none" w:sz="0" w:space="0" w:color="auto"/>
        <w:right w:val="none" w:sz="0" w:space="0" w:color="auto"/>
      </w:divBdr>
    </w:div>
    <w:div w:id="2000304148">
      <w:bodyDiv w:val="1"/>
      <w:marLeft w:val="0"/>
      <w:marRight w:val="0"/>
      <w:marTop w:val="0"/>
      <w:marBottom w:val="0"/>
      <w:divBdr>
        <w:top w:val="none" w:sz="0" w:space="0" w:color="auto"/>
        <w:left w:val="none" w:sz="0" w:space="0" w:color="auto"/>
        <w:bottom w:val="none" w:sz="0" w:space="0" w:color="auto"/>
        <w:right w:val="none" w:sz="0" w:space="0" w:color="auto"/>
      </w:divBdr>
    </w:div>
    <w:div w:id="2010136204">
      <w:bodyDiv w:val="1"/>
      <w:marLeft w:val="0"/>
      <w:marRight w:val="0"/>
      <w:marTop w:val="0"/>
      <w:marBottom w:val="0"/>
      <w:divBdr>
        <w:top w:val="none" w:sz="0" w:space="0" w:color="auto"/>
        <w:left w:val="none" w:sz="0" w:space="0" w:color="auto"/>
        <w:bottom w:val="none" w:sz="0" w:space="0" w:color="auto"/>
        <w:right w:val="none" w:sz="0" w:space="0" w:color="auto"/>
      </w:divBdr>
    </w:div>
    <w:div w:id="2010598756">
      <w:bodyDiv w:val="1"/>
      <w:marLeft w:val="0"/>
      <w:marRight w:val="0"/>
      <w:marTop w:val="0"/>
      <w:marBottom w:val="0"/>
      <w:divBdr>
        <w:top w:val="none" w:sz="0" w:space="0" w:color="auto"/>
        <w:left w:val="none" w:sz="0" w:space="0" w:color="auto"/>
        <w:bottom w:val="none" w:sz="0" w:space="0" w:color="auto"/>
        <w:right w:val="none" w:sz="0" w:space="0" w:color="auto"/>
      </w:divBdr>
    </w:div>
    <w:div w:id="2038306723">
      <w:bodyDiv w:val="1"/>
      <w:marLeft w:val="0"/>
      <w:marRight w:val="0"/>
      <w:marTop w:val="0"/>
      <w:marBottom w:val="0"/>
      <w:divBdr>
        <w:top w:val="none" w:sz="0" w:space="0" w:color="auto"/>
        <w:left w:val="none" w:sz="0" w:space="0" w:color="auto"/>
        <w:bottom w:val="none" w:sz="0" w:space="0" w:color="auto"/>
        <w:right w:val="none" w:sz="0" w:space="0" w:color="auto"/>
      </w:divBdr>
    </w:div>
    <w:div w:id="2048792919">
      <w:bodyDiv w:val="1"/>
      <w:marLeft w:val="0"/>
      <w:marRight w:val="0"/>
      <w:marTop w:val="0"/>
      <w:marBottom w:val="0"/>
      <w:divBdr>
        <w:top w:val="none" w:sz="0" w:space="0" w:color="auto"/>
        <w:left w:val="none" w:sz="0" w:space="0" w:color="auto"/>
        <w:bottom w:val="none" w:sz="0" w:space="0" w:color="auto"/>
        <w:right w:val="none" w:sz="0" w:space="0" w:color="auto"/>
      </w:divBdr>
    </w:div>
    <w:div w:id="2076657332">
      <w:bodyDiv w:val="1"/>
      <w:marLeft w:val="0"/>
      <w:marRight w:val="0"/>
      <w:marTop w:val="0"/>
      <w:marBottom w:val="0"/>
      <w:divBdr>
        <w:top w:val="none" w:sz="0" w:space="0" w:color="auto"/>
        <w:left w:val="none" w:sz="0" w:space="0" w:color="auto"/>
        <w:bottom w:val="none" w:sz="0" w:space="0" w:color="auto"/>
        <w:right w:val="none" w:sz="0" w:space="0" w:color="auto"/>
      </w:divBdr>
    </w:div>
    <w:div w:id="2078933423">
      <w:bodyDiv w:val="1"/>
      <w:marLeft w:val="0"/>
      <w:marRight w:val="0"/>
      <w:marTop w:val="0"/>
      <w:marBottom w:val="0"/>
      <w:divBdr>
        <w:top w:val="none" w:sz="0" w:space="0" w:color="auto"/>
        <w:left w:val="none" w:sz="0" w:space="0" w:color="auto"/>
        <w:bottom w:val="none" w:sz="0" w:space="0" w:color="auto"/>
        <w:right w:val="none" w:sz="0" w:space="0" w:color="auto"/>
      </w:divBdr>
    </w:div>
    <w:div w:id="2121870285">
      <w:bodyDiv w:val="1"/>
      <w:marLeft w:val="0"/>
      <w:marRight w:val="0"/>
      <w:marTop w:val="0"/>
      <w:marBottom w:val="0"/>
      <w:divBdr>
        <w:top w:val="none" w:sz="0" w:space="0" w:color="auto"/>
        <w:left w:val="none" w:sz="0" w:space="0" w:color="auto"/>
        <w:bottom w:val="none" w:sz="0" w:space="0" w:color="auto"/>
        <w:right w:val="none" w:sz="0" w:space="0" w:color="auto"/>
      </w:divBdr>
    </w:div>
    <w:div w:id="2130584514">
      <w:bodyDiv w:val="1"/>
      <w:marLeft w:val="0"/>
      <w:marRight w:val="0"/>
      <w:marTop w:val="0"/>
      <w:marBottom w:val="0"/>
      <w:divBdr>
        <w:top w:val="none" w:sz="0" w:space="0" w:color="auto"/>
        <w:left w:val="none" w:sz="0" w:space="0" w:color="auto"/>
        <w:bottom w:val="none" w:sz="0" w:space="0" w:color="auto"/>
        <w:right w:val="none" w:sz="0" w:space="0" w:color="auto"/>
      </w:divBdr>
    </w:div>
    <w:div w:id="2134517586">
      <w:bodyDiv w:val="1"/>
      <w:marLeft w:val="0"/>
      <w:marRight w:val="0"/>
      <w:marTop w:val="0"/>
      <w:marBottom w:val="0"/>
      <w:divBdr>
        <w:top w:val="none" w:sz="0" w:space="0" w:color="auto"/>
        <w:left w:val="none" w:sz="0" w:space="0" w:color="auto"/>
        <w:bottom w:val="none" w:sz="0" w:space="0" w:color="auto"/>
        <w:right w:val="none" w:sz="0" w:space="0" w:color="auto"/>
      </w:divBdr>
    </w:div>
    <w:div w:id="2136945660">
      <w:bodyDiv w:val="1"/>
      <w:marLeft w:val="0"/>
      <w:marRight w:val="0"/>
      <w:marTop w:val="0"/>
      <w:marBottom w:val="0"/>
      <w:divBdr>
        <w:top w:val="none" w:sz="0" w:space="0" w:color="auto"/>
        <w:left w:val="none" w:sz="0" w:space="0" w:color="auto"/>
        <w:bottom w:val="none" w:sz="0" w:space="0" w:color="auto"/>
        <w:right w:val="none" w:sz="0" w:space="0" w:color="auto"/>
      </w:divBdr>
    </w:div>
    <w:div w:id="2143107875">
      <w:bodyDiv w:val="1"/>
      <w:marLeft w:val="0"/>
      <w:marRight w:val="0"/>
      <w:marTop w:val="0"/>
      <w:marBottom w:val="0"/>
      <w:divBdr>
        <w:top w:val="none" w:sz="0" w:space="0" w:color="auto"/>
        <w:left w:val="none" w:sz="0" w:space="0" w:color="auto"/>
        <w:bottom w:val="none" w:sz="0" w:space="0" w:color="auto"/>
        <w:right w:val="none" w:sz="0" w:space="0" w:color="auto"/>
      </w:divBdr>
    </w:div>
    <w:div w:id="21434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56</ap:Pages>
  <ap:Words>14304</ap:Words>
  <ap:Characters>78676</ap:Characters>
  <ap:DocSecurity>4</ap:DocSecurity>
  <ap:Lines>655</ap:Lines>
  <ap:Paragraphs>185</ap:Paragraphs>
  <ap:ScaleCrop>false</ap:ScaleCrop>
  <ap:HeadingPairs>
    <vt:vector baseType="variant" size="2">
      <vt:variant>
        <vt:lpstr>Titel</vt:lpstr>
      </vt:variant>
      <vt:variant>
        <vt:i4>1</vt:i4>
      </vt:variant>
    </vt:vector>
  </ap:HeadingPairs>
  <ap:TitlesOfParts>
    <vt:vector baseType="lpstr" size="1">
      <vt:lpstr>Bijlage x: Verticale Toelichting Najaarsnota 2010</vt:lpstr>
    </vt:vector>
  </ap:TitlesOfParts>
  <ap:LinksUpToDate>false</ap:LinksUpToDate>
  <ap:CharactersWithSpaces>92795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2018-11-29T16:00:00.0000000Z</lastPrinted>
  <dcterms:created xsi:type="dcterms:W3CDTF">2018-11-29T17:51:00.0000000Z</dcterms:created>
  <dcterms:modified xsi:type="dcterms:W3CDTF">2018-11-29T17:51:00.0000000Z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0x010100BDD69991982DAC4CA12DE34DE875F758</vt:lpwstr>
  </property>
</Properties>
</file>