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6733" w:rsidR="008521CC" w:rsidP="00D4412E" w:rsidRDefault="008521CC" w14:paraId="3DDDC61A" w14:textId="6001ACC1">
      <w:pPr>
        <w:spacing w:after="0"/>
        <w:jc w:val="both"/>
        <w:rPr>
          <w:b/>
          <w:szCs w:val="18"/>
          <w:lang w:val="nl-NL"/>
        </w:rPr>
      </w:pPr>
      <w:bookmarkStart w:name="_GoBack" w:id="0"/>
      <w:bookmarkEnd w:id="0"/>
      <w:r w:rsidRPr="00176733">
        <w:rPr>
          <w:b/>
          <w:szCs w:val="18"/>
          <w:lang w:val="nl-NL"/>
        </w:rPr>
        <w:t>GEANNOTEERD</w:t>
      </w:r>
      <w:r w:rsidR="00DC7288">
        <w:rPr>
          <w:b/>
          <w:szCs w:val="18"/>
          <w:lang w:val="nl-NL"/>
        </w:rPr>
        <w:t xml:space="preserve">E AGENDA RAAD ALGEMENE ZAKEN van 10 </w:t>
      </w:r>
      <w:r w:rsidRPr="00176733" w:rsidR="008C5A48">
        <w:rPr>
          <w:b/>
          <w:szCs w:val="18"/>
          <w:lang w:val="nl-NL"/>
        </w:rPr>
        <w:t>DEC</w:t>
      </w:r>
      <w:r w:rsidRPr="00176733" w:rsidR="006B4F87">
        <w:rPr>
          <w:b/>
          <w:szCs w:val="18"/>
          <w:lang w:val="nl-NL"/>
        </w:rPr>
        <w:t>EM</w:t>
      </w:r>
      <w:r w:rsidRPr="00176733" w:rsidR="00DD21BA">
        <w:rPr>
          <w:b/>
          <w:szCs w:val="18"/>
          <w:lang w:val="nl-NL"/>
        </w:rPr>
        <w:t>BER</w:t>
      </w:r>
      <w:r w:rsidRPr="00176733">
        <w:rPr>
          <w:b/>
          <w:szCs w:val="18"/>
          <w:lang w:val="nl-NL"/>
        </w:rPr>
        <w:t xml:space="preserve"> 2018</w:t>
      </w:r>
    </w:p>
    <w:p w:rsidRPr="00176733" w:rsidR="003D42E9" w:rsidP="00D4412E" w:rsidRDefault="003D42E9" w14:paraId="13A353F4" w14:textId="14BBEE0F">
      <w:pPr>
        <w:spacing w:after="0"/>
        <w:jc w:val="both"/>
        <w:rPr>
          <w:b/>
          <w:szCs w:val="18"/>
          <w:lang w:val="nl-NL"/>
        </w:rPr>
      </w:pPr>
    </w:p>
    <w:p w:rsidRPr="00176733" w:rsidR="00A327EF" w:rsidP="00D4412E" w:rsidRDefault="00A327EF" w14:paraId="5DCAC4EB" w14:textId="250A3516">
      <w:pPr>
        <w:spacing w:after="0"/>
        <w:jc w:val="both"/>
        <w:rPr>
          <w:b/>
          <w:szCs w:val="18"/>
          <w:lang w:val="nl-NL"/>
        </w:rPr>
      </w:pPr>
      <w:r w:rsidRPr="00176733">
        <w:rPr>
          <w:b/>
          <w:szCs w:val="18"/>
          <w:lang w:val="nl-NL"/>
        </w:rPr>
        <w:t>RAAD ALGEMENE ZAKEN</w:t>
      </w:r>
    </w:p>
    <w:p w:rsidRPr="00176733" w:rsidR="000B3B7E" w:rsidP="00D4412E" w:rsidRDefault="000B3B7E" w14:paraId="340A487C" w14:textId="6952E4BF">
      <w:pPr>
        <w:spacing w:after="0"/>
        <w:jc w:val="both"/>
        <w:rPr>
          <w:szCs w:val="18"/>
          <w:lang w:val="nl-NL"/>
        </w:rPr>
      </w:pPr>
    </w:p>
    <w:p w:rsidRPr="00176733" w:rsidR="007A16B1" w:rsidP="00D4412E" w:rsidRDefault="007A16B1" w14:paraId="7FB7AC2F" w14:textId="73253305">
      <w:pPr>
        <w:spacing w:after="0"/>
        <w:jc w:val="both"/>
        <w:rPr>
          <w:rFonts w:cs="Calibri"/>
          <w:szCs w:val="18"/>
          <w:lang w:val="nl-NL"/>
        </w:rPr>
      </w:pPr>
      <w:r w:rsidRPr="00176733">
        <w:rPr>
          <w:rFonts w:cs="Calibri"/>
          <w:b/>
          <w:szCs w:val="18"/>
          <w:lang w:val="nl-NL"/>
        </w:rPr>
        <w:t>Meerjarig Financieel Kader</w:t>
      </w:r>
      <w:r w:rsidRPr="00176733">
        <w:rPr>
          <w:rFonts w:cs="Calibri"/>
          <w:szCs w:val="18"/>
          <w:lang w:val="nl-NL"/>
        </w:rPr>
        <w:t xml:space="preserve"> </w:t>
      </w:r>
    </w:p>
    <w:p w:rsidRPr="00176733" w:rsidR="007A16B1" w:rsidP="00D4412E" w:rsidRDefault="007A16B1" w14:paraId="44558CD2" w14:textId="72F56C49">
      <w:pPr>
        <w:spacing w:after="0"/>
        <w:jc w:val="both"/>
        <w:rPr>
          <w:rFonts w:eastAsia="Times New Roman" w:cs="Calibri"/>
          <w:szCs w:val="18"/>
          <w:lang w:val="nl-NL" w:eastAsia="nl-NL"/>
        </w:rPr>
      </w:pPr>
      <w:r w:rsidRPr="00176733">
        <w:rPr>
          <w:rFonts w:eastAsia="Times New Roman" w:cs="Calibri"/>
          <w:szCs w:val="18"/>
          <w:lang w:val="nl-NL" w:eastAsia="nl-NL"/>
        </w:rPr>
        <w:t xml:space="preserve">De Raad Algemene Zaken (RAZ) zal de voortgang bespreken in de onderhandelingen over het EU Meerjarig Financieel Kader voor 2021-2027 (MFK). Naar verwachting zal de Raad een eerste discussie voeren over de integrale </w:t>
      </w:r>
      <w:r w:rsidRPr="00176733">
        <w:rPr>
          <w:rFonts w:eastAsia="Times New Roman" w:cs="Calibri"/>
          <w:i/>
          <w:szCs w:val="18"/>
          <w:lang w:val="nl-NL" w:eastAsia="nl-NL"/>
        </w:rPr>
        <w:t xml:space="preserve">negotiating box </w:t>
      </w:r>
      <w:r w:rsidRPr="00176733">
        <w:rPr>
          <w:rFonts w:eastAsia="Times New Roman" w:cs="Calibri"/>
          <w:szCs w:val="18"/>
          <w:lang w:val="nl-NL" w:eastAsia="nl-NL"/>
        </w:rPr>
        <w:t xml:space="preserve">(onderhandelingsdocument) en richting geven voor verdere aanscherping van het document. </w:t>
      </w:r>
      <w:r w:rsidRPr="00102A0E" w:rsidR="00102A0E">
        <w:rPr>
          <w:rFonts w:eastAsia="Times New Roman" w:cs="Calibri"/>
          <w:szCs w:val="18"/>
          <w:lang w:val="nl-NL" w:eastAsia="nl-NL"/>
        </w:rPr>
        <w:t xml:space="preserve">Dit document </w:t>
      </w:r>
      <w:r w:rsidR="00102A0E">
        <w:rPr>
          <w:rFonts w:eastAsia="Times New Roman" w:cs="Calibri"/>
          <w:szCs w:val="18"/>
          <w:lang w:val="nl-NL" w:eastAsia="nl-NL"/>
        </w:rPr>
        <w:t xml:space="preserve">is de afgelopen maanden </w:t>
      </w:r>
      <w:r w:rsidR="003F05BF">
        <w:rPr>
          <w:rFonts w:eastAsia="Times New Roman" w:cs="Calibri"/>
          <w:szCs w:val="18"/>
          <w:lang w:val="nl-NL" w:eastAsia="nl-NL"/>
        </w:rPr>
        <w:t>ambtelijk</w:t>
      </w:r>
      <w:r w:rsidR="0004422F">
        <w:rPr>
          <w:rFonts w:eastAsia="Times New Roman" w:cs="Calibri"/>
          <w:szCs w:val="18"/>
          <w:lang w:val="nl-NL" w:eastAsia="nl-NL"/>
        </w:rPr>
        <w:t xml:space="preserve"> </w:t>
      </w:r>
      <w:r w:rsidRPr="00102A0E" w:rsidR="00102A0E">
        <w:rPr>
          <w:rFonts w:eastAsia="Times New Roman" w:cs="Calibri"/>
          <w:szCs w:val="18"/>
          <w:lang w:val="nl-NL" w:eastAsia="nl-NL"/>
        </w:rPr>
        <w:t xml:space="preserve">stapsgewijs opgebouwd en </w:t>
      </w:r>
      <w:r w:rsidR="0004422F">
        <w:rPr>
          <w:rFonts w:eastAsia="Times New Roman" w:cs="Calibri"/>
          <w:szCs w:val="18"/>
          <w:lang w:val="nl-NL" w:eastAsia="nl-NL"/>
        </w:rPr>
        <w:t xml:space="preserve">moet </w:t>
      </w:r>
      <w:r w:rsidRPr="00102A0E" w:rsidR="00102A0E">
        <w:rPr>
          <w:rFonts w:eastAsia="Times New Roman" w:cs="Calibri"/>
          <w:szCs w:val="18"/>
          <w:lang w:val="nl-NL" w:eastAsia="nl-NL"/>
        </w:rPr>
        <w:t xml:space="preserve">alle budgettaire en politieke beslispunten </w:t>
      </w:r>
      <w:r w:rsidR="0004422F">
        <w:rPr>
          <w:rFonts w:eastAsia="Times New Roman" w:cs="Calibri"/>
          <w:szCs w:val="18"/>
          <w:lang w:val="nl-NL" w:eastAsia="nl-NL"/>
        </w:rPr>
        <w:t xml:space="preserve">bevatten </w:t>
      </w:r>
      <w:r w:rsidRPr="00102A0E" w:rsidR="00102A0E">
        <w:rPr>
          <w:rFonts w:eastAsia="Times New Roman" w:cs="Calibri"/>
          <w:szCs w:val="18"/>
          <w:lang w:val="nl-NL" w:eastAsia="nl-NL"/>
        </w:rPr>
        <w:t>die nodig zijn voor een integraal akkoord over het MFK en een nieuw Eigenmiddelen Besluit.</w:t>
      </w:r>
      <w:r w:rsidR="00102A0E">
        <w:rPr>
          <w:rFonts w:eastAsia="Times New Roman" w:cs="Calibri"/>
          <w:szCs w:val="18"/>
          <w:lang w:val="nl-NL" w:eastAsia="nl-NL"/>
        </w:rPr>
        <w:t xml:space="preserve"> </w:t>
      </w:r>
      <w:r w:rsidRPr="00176733">
        <w:rPr>
          <w:rFonts w:eastAsia="Times New Roman" w:cs="Calibri"/>
          <w:szCs w:val="18"/>
          <w:lang w:val="nl-NL" w:eastAsia="nl-NL"/>
        </w:rPr>
        <w:t xml:space="preserve">In de Europese Raad (ER) van december wordt een voortgangsrapportage </w:t>
      </w:r>
      <w:r w:rsidR="00102A0E">
        <w:rPr>
          <w:rFonts w:eastAsia="Times New Roman" w:cs="Calibri"/>
          <w:szCs w:val="18"/>
          <w:lang w:val="nl-NL" w:eastAsia="nl-NL"/>
        </w:rPr>
        <w:t xml:space="preserve">over het MFK </w:t>
      </w:r>
      <w:r w:rsidRPr="00176733">
        <w:rPr>
          <w:rFonts w:eastAsia="Times New Roman" w:cs="Calibri"/>
          <w:szCs w:val="18"/>
          <w:lang w:val="nl-NL" w:eastAsia="nl-NL"/>
        </w:rPr>
        <w:t xml:space="preserve">verwacht. </w:t>
      </w:r>
    </w:p>
    <w:p w:rsidRPr="00176733" w:rsidR="007A16B1" w:rsidP="00D4412E" w:rsidRDefault="007A16B1" w14:paraId="210836F9" w14:textId="77777777">
      <w:pPr>
        <w:spacing w:after="0"/>
        <w:jc w:val="both"/>
        <w:rPr>
          <w:rFonts w:eastAsia="Times New Roman" w:cs="Calibri"/>
          <w:szCs w:val="18"/>
          <w:lang w:val="nl-NL" w:eastAsia="nl-NL"/>
        </w:rPr>
      </w:pPr>
    </w:p>
    <w:p w:rsidRPr="00176733" w:rsidR="007A16B1" w:rsidP="00D4412E" w:rsidRDefault="007A16B1" w14:paraId="5331AA66" w14:textId="30952708">
      <w:pPr>
        <w:spacing w:after="0"/>
        <w:jc w:val="both"/>
        <w:rPr>
          <w:rFonts w:eastAsia="Times New Roman" w:cs="Calibri"/>
          <w:szCs w:val="18"/>
          <w:lang w:val="nl-NL" w:eastAsia="nl-NL"/>
        </w:rPr>
      </w:pPr>
      <w:r w:rsidRPr="00176733">
        <w:rPr>
          <w:rFonts w:eastAsia="Times New Roman" w:cs="Calibri"/>
          <w:szCs w:val="18"/>
          <w:lang w:val="nl-NL" w:eastAsia="nl-NL"/>
        </w:rPr>
        <w:t xml:space="preserve">Sinds de RAZ van 12 november jl. heeft het Oostenrijkse Voorzitterschap tekstvoorstellen uitgewerkt over de inkomstenkant van het MFK (Eigen Middelen Besluit) en het door de Commissie voorgestelde rechtsstaatsmechanisme. </w:t>
      </w:r>
      <w:r w:rsidR="0004422F">
        <w:rPr>
          <w:rFonts w:eastAsia="Times New Roman" w:cs="Calibri"/>
          <w:szCs w:val="18"/>
          <w:lang w:val="nl-NL" w:eastAsia="nl-NL"/>
        </w:rPr>
        <w:t>D</w:t>
      </w:r>
      <w:r w:rsidRPr="00176733">
        <w:rPr>
          <w:rFonts w:eastAsia="Times New Roman" w:cs="Calibri"/>
          <w:szCs w:val="18"/>
          <w:lang w:val="nl-NL" w:eastAsia="nl-NL"/>
        </w:rPr>
        <w:t xml:space="preserve">eze elementen </w:t>
      </w:r>
      <w:r w:rsidR="0004422F">
        <w:rPr>
          <w:rFonts w:eastAsia="Times New Roman" w:cs="Calibri"/>
          <w:szCs w:val="18"/>
          <w:lang w:val="nl-NL" w:eastAsia="nl-NL"/>
        </w:rPr>
        <w:t xml:space="preserve">zullen </w:t>
      </w:r>
      <w:r w:rsidRPr="00176733" w:rsidR="0093064F">
        <w:rPr>
          <w:rFonts w:eastAsia="Times New Roman" w:cs="Calibri"/>
          <w:szCs w:val="18"/>
          <w:lang w:val="nl-NL" w:eastAsia="nl-NL"/>
        </w:rPr>
        <w:t xml:space="preserve">onderdeel </w:t>
      </w:r>
      <w:r w:rsidR="0004422F">
        <w:rPr>
          <w:rFonts w:eastAsia="Times New Roman" w:cs="Calibri"/>
          <w:szCs w:val="18"/>
          <w:lang w:val="nl-NL" w:eastAsia="nl-NL"/>
        </w:rPr>
        <w:t xml:space="preserve">zijn </w:t>
      </w:r>
      <w:r w:rsidRPr="00176733" w:rsidR="0093064F">
        <w:rPr>
          <w:rFonts w:eastAsia="Times New Roman" w:cs="Calibri"/>
          <w:szCs w:val="18"/>
          <w:lang w:val="nl-NL" w:eastAsia="nl-NL"/>
        </w:rPr>
        <w:t xml:space="preserve">van </w:t>
      </w:r>
      <w:r w:rsidRPr="00176733">
        <w:rPr>
          <w:rFonts w:eastAsia="Times New Roman" w:cs="Calibri"/>
          <w:szCs w:val="18"/>
          <w:lang w:val="nl-NL" w:eastAsia="nl-NL"/>
        </w:rPr>
        <w:t xml:space="preserve">het onderhandelingsdocument dat voor de RAZ </w:t>
      </w:r>
      <w:r w:rsidRPr="00176733" w:rsidR="0093064F">
        <w:rPr>
          <w:rFonts w:eastAsia="Times New Roman" w:cs="Calibri"/>
          <w:szCs w:val="18"/>
          <w:lang w:val="nl-NL" w:eastAsia="nl-NL"/>
        </w:rPr>
        <w:t xml:space="preserve">wordt </w:t>
      </w:r>
      <w:r w:rsidRPr="00176733">
        <w:rPr>
          <w:rFonts w:eastAsia="Times New Roman" w:cs="Calibri"/>
          <w:szCs w:val="18"/>
          <w:lang w:val="nl-NL" w:eastAsia="nl-NL"/>
        </w:rPr>
        <w:t>geagendeerd. Conform mijn toezegging zal ik die versie vertrouwelijk met de Kamer delen</w:t>
      </w:r>
      <w:r w:rsidR="006B69B1">
        <w:rPr>
          <w:rFonts w:eastAsia="Times New Roman" w:cs="Calibri"/>
          <w:szCs w:val="18"/>
          <w:lang w:val="nl-NL" w:eastAsia="nl-NL"/>
        </w:rPr>
        <w:t xml:space="preserve"> zodra deze beschikbaar is</w:t>
      </w:r>
      <w:r w:rsidRPr="00176733">
        <w:rPr>
          <w:rFonts w:eastAsia="Times New Roman" w:cs="Calibri"/>
          <w:szCs w:val="18"/>
          <w:lang w:val="nl-NL" w:eastAsia="nl-NL"/>
        </w:rPr>
        <w:t>.</w:t>
      </w:r>
      <w:r w:rsidR="00102A0E">
        <w:rPr>
          <w:rFonts w:eastAsia="Times New Roman" w:cs="Calibri"/>
          <w:szCs w:val="18"/>
          <w:lang w:val="nl-NL" w:eastAsia="nl-NL"/>
        </w:rPr>
        <w:t xml:space="preserve"> </w:t>
      </w:r>
    </w:p>
    <w:p w:rsidRPr="00176733" w:rsidR="007A16B1" w:rsidP="00D4412E" w:rsidRDefault="007A16B1" w14:paraId="3362F0E2" w14:textId="77777777">
      <w:pPr>
        <w:spacing w:after="0"/>
        <w:jc w:val="both"/>
        <w:rPr>
          <w:rFonts w:eastAsia="Times New Roman" w:cs="Calibri"/>
          <w:szCs w:val="18"/>
          <w:lang w:val="nl-NL" w:eastAsia="nl-NL"/>
        </w:rPr>
      </w:pPr>
    </w:p>
    <w:p w:rsidRPr="00176733" w:rsidR="007A16B1" w:rsidP="00D4412E" w:rsidRDefault="007A16B1" w14:paraId="75BFE22B" w14:textId="4FE3037B">
      <w:pPr>
        <w:spacing w:after="0"/>
        <w:jc w:val="both"/>
        <w:rPr>
          <w:rFonts w:eastAsia="Times New Roman" w:cs="Calibri"/>
          <w:szCs w:val="18"/>
          <w:lang w:val="nl-NL" w:eastAsia="nl-NL"/>
        </w:rPr>
      </w:pPr>
      <w:r w:rsidRPr="00176733">
        <w:rPr>
          <w:rFonts w:eastAsia="Times New Roman" w:cs="Calibri"/>
          <w:szCs w:val="18"/>
          <w:lang w:val="nl-NL" w:eastAsia="nl-NL"/>
        </w:rPr>
        <w:t xml:space="preserve">Het krachtenveld blijft onveranderd complex. Lidstaten zullen zich in dit stadium concentreren op de vormgeving van een optimale onderhandelingsbasis die voor hen de belangrijke elementen en opties bevat. De Nederlandse inzet is gericht op een modern en financieel houdbaar MFK, dat de lasten eerlijk verdeelt. </w:t>
      </w:r>
      <w:r w:rsidR="00102A0E">
        <w:rPr>
          <w:rFonts w:eastAsia="Times New Roman" w:cs="Calibri"/>
          <w:szCs w:val="18"/>
          <w:lang w:val="nl-NL" w:eastAsia="nl-NL"/>
        </w:rPr>
        <w:t xml:space="preserve">In het onderhandelingsdocument komen deze aspecten op diverse plaatsen terug, zowel in de horizontale elementen als onder de verschillende beleidsterreinen. </w:t>
      </w:r>
      <w:r w:rsidR="0004422F">
        <w:rPr>
          <w:rFonts w:eastAsia="Times New Roman" w:cs="Calibri"/>
          <w:szCs w:val="18"/>
          <w:lang w:val="nl-NL" w:eastAsia="nl-NL"/>
        </w:rPr>
        <w:t>De inzet in de RAZ is erop gericht om deze elementen verder te versterken. D</w:t>
      </w:r>
      <w:r w:rsidRPr="00176733">
        <w:rPr>
          <w:rFonts w:eastAsia="Times New Roman" w:cs="Calibri"/>
          <w:szCs w:val="18"/>
          <w:lang w:val="nl-NL" w:eastAsia="nl-NL"/>
        </w:rPr>
        <w:t xml:space="preserve">e kabinetsappreciatie van de Commissievoorstellen (Kamerstuk 21501-20 nr. 1349) en de relevante BNC-fiches vormen </w:t>
      </w:r>
      <w:r w:rsidR="0004422F">
        <w:rPr>
          <w:rFonts w:eastAsia="Times New Roman" w:cs="Calibri"/>
          <w:szCs w:val="18"/>
          <w:lang w:val="nl-NL" w:eastAsia="nl-NL"/>
        </w:rPr>
        <w:t xml:space="preserve">de basis </w:t>
      </w:r>
      <w:r w:rsidRPr="00176733">
        <w:rPr>
          <w:rFonts w:eastAsia="Times New Roman" w:cs="Calibri"/>
          <w:szCs w:val="18"/>
          <w:lang w:val="nl-NL" w:eastAsia="nl-NL"/>
        </w:rPr>
        <w:t xml:space="preserve">voor de Nederlandse inbreng. </w:t>
      </w:r>
    </w:p>
    <w:p w:rsidRPr="00176733" w:rsidR="00D56E33" w:rsidP="00D4412E" w:rsidRDefault="00D56E33" w14:paraId="2D0FAE36" w14:textId="4618DEC0">
      <w:pPr>
        <w:spacing w:after="0"/>
        <w:jc w:val="both"/>
        <w:rPr>
          <w:szCs w:val="18"/>
          <w:lang w:val="nl-NL"/>
        </w:rPr>
      </w:pPr>
    </w:p>
    <w:p w:rsidRPr="00176733" w:rsidR="008C5A48" w:rsidP="00D4412E" w:rsidRDefault="008C5A48" w14:paraId="40B9BC2B" w14:textId="2B3B39F5">
      <w:pPr>
        <w:spacing w:after="0"/>
        <w:jc w:val="both"/>
        <w:rPr>
          <w:b/>
          <w:szCs w:val="18"/>
          <w:lang w:val="nl-NL"/>
        </w:rPr>
      </w:pPr>
      <w:r w:rsidRPr="00176733">
        <w:rPr>
          <w:b/>
          <w:szCs w:val="18"/>
          <w:lang w:val="nl-NL"/>
        </w:rPr>
        <w:t>Voorbereiding Europese Raad 13-14 december</w:t>
      </w:r>
    </w:p>
    <w:p w:rsidRPr="00D257E7" w:rsidR="00D257E7" w:rsidP="00D4412E" w:rsidRDefault="0003147B" w14:paraId="4F6FE4C8" w14:textId="6659739A">
      <w:pPr>
        <w:jc w:val="both"/>
        <w:rPr>
          <w:rFonts w:cs="Calibri"/>
          <w:szCs w:val="18"/>
          <w:lang w:val="nl-NL"/>
        </w:rPr>
      </w:pPr>
      <w:r w:rsidRPr="00176733">
        <w:rPr>
          <w:rFonts w:cs="Calibri"/>
          <w:szCs w:val="18"/>
          <w:lang w:val="nl-NL"/>
        </w:rPr>
        <w:t xml:space="preserve">De RAZ </w:t>
      </w:r>
      <w:r w:rsidRPr="00176733" w:rsidR="00D257E7">
        <w:rPr>
          <w:rFonts w:cs="Calibri"/>
          <w:szCs w:val="18"/>
          <w:lang w:val="nl-NL"/>
        </w:rPr>
        <w:t>be</w:t>
      </w:r>
      <w:r w:rsidR="00D257E7">
        <w:rPr>
          <w:rFonts w:cs="Calibri"/>
          <w:szCs w:val="18"/>
          <w:lang w:val="nl-NL"/>
        </w:rPr>
        <w:t>reidt</w:t>
      </w:r>
      <w:r w:rsidRPr="00176733" w:rsidR="00D257E7">
        <w:rPr>
          <w:rFonts w:cs="Calibri"/>
          <w:szCs w:val="18"/>
          <w:lang w:val="nl-NL"/>
        </w:rPr>
        <w:t xml:space="preserve"> </w:t>
      </w:r>
      <w:r w:rsidRPr="00176733">
        <w:rPr>
          <w:rFonts w:cs="Calibri"/>
          <w:szCs w:val="18"/>
          <w:lang w:val="nl-NL"/>
        </w:rPr>
        <w:t>de E</w:t>
      </w:r>
      <w:r w:rsidR="00D257E7">
        <w:rPr>
          <w:rFonts w:cs="Calibri"/>
          <w:szCs w:val="18"/>
          <w:lang w:val="nl-NL"/>
        </w:rPr>
        <w:t xml:space="preserve">uropese </w:t>
      </w:r>
      <w:r w:rsidRPr="00176733">
        <w:rPr>
          <w:rFonts w:cs="Calibri"/>
          <w:szCs w:val="18"/>
          <w:lang w:val="nl-NL"/>
        </w:rPr>
        <w:t>R</w:t>
      </w:r>
      <w:r w:rsidR="00D257E7">
        <w:rPr>
          <w:rFonts w:cs="Calibri"/>
          <w:szCs w:val="18"/>
          <w:lang w:val="nl-NL"/>
        </w:rPr>
        <w:t xml:space="preserve">aad van 13-14 december voor. Op het moment van schrijven zijn er nog geen ontwerpconclusies beschikbaar. Wel zijn de richtsnoeren voor </w:t>
      </w:r>
      <w:r w:rsidRPr="00176733">
        <w:rPr>
          <w:rFonts w:cs="Calibri"/>
          <w:szCs w:val="18"/>
          <w:lang w:val="nl-NL"/>
        </w:rPr>
        <w:t xml:space="preserve">de ER conclusies </w:t>
      </w:r>
      <w:r w:rsidR="00D257E7">
        <w:rPr>
          <w:rFonts w:cs="Calibri"/>
          <w:szCs w:val="18"/>
          <w:lang w:val="nl-NL"/>
        </w:rPr>
        <w:t xml:space="preserve">vertrouwelijk gedeeld (document in te zien via </w:t>
      </w:r>
      <w:r w:rsidR="00D257E7">
        <w:rPr>
          <w:rFonts w:cs="Calibri"/>
          <w:i/>
          <w:szCs w:val="18"/>
          <w:lang w:val="nl-NL"/>
        </w:rPr>
        <w:t>delegates portal</w:t>
      </w:r>
      <w:r w:rsidR="00D257E7">
        <w:rPr>
          <w:rFonts w:cs="Calibri"/>
          <w:szCs w:val="18"/>
          <w:lang w:val="nl-NL"/>
        </w:rPr>
        <w:t xml:space="preserve"> onder </w:t>
      </w:r>
      <w:r w:rsidR="006F6099">
        <w:rPr>
          <w:rFonts w:cs="Calibri"/>
          <w:szCs w:val="18"/>
          <w:lang w:val="nl-NL"/>
        </w:rPr>
        <w:t>document</w:t>
      </w:r>
      <w:r w:rsidR="00D257E7">
        <w:rPr>
          <w:rFonts w:cs="Calibri"/>
          <w:szCs w:val="18"/>
          <w:lang w:val="nl-NL"/>
        </w:rPr>
        <w:t>nummer 13436/18).</w:t>
      </w:r>
      <w:r w:rsidR="006F6099">
        <w:rPr>
          <w:rFonts w:cs="Calibri"/>
          <w:szCs w:val="18"/>
          <w:lang w:val="nl-NL"/>
        </w:rPr>
        <w:t xml:space="preserve"> Onderstaande bevat een eerste inzet op hoofdlijnen ten aanzien van de onderwerpen die op de komende ER naar verwachting aan de orde komen. </w:t>
      </w:r>
      <w:r w:rsidR="00D257E7">
        <w:rPr>
          <w:rFonts w:cs="Calibri"/>
          <w:szCs w:val="18"/>
          <w:lang w:val="nl-NL"/>
        </w:rPr>
        <w:t xml:space="preserve">De </w:t>
      </w:r>
      <w:r w:rsidR="006F6099">
        <w:rPr>
          <w:rFonts w:cs="Calibri"/>
          <w:szCs w:val="18"/>
          <w:lang w:val="nl-NL"/>
        </w:rPr>
        <w:t xml:space="preserve">kamerbrief met de </w:t>
      </w:r>
      <w:r w:rsidR="00D257E7">
        <w:rPr>
          <w:rFonts w:cs="Calibri"/>
          <w:szCs w:val="18"/>
          <w:lang w:val="nl-NL"/>
        </w:rPr>
        <w:t xml:space="preserve">geannoteerde agenda van de Europese Raad zal </w:t>
      </w:r>
      <w:r w:rsidR="006F6099">
        <w:rPr>
          <w:rFonts w:cs="Calibri"/>
          <w:szCs w:val="18"/>
          <w:lang w:val="nl-NL"/>
        </w:rPr>
        <w:t xml:space="preserve">de Nederlandse inzet voor de ER uiteenzetten ten behoeve van het plenaire debat voorzien op 12 december a.s. </w:t>
      </w:r>
    </w:p>
    <w:p w:rsidR="006F6099" w:rsidP="00D4412E" w:rsidRDefault="006F6099" w14:paraId="17629D02" w14:textId="10B4BCBB">
      <w:pPr>
        <w:jc w:val="both"/>
        <w:rPr>
          <w:rFonts w:cs="Calibri"/>
          <w:szCs w:val="18"/>
          <w:lang w:val="nl-NL"/>
        </w:rPr>
      </w:pPr>
      <w:r>
        <w:rPr>
          <w:rFonts w:cs="Calibri"/>
          <w:szCs w:val="18"/>
          <w:lang w:val="nl-NL"/>
        </w:rPr>
        <w:t>De ER zal naar verwachting de stand van zaken in de MFK onderhandelingen bespreken in navolging van de bespreking tijdens deze RAZ. Hierbij worden geen inhoudelijke besluiten voorzien. Zie boven voor de Nederlandse inzet op het MFK.</w:t>
      </w:r>
    </w:p>
    <w:p w:rsidRPr="00176733" w:rsidR="008C5A48" w:rsidP="00D4412E" w:rsidRDefault="0003147B" w14:paraId="068A339F" w14:textId="6F186F61">
      <w:pPr>
        <w:jc w:val="both"/>
        <w:rPr>
          <w:rFonts w:cs="Calibri"/>
          <w:szCs w:val="18"/>
          <w:lang w:val="nl-NL"/>
        </w:rPr>
      </w:pPr>
      <w:r w:rsidRPr="00176733">
        <w:rPr>
          <w:rFonts w:cs="Calibri"/>
          <w:szCs w:val="18"/>
          <w:lang w:val="nl-NL"/>
        </w:rPr>
        <w:t xml:space="preserve">Nederland heeft in de Raad Algemene Zaken van 12 november 2018 gepleit voor bespreking van de Interne Markt op de komende ER en heeft </w:t>
      </w:r>
      <w:r w:rsidR="00BC5231">
        <w:rPr>
          <w:rFonts w:cs="Calibri"/>
          <w:szCs w:val="18"/>
          <w:lang w:val="nl-NL"/>
        </w:rPr>
        <w:t>aangedrongen op</w:t>
      </w:r>
      <w:r w:rsidRPr="00176733">
        <w:rPr>
          <w:rFonts w:cs="Calibri"/>
          <w:szCs w:val="18"/>
          <w:lang w:val="nl-NL"/>
        </w:rPr>
        <w:t xml:space="preserve"> conclusies (verslag RAZ 12 november Kamerstuk: 21501-02 nr. </w:t>
      </w:r>
      <w:r w:rsidR="00AE5630">
        <w:rPr>
          <w:rFonts w:cs="Calibri"/>
          <w:szCs w:val="18"/>
          <w:lang w:val="nl-NL"/>
        </w:rPr>
        <w:t>1927</w:t>
      </w:r>
      <w:r w:rsidR="001F7F29">
        <w:rPr>
          <w:rFonts w:cs="Calibri"/>
          <w:szCs w:val="18"/>
          <w:lang w:val="nl-NL"/>
        </w:rPr>
        <w:t>). Waarschijnlijk</w:t>
      </w:r>
      <w:r w:rsidR="003C4AD2">
        <w:rPr>
          <w:rFonts w:cs="Calibri"/>
          <w:szCs w:val="18"/>
          <w:lang w:val="nl-NL"/>
        </w:rPr>
        <w:t xml:space="preserve"> zal de ER van december geen debat voeren over de Interne Markt maar</w:t>
      </w:r>
      <w:r w:rsidR="00A5383F">
        <w:rPr>
          <w:rFonts w:cs="Calibri"/>
          <w:szCs w:val="18"/>
          <w:lang w:val="nl-NL"/>
        </w:rPr>
        <w:t xml:space="preserve"> wel conclusies aannemen. </w:t>
      </w:r>
      <w:r w:rsidR="003C4AD2">
        <w:rPr>
          <w:rFonts w:cs="Calibri"/>
          <w:szCs w:val="18"/>
          <w:lang w:val="nl-NL"/>
        </w:rPr>
        <w:t>Nederland wil</w:t>
      </w:r>
      <w:r w:rsidR="00A5383F">
        <w:rPr>
          <w:rFonts w:cs="Calibri"/>
          <w:szCs w:val="18"/>
          <w:lang w:val="nl-NL"/>
        </w:rPr>
        <w:t xml:space="preserve"> </w:t>
      </w:r>
      <w:r w:rsidR="003C4AD2">
        <w:rPr>
          <w:rFonts w:cs="Calibri"/>
          <w:szCs w:val="18"/>
          <w:lang w:val="nl-NL"/>
        </w:rPr>
        <w:t>dat</w:t>
      </w:r>
      <w:r w:rsidRPr="00176733">
        <w:rPr>
          <w:rFonts w:cs="Calibri"/>
          <w:szCs w:val="18"/>
          <w:lang w:val="nl-NL"/>
        </w:rPr>
        <w:t xml:space="preserve"> de ER conclusies aanneemt die </w:t>
      </w:r>
      <w:r w:rsidR="003C4AD2">
        <w:rPr>
          <w:rFonts w:cs="Calibri"/>
          <w:szCs w:val="18"/>
          <w:lang w:val="nl-NL"/>
        </w:rPr>
        <w:t>het</w:t>
      </w:r>
      <w:r w:rsidR="00BC5231">
        <w:rPr>
          <w:rFonts w:cs="Calibri"/>
          <w:szCs w:val="18"/>
          <w:lang w:val="nl-NL"/>
        </w:rPr>
        <w:t xml:space="preserve"> belang </w:t>
      </w:r>
      <w:r w:rsidR="003C4AD2">
        <w:rPr>
          <w:rFonts w:cs="Calibri"/>
          <w:szCs w:val="18"/>
          <w:lang w:val="nl-NL"/>
        </w:rPr>
        <w:t xml:space="preserve">erkennen van het </w:t>
      </w:r>
      <w:r w:rsidR="00BC5231">
        <w:rPr>
          <w:rFonts w:cs="Calibri"/>
          <w:szCs w:val="18"/>
          <w:lang w:val="nl-NL"/>
        </w:rPr>
        <w:t xml:space="preserve">afronden </w:t>
      </w:r>
      <w:r w:rsidR="003C4AD2">
        <w:rPr>
          <w:rFonts w:cs="Calibri"/>
          <w:szCs w:val="18"/>
          <w:lang w:val="nl-NL"/>
        </w:rPr>
        <w:t xml:space="preserve">van </w:t>
      </w:r>
      <w:r w:rsidR="00BC5231">
        <w:rPr>
          <w:rFonts w:cs="Calibri"/>
          <w:szCs w:val="18"/>
          <w:lang w:val="nl-NL"/>
        </w:rPr>
        <w:t>wetgeving</w:t>
      </w:r>
      <w:r w:rsidR="003C4AD2">
        <w:rPr>
          <w:rFonts w:cs="Calibri"/>
          <w:szCs w:val="18"/>
          <w:lang w:val="nl-NL"/>
        </w:rPr>
        <w:t xml:space="preserve">svoorstellen van de huidige commissie. Daarnaast moeten de conclusies ten aanzien van </w:t>
      </w:r>
      <w:r w:rsidR="00BC5231">
        <w:rPr>
          <w:rFonts w:cs="Calibri"/>
          <w:szCs w:val="18"/>
          <w:lang w:val="nl-NL"/>
        </w:rPr>
        <w:t xml:space="preserve">de toekomstige agenda </w:t>
      </w:r>
      <w:r w:rsidR="003C4AD2">
        <w:rPr>
          <w:rFonts w:cs="Calibri"/>
          <w:szCs w:val="18"/>
          <w:lang w:val="nl-NL"/>
        </w:rPr>
        <w:t xml:space="preserve">oproepen tot een nieuwe aanpak die is </w:t>
      </w:r>
      <w:r w:rsidR="00BC5231">
        <w:rPr>
          <w:rFonts w:cs="Calibri"/>
          <w:szCs w:val="18"/>
          <w:lang w:val="nl-NL"/>
        </w:rPr>
        <w:t xml:space="preserve">gericht op </w:t>
      </w:r>
      <w:r w:rsidRPr="00176733">
        <w:rPr>
          <w:rFonts w:cs="Calibri"/>
          <w:szCs w:val="18"/>
          <w:lang w:val="nl-NL"/>
        </w:rPr>
        <w:t>meer integraal Europees digitaal beleid</w:t>
      </w:r>
      <w:r w:rsidR="00BC5231">
        <w:rPr>
          <w:rFonts w:cs="Calibri"/>
          <w:szCs w:val="18"/>
          <w:lang w:val="nl-NL"/>
        </w:rPr>
        <w:t xml:space="preserve"> </w:t>
      </w:r>
      <w:r w:rsidRPr="00176733">
        <w:rPr>
          <w:rFonts w:cs="Calibri"/>
          <w:szCs w:val="18"/>
          <w:lang w:val="nl-NL"/>
        </w:rPr>
        <w:t xml:space="preserve">en </w:t>
      </w:r>
      <w:r w:rsidR="003C4AD2">
        <w:rPr>
          <w:rFonts w:cs="Calibri"/>
          <w:szCs w:val="18"/>
          <w:lang w:val="nl-NL"/>
        </w:rPr>
        <w:t>die</w:t>
      </w:r>
      <w:r w:rsidRPr="00176733">
        <w:rPr>
          <w:rFonts w:cs="Calibri"/>
          <w:szCs w:val="18"/>
          <w:lang w:val="nl-NL"/>
        </w:rPr>
        <w:t xml:space="preserve"> zorgt voor betere implementatie en hand</w:t>
      </w:r>
      <w:r w:rsidR="003C4AD2">
        <w:rPr>
          <w:rFonts w:cs="Calibri"/>
          <w:szCs w:val="18"/>
          <w:lang w:val="nl-NL"/>
        </w:rPr>
        <w:t>having van interne markt regels</w:t>
      </w:r>
      <w:r w:rsidRPr="00176733">
        <w:rPr>
          <w:rFonts w:cs="Calibri"/>
          <w:szCs w:val="18"/>
          <w:lang w:val="nl-NL"/>
        </w:rPr>
        <w:t xml:space="preserve"> en de ondernem</w:t>
      </w:r>
      <w:r w:rsidR="00A5383F">
        <w:rPr>
          <w:rFonts w:cs="Calibri"/>
          <w:szCs w:val="18"/>
          <w:lang w:val="nl-NL"/>
        </w:rPr>
        <w:t>er en consument centraal stelt,</w:t>
      </w:r>
      <w:r w:rsidR="003C4AD2">
        <w:rPr>
          <w:rFonts w:cs="Calibri"/>
          <w:szCs w:val="18"/>
          <w:lang w:val="nl-NL"/>
        </w:rPr>
        <w:t xml:space="preserve"> </w:t>
      </w:r>
      <w:r w:rsidRPr="00176733">
        <w:rPr>
          <w:rFonts w:cs="Calibri"/>
          <w:szCs w:val="18"/>
          <w:lang w:val="nl-NL"/>
        </w:rPr>
        <w:t>zoals uiteengezet in de brief over de toekomst van de Interne Markt die staatsecretaris Keijzer op 19 oktober aan uw Kamer stuurde (Kamerstuk 22112, nr. 2703).</w:t>
      </w:r>
      <w:r w:rsidR="00A5383F">
        <w:rPr>
          <w:rFonts w:cs="Calibri"/>
          <w:szCs w:val="18"/>
          <w:lang w:val="nl-NL"/>
        </w:rPr>
        <w:t xml:space="preserve"> </w:t>
      </w:r>
      <w:r w:rsidRPr="003C4AD2" w:rsidR="00A5383F">
        <w:rPr>
          <w:rFonts w:cs="Calibri"/>
          <w:szCs w:val="18"/>
          <w:lang w:val="nl-NL"/>
        </w:rPr>
        <w:t xml:space="preserve">Nederland </w:t>
      </w:r>
      <w:r w:rsidR="00A5383F">
        <w:rPr>
          <w:rFonts w:cs="Calibri"/>
          <w:szCs w:val="18"/>
          <w:lang w:val="nl-NL"/>
        </w:rPr>
        <w:t xml:space="preserve">zet in </w:t>
      </w:r>
      <w:r w:rsidRPr="003C4AD2" w:rsidR="00A5383F">
        <w:rPr>
          <w:rFonts w:cs="Calibri"/>
          <w:szCs w:val="18"/>
          <w:lang w:val="nl-NL"/>
        </w:rPr>
        <w:t>o</w:t>
      </w:r>
      <w:r w:rsidR="00A5383F">
        <w:rPr>
          <w:rFonts w:cs="Calibri"/>
          <w:szCs w:val="18"/>
          <w:lang w:val="nl-NL"/>
        </w:rPr>
        <w:t>p</w:t>
      </w:r>
      <w:r w:rsidRPr="003C4AD2" w:rsidR="00A5383F">
        <w:rPr>
          <w:rFonts w:cs="Calibri"/>
          <w:szCs w:val="18"/>
          <w:lang w:val="nl-NL"/>
        </w:rPr>
        <w:t xml:space="preserve"> een</w:t>
      </w:r>
      <w:r w:rsidR="00A5383F">
        <w:rPr>
          <w:rFonts w:cs="Calibri"/>
          <w:szCs w:val="18"/>
          <w:lang w:val="nl-NL"/>
        </w:rPr>
        <w:t xml:space="preserve"> debat over digitaal beleid en de Interne Markt in de ER van maart 2019 en trekt op in een brede coalitie.  </w:t>
      </w:r>
    </w:p>
    <w:p w:rsidRPr="00176733" w:rsidR="008C5A48" w:rsidP="00D4412E" w:rsidRDefault="006F6099" w14:paraId="5DF69911" w14:textId="201D0DC9">
      <w:pPr>
        <w:spacing w:after="0"/>
        <w:jc w:val="both"/>
        <w:rPr>
          <w:rFonts w:cs="Calibri"/>
          <w:szCs w:val="18"/>
          <w:lang w:val="nl-NL"/>
        </w:rPr>
      </w:pPr>
      <w:r>
        <w:rPr>
          <w:rFonts w:cs="Calibri"/>
          <w:szCs w:val="18"/>
          <w:lang w:val="nl-NL"/>
        </w:rPr>
        <w:t>Op het vlak van migratie zal d</w:t>
      </w:r>
      <w:r w:rsidRPr="00176733" w:rsidR="00442782">
        <w:rPr>
          <w:rFonts w:cs="Calibri"/>
          <w:szCs w:val="18"/>
          <w:lang w:val="nl-NL"/>
        </w:rPr>
        <w:t xml:space="preserve">e Europese Raad </w:t>
      </w:r>
      <w:r>
        <w:rPr>
          <w:rFonts w:cs="Calibri"/>
          <w:szCs w:val="18"/>
          <w:lang w:val="nl-NL"/>
        </w:rPr>
        <w:t>naar verwachting</w:t>
      </w:r>
      <w:r w:rsidRPr="00176733">
        <w:rPr>
          <w:rFonts w:cs="Calibri"/>
          <w:szCs w:val="18"/>
          <w:lang w:val="nl-NL"/>
        </w:rPr>
        <w:t xml:space="preserve"> </w:t>
      </w:r>
      <w:r w:rsidRPr="00176733" w:rsidR="00442782">
        <w:rPr>
          <w:rFonts w:cs="Calibri"/>
          <w:szCs w:val="18"/>
          <w:lang w:val="nl-NL"/>
        </w:rPr>
        <w:t xml:space="preserve">de voortgang </w:t>
      </w:r>
      <w:r>
        <w:rPr>
          <w:rFonts w:cs="Calibri"/>
          <w:szCs w:val="18"/>
          <w:lang w:val="nl-NL"/>
        </w:rPr>
        <w:t>van</w:t>
      </w:r>
      <w:r w:rsidRPr="00176733">
        <w:rPr>
          <w:rFonts w:cs="Calibri"/>
          <w:szCs w:val="18"/>
          <w:lang w:val="nl-NL"/>
        </w:rPr>
        <w:t xml:space="preserve"> </w:t>
      </w:r>
      <w:r w:rsidRPr="00176733" w:rsidR="00442782">
        <w:rPr>
          <w:rFonts w:cs="Calibri"/>
          <w:szCs w:val="18"/>
          <w:lang w:val="nl-NL"/>
        </w:rPr>
        <w:t>de implementatie van de ER-conclusies van juni bespreken. Nederland zal langs bekende lijn pleiten voor een integrale benadering met daarbij aandacht voor de grondoorzaken van migratie en opvang in de regio, het tegengaan van mensenhandel en mensensmokkel, een duurzame regeling met betrekking tot de ontscheping van migranten aan beide zijden van de Middellandse Zee, versterking van de buitengrenzen van de lidstaten van de EU, de totstandkoming van een verbeterde versie van het G</w:t>
      </w:r>
      <w:r w:rsidR="003F05BF">
        <w:rPr>
          <w:rFonts w:cs="Calibri"/>
          <w:szCs w:val="18"/>
          <w:lang w:val="nl-NL"/>
        </w:rPr>
        <w:t xml:space="preserve">emeenschappelijk </w:t>
      </w:r>
      <w:r w:rsidRPr="00176733" w:rsidR="00442782">
        <w:rPr>
          <w:rFonts w:cs="Calibri"/>
          <w:szCs w:val="18"/>
          <w:lang w:val="nl-NL"/>
        </w:rPr>
        <w:t>E</w:t>
      </w:r>
      <w:r w:rsidR="003F05BF">
        <w:rPr>
          <w:rFonts w:cs="Calibri"/>
          <w:szCs w:val="18"/>
          <w:lang w:val="nl-NL"/>
        </w:rPr>
        <w:t xml:space="preserve">uropees </w:t>
      </w:r>
      <w:r w:rsidRPr="00176733" w:rsidR="00442782">
        <w:rPr>
          <w:rFonts w:cs="Calibri"/>
          <w:szCs w:val="18"/>
          <w:lang w:val="nl-NL"/>
        </w:rPr>
        <w:t>A</w:t>
      </w:r>
      <w:r w:rsidR="003F05BF">
        <w:rPr>
          <w:rFonts w:cs="Calibri"/>
          <w:szCs w:val="18"/>
          <w:lang w:val="nl-NL"/>
        </w:rPr>
        <w:t>sielbeleid</w:t>
      </w:r>
      <w:r w:rsidRPr="00176733" w:rsidR="00442782">
        <w:rPr>
          <w:rFonts w:cs="Calibri"/>
          <w:szCs w:val="18"/>
          <w:lang w:val="nl-NL"/>
        </w:rPr>
        <w:t xml:space="preserve"> en tot slot meer inzet op betere samenwerking met herkomstlanden op terugkeer. </w:t>
      </w:r>
    </w:p>
    <w:p w:rsidRPr="00176733" w:rsidR="009B709F" w:rsidP="00D4412E" w:rsidRDefault="009B709F" w14:paraId="3EB4E45A" w14:textId="17510845">
      <w:pPr>
        <w:spacing w:after="0"/>
        <w:jc w:val="both"/>
        <w:rPr>
          <w:rFonts w:cs="Calibri"/>
          <w:szCs w:val="18"/>
          <w:lang w:val="nl-NL"/>
        </w:rPr>
      </w:pPr>
    </w:p>
    <w:p w:rsidRPr="00176733" w:rsidR="00802CA5" w:rsidP="00D4412E" w:rsidRDefault="006F6099" w14:paraId="0E3F10E3" w14:textId="161646F1">
      <w:pPr>
        <w:spacing w:after="0"/>
        <w:jc w:val="both"/>
        <w:rPr>
          <w:rFonts w:cs="Calibri"/>
          <w:szCs w:val="18"/>
          <w:lang w:val="nl-NL"/>
        </w:rPr>
      </w:pPr>
      <w:r>
        <w:rPr>
          <w:rFonts w:cs="Calibri"/>
          <w:szCs w:val="18"/>
          <w:lang w:val="nl-NL"/>
        </w:rPr>
        <w:lastRenderedPageBreak/>
        <w:t xml:space="preserve">De Europese Raad zal mogelijk spreken over </w:t>
      </w:r>
      <w:r w:rsidR="003F05BF">
        <w:rPr>
          <w:rFonts w:cs="Calibri"/>
          <w:szCs w:val="18"/>
          <w:lang w:val="nl-NL"/>
        </w:rPr>
        <w:t>desinformatie naar aanleiding van</w:t>
      </w:r>
      <w:r w:rsidRPr="00176733" w:rsidR="00802CA5">
        <w:rPr>
          <w:rFonts w:cs="Calibri"/>
          <w:szCs w:val="18"/>
          <w:lang w:val="nl-NL"/>
        </w:rPr>
        <w:t xml:space="preserve"> het door de Europese Commissie voor 5 december aangekondigde Actieplan voor een Europese respons op online desinformatie</w:t>
      </w:r>
      <w:r>
        <w:rPr>
          <w:rFonts w:cs="Calibri"/>
          <w:szCs w:val="18"/>
          <w:lang w:val="nl-NL"/>
        </w:rPr>
        <w:t xml:space="preserve">. </w:t>
      </w:r>
    </w:p>
    <w:p w:rsidR="006F6099" w:rsidP="00D4412E" w:rsidRDefault="006F6099" w14:paraId="0E8F43A3" w14:textId="4E172E03">
      <w:pPr>
        <w:spacing w:after="0"/>
        <w:jc w:val="both"/>
        <w:rPr>
          <w:rFonts w:cs="Calibri"/>
          <w:szCs w:val="18"/>
          <w:lang w:val="nl-NL"/>
        </w:rPr>
      </w:pPr>
    </w:p>
    <w:p w:rsidR="00983634" w:rsidP="00D4412E" w:rsidRDefault="00983634" w14:paraId="6A4D0A0B" w14:textId="717E6FED">
      <w:pPr>
        <w:spacing w:after="0"/>
        <w:jc w:val="both"/>
        <w:rPr>
          <w:rFonts w:cs="Calibri"/>
          <w:szCs w:val="18"/>
          <w:lang w:val="nl-NL"/>
        </w:rPr>
      </w:pPr>
      <w:r>
        <w:rPr>
          <w:rFonts w:cs="Calibri"/>
          <w:szCs w:val="18"/>
          <w:lang w:val="nl-NL"/>
        </w:rPr>
        <w:t>Mogelijk zal de ER racisme en xenofobie, inclusief antisemitisme, veroordelen, in navolging van een bespreking hierover tijdens de JBZ-raad van 6 december a.s.</w:t>
      </w:r>
    </w:p>
    <w:p w:rsidR="00983634" w:rsidP="00D4412E" w:rsidRDefault="00983634" w14:paraId="1009777A" w14:textId="77777777">
      <w:pPr>
        <w:spacing w:after="0"/>
        <w:jc w:val="both"/>
        <w:rPr>
          <w:rFonts w:cs="Calibri"/>
          <w:szCs w:val="18"/>
          <w:lang w:val="nl-NL"/>
        </w:rPr>
      </w:pPr>
    </w:p>
    <w:p w:rsidRPr="00176733" w:rsidR="0003147B" w:rsidP="00D4412E" w:rsidRDefault="006F6099" w14:paraId="7FFBB754" w14:textId="57D6C5FA">
      <w:pPr>
        <w:spacing w:after="0"/>
        <w:jc w:val="both"/>
        <w:rPr>
          <w:rFonts w:cs="Calibri"/>
          <w:szCs w:val="18"/>
          <w:lang w:val="nl-NL"/>
        </w:rPr>
      </w:pPr>
      <w:r>
        <w:rPr>
          <w:rFonts w:cs="Calibri"/>
          <w:szCs w:val="18"/>
          <w:lang w:val="nl-NL"/>
        </w:rPr>
        <w:t xml:space="preserve">Op extern terrein zal de ER naar verwachting vooruitblikken naar de </w:t>
      </w:r>
      <w:r w:rsidRPr="00176733" w:rsidR="0003147B">
        <w:rPr>
          <w:rFonts w:cs="Calibri"/>
          <w:szCs w:val="18"/>
          <w:lang w:val="nl-NL"/>
        </w:rPr>
        <w:t xml:space="preserve">reguliere tweejaarlijkse top </w:t>
      </w:r>
      <w:r>
        <w:rPr>
          <w:rFonts w:cs="Calibri"/>
          <w:szCs w:val="18"/>
          <w:lang w:val="nl-NL"/>
        </w:rPr>
        <w:t xml:space="preserve">tussen de EU en de Arabische Liga die eind februari 2019 </w:t>
      </w:r>
      <w:r w:rsidRPr="00176733" w:rsidR="0003147B">
        <w:rPr>
          <w:rFonts w:cs="Calibri"/>
          <w:szCs w:val="18"/>
          <w:lang w:val="nl-NL"/>
        </w:rPr>
        <w:t xml:space="preserve">op ministerieel niveau </w:t>
      </w:r>
      <w:r>
        <w:rPr>
          <w:rFonts w:cs="Calibri"/>
          <w:szCs w:val="18"/>
          <w:lang w:val="nl-NL"/>
        </w:rPr>
        <w:t xml:space="preserve">zal </w:t>
      </w:r>
      <w:r w:rsidRPr="00176733" w:rsidR="0003147B">
        <w:rPr>
          <w:rFonts w:cs="Calibri"/>
          <w:szCs w:val="18"/>
          <w:lang w:val="nl-NL"/>
        </w:rPr>
        <w:t xml:space="preserve">worden gehouden. Naar verwachting zullen de regionale conflicten en migratie worden besproken tussen de EU en de Arabische Liga. Op het moment van schrijven is nog geen agenda beschikbaar. </w:t>
      </w:r>
    </w:p>
    <w:p w:rsidRPr="00176733" w:rsidR="0003147B" w:rsidP="00D4412E" w:rsidRDefault="0003147B" w14:paraId="639F646F" w14:textId="6D0D1255">
      <w:pPr>
        <w:spacing w:after="0"/>
        <w:jc w:val="both"/>
        <w:rPr>
          <w:rFonts w:cs="Calibri"/>
          <w:szCs w:val="18"/>
          <w:lang w:val="nl-NL"/>
        </w:rPr>
      </w:pPr>
    </w:p>
    <w:p w:rsidRPr="00176733" w:rsidR="0003147B" w:rsidP="00D4412E" w:rsidRDefault="0003147B" w14:paraId="5C1410EF" w14:textId="44357D7C">
      <w:pPr>
        <w:spacing w:after="0"/>
        <w:jc w:val="both"/>
        <w:rPr>
          <w:rFonts w:cs="Calibri"/>
          <w:szCs w:val="18"/>
          <w:lang w:val="nl-NL"/>
        </w:rPr>
      </w:pPr>
      <w:r w:rsidRPr="00176733">
        <w:rPr>
          <w:rFonts w:cs="Calibri"/>
          <w:szCs w:val="18"/>
          <w:lang w:val="nl-NL"/>
        </w:rPr>
        <w:t xml:space="preserve">In de Raad Algemene Zaken van 12 november 2018, heeft Nederland gepleit voor conclusies </w:t>
      </w:r>
      <w:r w:rsidR="006F6099">
        <w:rPr>
          <w:rFonts w:cs="Calibri"/>
          <w:szCs w:val="18"/>
          <w:lang w:val="nl-NL"/>
        </w:rPr>
        <w:t xml:space="preserve">op de komende ER </w:t>
      </w:r>
      <w:r w:rsidRPr="00176733">
        <w:rPr>
          <w:rFonts w:cs="Calibri"/>
          <w:szCs w:val="18"/>
          <w:lang w:val="nl-NL"/>
        </w:rPr>
        <w:t>over klimaat. Deze zijn vooralsnog niet opgenomen in de conceptconclusies. Het kabinet blijft zich inzetten voor conclusies naar aanleiding van de publicatie van de langetermijnstrategie voor klimaat door de Commissie.</w:t>
      </w:r>
    </w:p>
    <w:p w:rsidRPr="00176733" w:rsidR="0003147B" w:rsidP="00D4412E" w:rsidRDefault="0003147B" w14:paraId="6E7DDFF7" w14:textId="2985309B">
      <w:pPr>
        <w:spacing w:after="0"/>
        <w:jc w:val="both"/>
        <w:rPr>
          <w:rFonts w:cs="Calibri"/>
          <w:szCs w:val="18"/>
          <w:lang w:val="nl-NL"/>
        </w:rPr>
      </w:pPr>
    </w:p>
    <w:p w:rsidR="0062400D" w:rsidP="00D4412E" w:rsidRDefault="006F6099" w14:paraId="01DC3298" w14:textId="6FAC44DE">
      <w:pPr>
        <w:autoSpaceDE w:val="0"/>
        <w:autoSpaceDN w:val="0"/>
        <w:adjustRightInd w:val="0"/>
        <w:spacing w:after="0"/>
        <w:jc w:val="both"/>
        <w:rPr>
          <w:rFonts w:cs="Verdana"/>
          <w:szCs w:val="18"/>
          <w:lang w:val="nl-NL"/>
        </w:rPr>
      </w:pPr>
      <w:r>
        <w:rPr>
          <w:rFonts w:cs="Verdana"/>
          <w:szCs w:val="18"/>
          <w:lang w:val="nl-NL"/>
        </w:rPr>
        <w:t>Tot slot zal d</w:t>
      </w:r>
      <w:r w:rsidR="0062400D">
        <w:rPr>
          <w:rFonts w:cs="Verdana"/>
          <w:szCs w:val="18"/>
          <w:lang w:val="nl-NL"/>
        </w:rPr>
        <w:t xml:space="preserve">e Europese Raad geïnformeerd worden over de uitkomsten van de </w:t>
      </w:r>
      <w:r w:rsidRPr="00176733" w:rsidR="0062400D">
        <w:rPr>
          <w:rFonts w:cs="Verdana"/>
          <w:szCs w:val="18"/>
          <w:lang w:val="nl-NL"/>
        </w:rPr>
        <w:t>maatschappelijke consultaties met betrekking tot de toekomst van de Europese Unie</w:t>
      </w:r>
      <w:r w:rsidR="00CD02FD">
        <w:rPr>
          <w:rFonts w:cs="Verdana"/>
          <w:szCs w:val="18"/>
          <w:lang w:val="nl-NL"/>
        </w:rPr>
        <w:t xml:space="preserve"> die afgelopen maanden in 27 lidstaten zijn georganiseerd,</w:t>
      </w:r>
      <w:r w:rsidR="0062400D">
        <w:rPr>
          <w:rFonts w:cs="Verdana"/>
          <w:szCs w:val="18"/>
          <w:lang w:val="nl-NL"/>
        </w:rPr>
        <w:t xml:space="preserve"> en de voorbereidingen op de strategische agenda. </w:t>
      </w:r>
      <w:r w:rsidR="00CD02FD">
        <w:rPr>
          <w:rFonts w:cs="Verdana"/>
          <w:szCs w:val="18"/>
          <w:lang w:val="nl-NL"/>
        </w:rPr>
        <w:t xml:space="preserve">De bespreking zal worden gehouden op basis van een gezamenlijk verslag over de maatschappelijke consultaties, opgesteld </w:t>
      </w:r>
      <w:r>
        <w:rPr>
          <w:rFonts w:cs="Verdana"/>
          <w:szCs w:val="18"/>
          <w:lang w:val="nl-NL"/>
        </w:rPr>
        <w:t xml:space="preserve">onder verantwoordelijkheid van </w:t>
      </w:r>
      <w:r w:rsidR="00CD02FD">
        <w:rPr>
          <w:rFonts w:cs="Verdana"/>
          <w:szCs w:val="18"/>
          <w:lang w:val="nl-NL"/>
        </w:rPr>
        <w:t xml:space="preserve">het huidige Oostenrijks voorzitterschap en inkomend Roemeens voorzitterschap. </w:t>
      </w:r>
      <w:r w:rsidRPr="00176733" w:rsidR="00CD02FD">
        <w:rPr>
          <w:rFonts w:cs="Verdana"/>
          <w:szCs w:val="18"/>
          <w:lang w:val="nl-NL"/>
        </w:rPr>
        <w:t>Voor de invulling van de maatschappelijke consultaties was het voor het kabinet van belang dat deze openstaan voor alle meningen, transparant en onpartijdig zijn georganiseerd, en passen in de Nederlandse context waar sprake is van een actief maatschappelijk debat over de EU. De consultaties zijn vormgegeven door onderzoek van het Sociaal Cultureel Planbureau (SCP) en burgerdialogen van het Verwey-Jonker Instituut waarbij is ingegaan op de zorgen en wensen van Nederlanders ten aanzien van de EU. Het kabinet heeft Uw Kamer onlangs per brief geïnformeerd over de uitkomsten van deze consultaties [</w:t>
      </w:r>
      <w:r w:rsidR="00CD02FD">
        <w:rPr>
          <w:rFonts w:cs="Verdana"/>
          <w:szCs w:val="18"/>
          <w:lang w:val="nl-NL"/>
        </w:rPr>
        <w:t>kamerstuknummer 21 501-20 nr. 1382</w:t>
      </w:r>
      <w:r w:rsidRPr="00176733" w:rsidR="00CD02FD">
        <w:rPr>
          <w:rFonts w:cs="Verdana"/>
          <w:szCs w:val="18"/>
          <w:lang w:val="nl-NL"/>
        </w:rPr>
        <w:t xml:space="preserve">]. </w:t>
      </w:r>
      <w:r w:rsidR="00CD02FD">
        <w:rPr>
          <w:rFonts w:cs="Verdana"/>
          <w:szCs w:val="18"/>
          <w:lang w:val="nl-NL"/>
        </w:rPr>
        <w:t>Alle 27 lidstaten hebben op 1</w:t>
      </w:r>
      <w:r w:rsidRPr="00176733" w:rsidR="00CD02FD">
        <w:rPr>
          <w:rFonts w:cs="Verdana"/>
          <w:szCs w:val="18"/>
          <w:lang w:val="nl-NL"/>
        </w:rPr>
        <w:t>9 november</w:t>
      </w:r>
      <w:r w:rsidR="00CD02FD">
        <w:rPr>
          <w:rFonts w:cs="Verdana"/>
          <w:szCs w:val="18"/>
          <w:lang w:val="nl-NL"/>
        </w:rPr>
        <w:t xml:space="preserve"> de uitkomsten van de consultaties</w:t>
      </w:r>
      <w:r w:rsidRPr="00176733" w:rsidR="00CD02FD">
        <w:rPr>
          <w:rFonts w:cs="Verdana"/>
          <w:szCs w:val="18"/>
          <w:lang w:val="nl-NL"/>
        </w:rPr>
        <w:t xml:space="preserve"> aangeboden aan het Oostenrijks voorzitterschap.</w:t>
      </w:r>
    </w:p>
    <w:p w:rsidRPr="00176733" w:rsidR="008C5A48" w:rsidP="00D4412E" w:rsidRDefault="008C5A48" w14:paraId="18F0FB53" w14:textId="77777777">
      <w:pPr>
        <w:spacing w:after="0"/>
        <w:jc w:val="both"/>
        <w:rPr>
          <w:rFonts w:cs="Calibri"/>
          <w:szCs w:val="18"/>
          <w:lang w:val="nl-NL"/>
        </w:rPr>
      </w:pPr>
    </w:p>
    <w:p w:rsidRPr="00B551AF" w:rsidR="008C5A48" w:rsidP="00D4412E" w:rsidRDefault="007D0CEC" w14:paraId="7CD95D93" w14:textId="08AF4E6F">
      <w:pPr>
        <w:spacing w:after="0"/>
        <w:jc w:val="both"/>
        <w:rPr>
          <w:b/>
          <w:szCs w:val="18"/>
          <w:lang w:val="nl-NL"/>
        </w:rPr>
      </w:pPr>
      <w:r w:rsidRPr="00B551AF">
        <w:rPr>
          <w:b/>
          <w:szCs w:val="18"/>
          <w:lang w:val="nl-NL"/>
        </w:rPr>
        <w:t>Europees Seme</w:t>
      </w:r>
      <w:r w:rsidRPr="00B551AF" w:rsidR="00190F65">
        <w:rPr>
          <w:b/>
          <w:szCs w:val="18"/>
          <w:lang w:val="nl-NL"/>
        </w:rPr>
        <w:t xml:space="preserve">ster 2019– </w:t>
      </w:r>
      <w:proofErr w:type="spellStart"/>
      <w:r w:rsidRPr="00B551AF" w:rsidR="00190F65">
        <w:rPr>
          <w:b/>
          <w:szCs w:val="18"/>
          <w:lang w:val="nl-NL"/>
        </w:rPr>
        <w:t>Annual</w:t>
      </w:r>
      <w:proofErr w:type="spellEnd"/>
      <w:r w:rsidRPr="00B551AF" w:rsidR="00190F65">
        <w:rPr>
          <w:b/>
          <w:szCs w:val="18"/>
          <w:lang w:val="nl-NL"/>
        </w:rPr>
        <w:t xml:space="preserve"> </w:t>
      </w:r>
      <w:proofErr w:type="spellStart"/>
      <w:r w:rsidRPr="00B551AF" w:rsidR="00190F65">
        <w:rPr>
          <w:b/>
          <w:szCs w:val="18"/>
          <w:lang w:val="nl-NL"/>
        </w:rPr>
        <w:t>Growth</w:t>
      </w:r>
      <w:proofErr w:type="spellEnd"/>
      <w:r w:rsidRPr="00B551AF" w:rsidR="00190F65">
        <w:rPr>
          <w:b/>
          <w:szCs w:val="18"/>
          <w:lang w:val="nl-NL"/>
        </w:rPr>
        <w:t xml:space="preserve"> Survey</w:t>
      </w:r>
    </w:p>
    <w:p w:rsidRPr="00176733" w:rsidR="007D0CEC" w:rsidP="00D4412E" w:rsidRDefault="007D0CEC" w14:paraId="23DD9A02" w14:textId="77777777">
      <w:pPr>
        <w:spacing w:after="0"/>
        <w:jc w:val="both"/>
        <w:rPr>
          <w:szCs w:val="18"/>
          <w:lang w:val="nl-NL"/>
        </w:rPr>
      </w:pPr>
      <w:r w:rsidRPr="00176733">
        <w:rPr>
          <w:szCs w:val="18"/>
          <w:lang w:val="nl-NL"/>
        </w:rPr>
        <w:t xml:space="preserve">De Europese Commissie zal een presentatie geven over de </w:t>
      </w:r>
      <w:proofErr w:type="spellStart"/>
      <w:r w:rsidRPr="00176733">
        <w:rPr>
          <w:i/>
          <w:iCs/>
          <w:szCs w:val="18"/>
          <w:lang w:val="nl-NL"/>
        </w:rPr>
        <w:t>Annual</w:t>
      </w:r>
      <w:proofErr w:type="spellEnd"/>
      <w:r w:rsidRPr="00176733">
        <w:rPr>
          <w:i/>
          <w:iCs/>
          <w:szCs w:val="18"/>
          <w:lang w:val="nl-NL"/>
        </w:rPr>
        <w:t xml:space="preserve"> </w:t>
      </w:r>
      <w:proofErr w:type="spellStart"/>
      <w:r w:rsidRPr="00176733">
        <w:rPr>
          <w:i/>
          <w:iCs/>
          <w:szCs w:val="18"/>
          <w:lang w:val="nl-NL"/>
        </w:rPr>
        <w:t>Growth</w:t>
      </w:r>
      <w:proofErr w:type="spellEnd"/>
      <w:r w:rsidRPr="00176733">
        <w:rPr>
          <w:i/>
          <w:iCs/>
          <w:szCs w:val="18"/>
          <w:lang w:val="nl-NL"/>
        </w:rPr>
        <w:t xml:space="preserve"> Survey 2019 </w:t>
      </w:r>
      <w:r w:rsidRPr="00176733">
        <w:rPr>
          <w:szCs w:val="18"/>
          <w:lang w:val="nl-NL"/>
        </w:rPr>
        <w:t xml:space="preserve">(AGS). De Commissie publiceerde de AGS op 21 november samen met het </w:t>
      </w:r>
      <w:r w:rsidRPr="00176733">
        <w:rPr>
          <w:i/>
          <w:iCs/>
          <w:szCs w:val="18"/>
          <w:lang w:val="nl-NL"/>
        </w:rPr>
        <w:t xml:space="preserve">Alert </w:t>
      </w:r>
      <w:proofErr w:type="spellStart"/>
      <w:r w:rsidRPr="00176733">
        <w:rPr>
          <w:i/>
          <w:iCs/>
          <w:szCs w:val="18"/>
          <w:lang w:val="nl-NL"/>
        </w:rPr>
        <w:t>Mechanism</w:t>
      </w:r>
      <w:proofErr w:type="spellEnd"/>
      <w:r w:rsidRPr="00176733">
        <w:rPr>
          <w:i/>
          <w:iCs/>
          <w:szCs w:val="18"/>
          <w:lang w:val="nl-NL"/>
        </w:rPr>
        <w:t xml:space="preserve"> Report 2019 </w:t>
      </w:r>
      <w:r w:rsidRPr="00176733">
        <w:rPr>
          <w:szCs w:val="18"/>
          <w:lang w:val="nl-NL"/>
        </w:rPr>
        <w:t>(AMR) en de aanbevelingen voor de eurozone. Deze documenten vormen het startsein van de jaarlijkse budgettaire en economische coördinatie tussen lidstaten in het kader van het Europees Semester.</w:t>
      </w:r>
    </w:p>
    <w:p w:rsidRPr="00176733" w:rsidR="007D0CEC" w:rsidP="00D4412E" w:rsidRDefault="007D0CEC" w14:paraId="0792A00A" w14:textId="053D832A">
      <w:pPr>
        <w:spacing w:after="0"/>
        <w:jc w:val="both"/>
        <w:rPr>
          <w:szCs w:val="18"/>
          <w:lang w:val="nl-NL"/>
        </w:rPr>
      </w:pPr>
      <w:r w:rsidRPr="00176733">
        <w:rPr>
          <w:szCs w:val="18"/>
          <w:lang w:val="nl-NL"/>
        </w:rPr>
        <w:t xml:space="preserve"> </w:t>
      </w:r>
    </w:p>
    <w:p w:rsidRPr="00176733" w:rsidR="00D107B4" w:rsidP="00D4412E" w:rsidRDefault="007D0CEC" w14:paraId="2B3A2CD1" w14:textId="0769F79A">
      <w:pPr>
        <w:spacing w:after="0"/>
        <w:jc w:val="both"/>
        <w:rPr>
          <w:b/>
          <w:szCs w:val="18"/>
          <w:lang w:val="nl-NL"/>
        </w:rPr>
      </w:pPr>
      <w:r w:rsidRPr="00176733">
        <w:rPr>
          <w:szCs w:val="18"/>
          <w:lang w:val="nl-NL"/>
        </w:rPr>
        <w:t>In de AGS blikt de Europese Commissie vooruit op de belangrijkste economische beleidsuitdagingen voor het komende jaar. Het maken van de juiste beleidskeuzen is cruciaal voor het verhogen van groei, het creëren van aantrekkelijke banen en het opbouwen van weerbaarheid om toekomstige schokken op te vangen. Met de nadruk op (i) investeringen, (ii) structurele hervormingen en (iii) verantwoord begrotingsbeleid hanteert de Europese Commissie dezelfde drieslag als in voorgaande jaren. T.a.v. investeringen wordt de nadruk gelegd op R&amp;D, onderwijs en vaardigheden alsook de transitie naar een groenere economie. Structurele hervormingen moeten worden gericht op het verhogen van de productiviteit, het iedereen laten meeprofiteren van extra groei en het versterken van instituties. Bij openbare financiën wordt tot slot het belang benadrukt van het opbouwen van buffers in goede tijden, het waarborgen van de houdbaarheid op de lange termijn in het licht van de stijgende kosten van de vergrijzing en het verbeteren van de kwaliteit en samenstelling van publieke inkomsten en uitgaven</w:t>
      </w:r>
      <w:r w:rsidRPr="00176733">
        <w:rPr>
          <w:b/>
          <w:szCs w:val="18"/>
          <w:lang w:val="nl-NL"/>
        </w:rPr>
        <w:t>.</w:t>
      </w:r>
    </w:p>
    <w:p w:rsidRPr="00176733" w:rsidR="007D0CEC" w:rsidP="00D4412E" w:rsidRDefault="007D0CEC" w14:paraId="67CDCF27" w14:textId="7E639AEA">
      <w:pPr>
        <w:spacing w:after="0"/>
        <w:jc w:val="both"/>
        <w:rPr>
          <w:b/>
          <w:szCs w:val="18"/>
          <w:lang w:val="nl-NL"/>
        </w:rPr>
      </w:pPr>
    </w:p>
    <w:p w:rsidRPr="00176733" w:rsidR="007D0CEC" w:rsidP="00D4412E" w:rsidRDefault="007D0CEC" w14:paraId="4E3B0336" w14:textId="13B5594C">
      <w:pPr>
        <w:spacing w:after="0"/>
        <w:jc w:val="both"/>
        <w:rPr>
          <w:szCs w:val="18"/>
          <w:lang w:val="nl-NL"/>
        </w:rPr>
      </w:pPr>
      <w:r w:rsidRPr="00176733">
        <w:rPr>
          <w:szCs w:val="18"/>
          <w:lang w:val="nl-NL"/>
        </w:rPr>
        <w:t>De bespreking in de RAZ betreft een presentatie door de Europese Commissie en eerste gedachtewisseling onder lid</w:t>
      </w:r>
      <w:r w:rsidRPr="00176733" w:rsidR="001E6642">
        <w:rPr>
          <w:szCs w:val="18"/>
          <w:lang w:val="nl-NL"/>
        </w:rPr>
        <w:t>staten. In januari zal de Ecofin-Raad</w:t>
      </w:r>
      <w:r w:rsidRPr="00176733">
        <w:rPr>
          <w:szCs w:val="18"/>
          <w:lang w:val="nl-NL"/>
        </w:rPr>
        <w:t xml:space="preserve"> de documenten </w:t>
      </w:r>
      <w:r w:rsidRPr="00176733" w:rsidR="001E6642">
        <w:rPr>
          <w:szCs w:val="18"/>
          <w:lang w:val="nl-NL"/>
        </w:rPr>
        <w:t xml:space="preserve">nader </w:t>
      </w:r>
      <w:r w:rsidRPr="00176733">
        <w:rPr>
          <w:szCs w:val="18"/>
          <w:lang w:val="nl-NL"/>
        </w:rPr>
        <w:t xml:space="preserve">bespreken en conclusies formuleren over de AGS en het AMR. Ook zullen de aanbevelingen voor de eurozone, na </w:t>
      </w:r>
      <w:r w:rsidRPr="00176733" w:rsidR="001E6642">
        <w:rPr>
          <w:szCs w:val="18"/>
          <w:lang w:val="nl-NL"/>
        </w:rPr>
        <w:t xml:space="preserve">bespreking door </w:t>
      </w:r>
      <w:r w:rsidRPr="00176733">
        <w:rPr>
          <w:szCs w:val="18"/>
          <w:lang w:val="nl-NL"/>
        </w:rPr>
        <w:t>de Eurogroep, in januari naar verwachting worden goedgekeurd door de Ecofin</w:t>
      </w:r>
      <w:r w:rsidRPr="00176733" w:rsidR="001E6642">
        <w:rPr>
          <w:szCs w:val="18"/>
          <w:lang w:val="nl-NL"/>
        </w:rPr>
        <w:t>-Raad</w:t>
      </w:r>
      <w:r w:rsidRPr="00176733">
        <w:rPr>
          <w:szCs w:val="18"/>
          <w:lang w:val="nl-NL"/>
        </w:rPr>
        <w:t>. De Kamer zal per kamerbrief nader worden geïnformeerd over de inhoud van deze documenten en de appreciatie van het kabinet.</w:t>
      </w:r>
    </w:p>
    <w:p w:rsidRPr="00176733" w:rsidR="004A4063" w:rsidP="00D4412E" w:rsidRDefault="004A4063" w14:paraId="2F2F8309" w14:textId="0DD6B9D1">
      <w:pPr>
        <w:spacing w:after="0"/>
        <w:jc w:val="both"/>
        <w:rPr>
          <w:b/>
          <w:szCs w:val="18"/>
          <w:lang w:val="nl-NL"/>
        </w:rPr>
      </w:pPr>
    </w:p>
    <w:p w:rsidRPr="00176733" w:rsidR="0003147B" w:rsidP="00D4412E" w:rsidRDefault="00176733" w14:paraId="4EBA7746" w14:textId="5DCD5E8D">
      <w:pPr>
        <w:spacing w:after="0"/>
        <w:jc w:val="both"/>
        <w:rPr>
          <w:rFonts w:cs="Calibri"/>
          <w:szCs w:val="18"/>
          <w:lang w:val="nl-NL"/>
        </w:rPr>
      </w:pPr>
      <w:r w:rsidRPr="00176733">
        <w:rPr>
          <w:rFonts w:cs="Calibri"/>
          <w:b/>
          <w:szCs w:val="18"/>
          <w:lang w:val="nl-NL"/>
        </w:rPr>
        <w:t xml:space="preserve">Rechtsstaat </w:t>
      </w:r>
      <w:r w:rsidRPr="00176733" w:rsidR="0003147B">
        <w:rPr>
          <w:rFonts w:cs="Calibri"/>
          <w:b/>
          <w:szCs w:val="18"/>
          <w:lang w:val="nl-NL"/>
        </w:rPr>
        <w:t>Polen</w:t>
      </w:r>
      <w:r>
        <w:rPr>
          <w:rFonts w:cs="Calibri"/>
          <w:szCs w:val="18"/>
          <w:lang w:val="nl-NL"/>
        </w:rPr>
        <w:t xml:space="preserve"> </w:t>
      </w:r>
    </w:p>
    <w:p w:rsidRPr="008D703C" w:rsidR="0003147B" w:rsidP="00D4412E" w:rsidRDefault="00123D11" w14:paraId="2E748EFB" w14:textId="7F0D886C">
      <w:pPr>
        <w:jc w:val="both"/>
        <w:rPr>
          <w:rFonts w:cs="Calibri"/>
          <w:szCs w:val="18"/>
          <w:lang w:val="nl-NL"/>
        </w:rPr>
      </w:pPr>
      <w:r w:rsidRPr="00123D11">
        <w:rPr>
          <w:rFonts w:cs="Calibri"/>
          <w:szCs w:val="18"/>
          <w:lang w:val="nl-NL"/>
        </w:rPr>
        <w:t xml:space="preserve">De Raad zal een derde hoorzitting voeren met Polen in het kader van de artikel 7-procedure. De reikwijdte van de hoorzitting heeft betrekking op de onderwerpen uit het met redenen omklede voorstel van de Commissie uit december 2017. De recent aangekondigde wetswijziging inzake de Wet op het Hooggerechtshof lijkt een positieve ontwikkeling, maar het is nog te vroeg om daarover </w:t>
      </w:r>
      <w:r w:rsidRPr="00123D11">
        <w:rPr>
          <w:rFonts w:cs="Calibri"/>
          <w:szCs w:val="18"/>
          <w:lang w:val="nl-NL"/>
        </w:rPr>
        <w:lastRenderedPageBreak/>
        <w:t xml:space="preserve">een definitief oordeel te kunnen vellen. Het is belangrijk om eerst een goed begrip te hebben van de precieze inhoud en aard van de voorgestelde wetswijziging en de verdere doorgang hiervan. Ook moet nog blijken of Polen nu geheel aan deze voorlopige uitspraak en de bezwaren van de </w:t>
      </w:r>
      <w:r w:rsidR="00B1776F">
        <w:rPr>
          <w:rFonts w:cs="Calibri"/>
          <w:szCs w:val="18"/>
          <w:lang w:val="nl-NL"/>
        </w:rPr>
        <w:t>Commissie</w:t>
      </w:r>
      <w:r w:rsidRPr="00123D11">
        <w:rPr>
          <w:rFonts w:cs="Calibri"/>
          <w:szCs w:val="18"/>
          <w:lang w:val="nl-NL"/>
        </w:rPr>
        <w:t xml:space="preserve"> in de inbreukzaak tegemoet komt. Bovendien beslaat het voorstel van de Commissie dat de artikel 7-procedure inleidde nog een aantal andere punten met betrekking tot de rechtsstaat in Polen waarover de zorgen voortduren. Nederland acht deze derde hoorzitting met Polen daarom opportuun.</w:t>
      </w:r>
    </w:p>
    <w:p w:rsidR="00176733" w:rsidP="00D4412E" w:rsidRDefault="00176733" w14:paraId="2E1F9DB6" w14:textId="6190C720">
      <w:pPr>
        <w:spacing w:after="0"/>
        <w:jc w:val="both"/>
        <w:rPr>
          <w:szCs w:val="18"/>
          <w:lang w:val="nl-NL"/>
        </w:rPr>
      </w:pPr>
      <w:r w:rsidRPr="00176733">
        <w:rPr>
          <w:b/>
          <w:szCs w:val="18"/>
          <w:lang w:val="nl-NL"/>
        </w:rPr>
        <w:t>Waarden van de Unie – Hongarije</w:t>
      </w:r>
    </w:p>
    <w:p w:rsidR="00176733" w:rsidP="00D4412E" w:rsidRDefault="00123D11" w14:paraId="060ECB5B" w14:textId="4269BA68">
      <w:pPr>
        <w:spacing w:after="0"/>
        <w:jc w:val="both"/>
        <w:rPr>
          <w:szCs w:val="18"/>
          <w:lang w:val="nl-NL"/>
        </w:rPr>
      </w:pPr>
      <w:r w:rsidRPr="00123D11">
        <w:rPr>
          <w:szCs w:val="18"/>
          <w:lang w:val="nl-NL"/>
        </w:rPr>
        <w:t>De Raad zal de verdere procedurele stappen inzake de door het Europees Parlement ingeleide artikel 7-procedure jegens Hongarije bespreken. Nederland zal daarbij pleiten voor een gedegen en zorgvuldige behandeling die recht doet aan de bestaande zorgen op het gebied van respect voor de Uniewaarden in Hongarije.</w:t>
      </w:r>
    </w:p>
    <w:p w:rsidRPr="00176733" w:rsidR="00176733" w:rsidP="00D4412E" w:rsidRDefault="00176733" w14:paraId="2A0D11BF" w14:textId="77777777">
      <w:pPr>
        <w:spacing w:after="0"/>
        <w:jc w:val="both"/>
        <w:rPr>
          <w:szCs w:val="18"/>
          <w:lang w:val="nl-NL"/>
        </w:rPr>
      </w:pPr>
    </w:p>
    <w:p w:rsidRPr="00176733" w:rsidR="0003147B" w:rsidP="00D4412E" w:rsidRDefault="00256287" w14:paraId="489DFA71" w14:textId="6D21067D">
      <w:pPr>
        <w:spacing w:after="0"/>
        <w:jc w:val="both"/>
        <w:rPr>
          <w:rFonts w:cs="Calibri"/>
          <w:szCs w:val="18"/>
          <w:lang w:val="nl-NL"/>
        </w:rPr>
      </w:pPr>
      <w:r>
        <w:rPr>
          <w:b/>
          <w:szCs w:val="18"/>
          <w:lang w:val="nl-NL"/>
        </w:rPr>
        <w:t>CVM Schengen/Roemenië en Bulgarije</w:t>
      </w:r>
      <w:r w:rsidRPr="00176733" w:rsidR="0003147B">
        <w:rPr>
          <w:szCs w:val="18"/>
          <w:lang w:val="nl-NL"/>
        </w:rPr>
        <w:t xml:space="preserve"> </w:t>
      </w:r>
    </w:p>
    <w:p w:rsidRPr="00176733" w:rsidR="0003147B" w:rsidP="00D4412E" w:rsidRDefault="0003147B" w14:paraId="6F9D90EC" w14:textId="2446948E">
      <w:pPr>
        <w:spacing w:after="0"/>
        <w:jc w:val="both"/>
        <w:rPr>
          <w:szCs w:val="18"/>
          <w:lang w:val="nl-NL"/>
        </w:rPr>
      </w:pPr>
      <w:r w:rsidRPr="00176733">
        <w:rPr>
          <w:szCs w:val="18"/>
          <w:lang w:val="nl-NL"/>
        </w:rPr>
        <w:t xml:space="preserve">Naar verwachting zal de RAZ Raadsconclusies aannemen over de rapporten inzake de voortgang van Roemenië en Bulgarije met betrekking tot het Coöperatie- en Verificatiemechanisme (CVM) die de Commissie op 13 november jl. heeft gepresenteerd. Het kabinet zet in op een weerspiegeling in de Raadsconclusies van de voortgang en tekortkomingen in beide landen, waarbij de Kabinetsappreciatie het uitgangspunt vormt. De Kamerbrief Kabinetsappreciatie CVM-rapporten Roemenië en Bulgarije 2018 zal uw Kamer volgens planning op 30 november a.s. toekomen. </w:t>
      </w:r>
    </w:p>
    <w:p w:rsidR="004A4063" w:rsidP="00D4412E" w:rsidRDefault="004A4063" w14:paraId="6AA070F0" w14:textId="0B5696B4">
      <w:pPr>
        <w:spacing w:after="0"/>
        <w:jc w:val="both"/>
        <w:rPr>
          <w:b/>
          <w:szCs w:val="18"/>
          <w:lang w:val="nl-NL"/>
        </w:rPr>
      </w:pPr>
    </w:p>
    <w:p w:rsidR="00B551AF" w:rsidP="00D4412E" w:rsidRDefault="00B551AF" w14:paraId="25DA0340" w14:textId="77777777">
      <w:pPr>
        <w:spacing w:after="0"/>
        <w:jc w:val="both"/>
        <w:rPr>
          <w:b/>
          <w:szCs w:val="18"/>
          <w:lang w:val="nl-NL"/>
        </w:rPr>
      </w:pPr>
      <w:r>
        <w:rPr>
          <w:b/>
          <w:szCs w:val="18"/>
          <w:lang w:val="nl-NL"/>
        </w:rPr>
        <w:t>Trio voorzitterschapsprogramma</w:t>
      </w:r>
    </w:p>
    <w:p w:rsidRPr="00A14296" w:rsidR="00B551AF" w:rsidP="00D4412E" w:rsidRDefault="00B551AF" w14:paraId="1E0271E1" w14:textId="1329E203">
      <w:pPr>
        <w:spacing w:after="0"/>
        <w:jc w:val="both"/>
        <w:rPr>
          <w:szCs w:val="18"/>
          <w:lang w:val="nl-NL"/>
        </w:rPr>
      </w:pPr>
      <w:r w:rsidRPr="00B551AF">
        <w:rPr>
          <w:szCs w:val="18"/>
          <w:lang w:val="nl-NL"/>
        </w:rPr>
        <w:t xml:space="preserve">De Raad zal een presentatie krijgen over het trio voorzitterschapsprogramma van de aankomende drie EU-voorzitterschappen van Roemenië, Finland en </w:t>
      </w:r>
      <w:r>
        <w:rPr>
          <w:szCs w:val="18"/>
          <w:lang w:val="nl-NL"/>
        </w:rPr>
        <w:t>Kroatië</w:t>
      </w:r>
      <w:r w:rsidR="00CD5B9B">
        <w:rPr>
          <w:szCs w:val="18"/>
          <w:lang w:val="nl-NL"/>
        </w:rPr>
        <w:t>, met verzoek hier mee in te stemmen</w:t>
      </w:r>
      <w:r w:rsidR="008D703C">
        <w:rPr>
          <w:szCs w:val="18"/>
          <w:lang w:val="nl-NL"/>
        </w:rPr>
        <w:t xml:space="preserve">. </w:t>
      </w:r>
      <w:r>
        <w:rPr>
          <w:szCs w:val="18"/>
          <w:lang w:val="nl-NL"/>
        </w:rPr>
        <w:t xml:space="preserve">Het document is op het moment van schrijven nog niet beschikbaar. </w:t>
      </w:r>
    </w:p>
    <w:p w:rsidRPr="00B551AF" w:rsidR="00B551AF" w:rsidP="00D4412E" w:rsidRDefault="00B551AF" w14:paraId="47EBA030" w14:textId="77777777">
      <w:pPr>
        <w:spacing w:after="0"/>
        <w:jc w:val="both"/>
        <w:rPr>
          <w:b/>
          <w:szCs w:val="18"/>
          <w:lang w:val="nl-NL"/>
        </w:rPr>
      </w:pPr>
    </w:p>
    <w:p w:rsidRPr="00A9399E" w:rsidR="004A4063" w:rsidP="00D4412E" w:rsidRDefault="004A4063" w14:paraId="55765405" w14:textId="6657158A">
      <w:pPr>
        <w:spacing w:after="0"/>
        <w:jc w:val="both"/>
        <w:rPr>
          <w:b/>
          <w:szCs w:val="18"/>
          <w:lang w:val="nl-NL"/>
        </w:rPr>
      </w:pPr>
      <w:r w:rsidRPr="00A9399E">
        <w:rPr>
          <w:b/>
          <w:szCs w:val="18"/>
          <w:lang w:val="nl-NL"/>
        </w:rPr>
        <w:t xml:space="preserve">AOB terugkoppeling </w:t>
      </w:r>
      <w:r w:rsidR="00A05A22">
        <w:rPr>
          <w:b/>
          <w:szCs w:val="18"/>
          <w:lang w:val="nl-NL"/>
        </w:rPr>
        <w:t>conferentie s</w:t>
      </w:r>
      <w:r w:rsidRPr="00A9399E" w:rsidR="00A05A22">
        <w:rPr>
          <w:b/>
          <w:szCs w:val="18"/>
          <w:lang w:val="nl-NL"/>
        </w:rPr>
        <w:t>ubsidiariteit</w:t>
      </w:r>
      <w:r w:rsidR="00A05A22">
        <w:rPr>
          <w:b/>
          <w:szCs w:val="18"/>
          <w:lang w:val="nl-NL"/>
        </w:rPr>
        <w:t xml:space="preserve"> en verslag</w:t>
      </w:r>
      <w:r w:rsidRPr="00A9399E" w:rsidR="00A05A22">
        <w:rPr>
          <w:b/>
          <w:szCs w:val="18"/>
          <w:lang w:val="nl-NL"/>
        </w:rPr>
        <w:t xml:space="preserve"> </w:t>
      </w:r>
    </w:p>
    <w:p w:rsidR="008C5A48" w:rsidP="00D4412E" w:rsidRDefault="00A9399E" w14:paraId="2041F579" w14:textId="56D8DDA7">
      <w:pPr>
        <w:spacing w:after="0"/>
        <w:jc w:val="both"/>
        <w:rPr>
          <w:szCs w:val="18"/>
          <w:lang w:val="nl-NL"/>
        </w:rPr>
      </w:pPr>
      <w:r w:rsidRPr="00A14296">
        <w:rPr>
          <w:szCs w:val="18"/>
          <w:lang w:val="nl-NL"/>
        </w:rPr>
        <w:t>Het voorzitterschap zal naar verwachting kort stilstaan bij de conferentie over subsidiari</w:t>
      </w:r>
      <w:r>
        <w:rPr>
          <w:szCs w:val="18"/>
          <w:lang w:val="nl-NL"/>
        </w:rPr>
        <w:t xml:space="preserve">teit die ze op 15 en 16 november jl. organiseerde in Bregenz. Er worden geen interventies verwacht op dit agendapunt. Mogelijk zal het voorzitterschap </w:t>
      </w:r>
      <w:r w:rsidR="00A05A22">
        <w:rPr>
          <w:szCs w:val="18"/>
          <w:lang w:val="nl-NL"/>
        </w:rPr>
        <w:t>verwijzen naar</w:t>
      </w:r>
      <w:r>
        <w:rPr>
          <w:szCs w:val="18"/>
          <w:lang w:val="nl-NL"/>
        </w:rPr>
        <w:t xml:space="preserve"> de verklaring die het voorzitterschap opstelde naar aanleiding van de conferentie</w:t>
      </w:r>
      <w:r w:rsidR="00A05A22">
        <w:rPr>
          <w:rStyle w:val="Voetnootmarkering"/>
          <w:szCs w:val="18"/>
          <w:lang w:val="nl-NL"/>
        </w:rPr>
        <w:footnoteReference w:id="2"/>
      </w:r>
      <w:r w:rsidR="00A05A22">
        <w:rPr>
          <w:szCs w:val="18"/>
          <w:lang w:val="nl-NL"/>
        </w:rPr>
        <w:t>.</w:t>
      </w:r>
      <w:r>
        <w:rPr>
          <w:szCs w:val="18"/>
          <w:lang w:val="nl-NL"/>
        </w:rPr>
        <w:t xml:space="preserve"> </w:t>
      </w:r>
    </w:p>
    <w:p w:rsidR="00A9399E" w:rsidP="00D4412E" w:rsidRDefault="00A9399E" w14:paraId="4E9C6971" w14:textId="4D72003D">
      <w:pPr>
        <w:spacing w:after="0"/>
        <w:jc w:val="both"/>
        <w:rPr>
          <w:szCs w:val="18"/>
          <w:lang w:val="nl-NL"/>
        </w:rPr>
      </w:pPr>
    </w:p>
    <w:p w:rsidRPr="008D703C" w:rsidR="00A9399E" w:rsidP="00D4412E" w:rsidRDefault="00261337" w14:paraId="34D3859D" w14:textId="49850460">
      <w:pPr>
        <w:jc w:val="both"/>
        <w:rPr>
          <w:szCs w:val="18"/>
          <w:lang w:val="nl-NL"/>
        </w:rPr>
      </w:pPr>
      <w:r>
        <w:rPr>
          <w:szCs w:val="18"/>
          <w:lang w:val="nl-NL"/>
        </w:rPr>
        <w:t>Naar aanleiding van uw verzoek van 23 oktober j. vindt u hieronder e</w:t>
      </w:r>
      <w:r w:rsidR="00AE7EC4">
        <w:rPr>
          <w:szCs w:val="18"/>
          <w:lang w:val="nl-NL"/>
        </w:rPr>
        <w:t xml:space="preserve">en verslag van </w:t>
      </w:r>
      <w:r w:rsidR="00193F01">
        <w:rPr>
          <w:szCs w:val="18"/>
          <w:lang w:val="nl-NL"/>
        </w:rPr>
        <w:t xml:space="preserve">de </w:t>
      </w:r>
      <w:r w:rsidRPr="008D703C" w:rsidR="00193F01">
        <w:rPr>
          <w:szCs w:val="18"/>
          <w:lang w:val="nl-NL"/>
        </w:rPr>
        <w:t>subsidiariteits</w:t>
      </w:r>
      <w:r w:rsidRPr="008D703C" w:rsidR="00AE7EC4">
        <w:rPr>
          <w:szCs w:val="18"/>
          <w:lang w:val="nl-NL"/>
        </w:rPr>
        <w:t>- en proportionaliteits</w:t>
      </w:r>
      <w:r w:rsidRPr="008D703C" w:rsidR="00193F01">
        <w:rPr>
          <w:szCs w:val="18"/>
          <w:lang w:val="nl-NL"/>
        </w:rPr>
        <w:t>conferentie</w:t>
      </w:r>
      <w:r w:rsidRPr="008D703C" w:rsidR="00AE7EC4">
        <w:rPr>
          <w:szCs w:val="18"/>
          <w:lang w:val="nl-NL"/>
        </w:rPr>
        <w:t>.</w:t>
      </w:r>
    </w:p>
    <w:p w:rsidRPr="008D703C" w:rsidR="00193F01" w:rsidP="00D4412E" w:rsidRDefault="00193F01" w14:paraId="19AECDB8" w14:textId="73E4DE85">
      <w:pPr>
        <w:spacing w:after="0"/>
        <w:jc w:val="both"/>
        <w:rPr>
          <w:rFonts w:ascii="Calibri" w:hAnsi="Calibri"/>
          <w:sz w:val="22"/>
          <w:lang w:val="nl-NL"/>
        </w:rPr>
      </w:pPr>
      <w:r w:rsidRPr="008D703C">
        <w:rPr>
          <w:lang w:val="nl-NL"/>
        </w:rPr>
        <w:t>Op 15 en 16 november jl. von</w:t>
      </w:r>
      <w:r w:rsidR="0007719B">
        <w:rPr>
          <w:lang w:val="nl-NL"/>
        </w:rPr>
        <w:t>d onder organisatie van het Oostenrijks</w:t>
      </w:r>
      <w:r w:rsidR="0020498C">
        <w:rPr>
          <w:lang w:val="nl-NL"/>
        </w:rPr>
        <w:t>e</w:t>
      </w:r>
      <w:r w:rsidRPr="008D703C" w:rsidR="00AE7EC4">
        <w:rPr>
          <w:lang w:val="nl-NL"/>
        </w:rPr>
        <w:t xml:space="preserve"> </w:t>
      </w:r>
      <w:r w:rsidRPr="008D703C">
        <w:rPr>
          <w:lang w:val="nl-NL"/>
        </w:rPr>
        <w:t>v</w:t>
      </w:r>
      <w:r w:rsidRPr="008D703C" w:rsidR="00AE7EC4">
        <w:rPr>
          <w:lang w:val="nl-NL"/>
        </w:rPr>
        <w:t>oor</w:t>
      </w:r>
      <w:r w:rsidRPr="008D703C">
        <w:rPr>
          <w:lang w:val="nl-NL"/>
        </w:rPr>
        <w:t>z</w:t>
      </w:r>
      <w:r w:rsidRPr="008D703C" w:rsidR="00AE7EC4">
        <w:rPr>
          <w:lang w:val="nl-NL"/>
        </w:rPr>
        <w:t>itter</w:t>
      </w:r>
      <w:r w:rsidRPr="008D703C">
        <w:rPr>
          <w:lang w:val="nl-NL"/>
        </w:rPr>
        <w:t>schap in Bregenz een conferentie plaats over subsidiariteit en proportionalitei</w:t>
      </w:r>
      <w:r w:rsidR="008D703C">
        <w:rPr>
          <w:lang w:val="nl-NL"/>
        </w:rPr>
        <w:t>t. Sprekers waren onder meer: Bondskanselier</w:t>
      </w:r>
      <w:r w:rsidRPr="008D703C">
        <w:rPr>
          <w:lang w:val="nl-NL"/>
        </w:rPr>
        <w:t xml:space="preserve"> Kurz (openingsspeech), Min</w:t>
      </w:r>
      <w:r w:rsidRPr="008D703C" w:rsidR="006B69B1">
        <w:rPr>
          <w:lang w:val="nl-NL"/>
        </w:rPr>
        <w:t>ister voor</w:t>
      </w:r>
      <w:r w:rsidRPr="008D703C">
        <w:rPr>
          <w:lang w:val="nl-NL"/>
        </w:rPr>
        <w:t xml:space="preserve"> EU</w:t>
      </w:r>
      <w:r w:rsidRPr="008D703C" w:rsidR="006B69B1">
        <w:rPr>
          <w:lang w:val="nl-NL"/>
        </w:rPr>
        <w:t xml:space="preserve"> zaken</w:t>
      </w:r>
      <w:r w:rsidRPr="008D703C">
        <w:rPr>
          <w:lang w:val="nl-NL"/>
        </w:rPr>
        <w:t xml:space="preserve"> en Kunst, Cultuur en Media, Blûmel, </w:t>
      </w:r>
      <w:r w:rsidRPr="008D703C" w:rsidR="006B69B1">
        <w:rPr>
          <w:lang w:val="nl-NL"/>
        </w:rPr>
        <w:t>Eerste vicevoorzitter van de Europese Commissie</w:t>
      </w:r>
      <w:r w:rsidRPr="008D703C">
        <w:rPr>
          <w:lang w:val="nl-NL"/>
        </w:rPr>
        <w:t xml:space="preserve"> Timmermans, het </w:t>
      </w:r>
      <w:r w:rsidRPr="008D703C" w:rsidR="006B69B1">
        <w:rPr>
          <w:lang w:val="nl-NL"/>
        </w:rPr>
        <w:t>Oostenrijkse</w:t>
      </w:r>
      <w:r w:rsidRPr="008D703C">
        <w:rPr>
          <w:lang w:val="nl-NL"/>
        </w:rPr>
        <w:t xml:space="preserve"> lid van de Taskforce</w:t>
      </w:r>
      <w:r w:rsidRPr="008D703C" w:rsidR="006B69B1">
        <w:rPr>
          <w:lang w:val="nl-NL"/>
        </w:rPr>
        <w:t xml:space="preserve"> Subsidiariteit </w:t>
      </w:r>
      <w:r w:rsidRPr="008D703C">
        <w:rPr>
          <w:lang w:val="nl-NL"/>
        </w:rPr>
        <w:t xml:space="preserve">Lopatka, de </w:t>
      </w:r>
      <w:r w:rsidRPr="008D703C" w:rsidR="006B69B1">
        <w:rPr>
          <w:lang w:val="nl-NL"/>
        </w:rPr>
        <w:t>Voorzitter</w:t>
      </w:r>
      <w:r w:rsidRPr="008D703C">
        <w:rPr>
          <w:lang w:val="nl-NL"/>
        </w:rPr>
        <w:t xml:space="preserve"> van het Comité van de Regio’s, </w:t>
      </w:r>
      <w:r w:rsidRPr="008D703C" w:rsidR="00D234F3">
        <w:rPr>
          <w:lang w:val="nl-NL"/>
        </w:rPr>
        <w:t>Lambert</w:t>
      </w:r>
      <w:r w:rsidRPr="008D703C">
        <w:rPr>
          <w:lang w:val="nl-NL"/>
        </w:rPr>
        <w:t xml:space="preserve"> en de vice-voorzitter van het EP, McGuinness. Onder de aanwezigen waren veel parlementsleden van de </w:t>
      </w:r>
      <w:r w:rsidRPr="008D703C" w:rsidR="006B69B1">
        <w:rPr>
          <w:lang w:val="nl-NL"/>
        </w:rPr>
        <w:t>lidstaten</w:t>
      </w:r>
      <w:r w:rsidRPr="008D703C">
        <w:rPr>
          <w:lang w:val="nl-NL"/>
        </w:rPr>
        <w:t>, vertegenwoordigers van lokale en regionale overheden en vertegenwoordigers van het MKB. Tijdens de 2</w:t>
      </w:r>
      <w:r w:rsidRPr="008D703C">
        <w:rPr>
          <w:vertAlign w:val="superscript"/>
          <w:lang w:val="nl-NL"/>
        </w:rPr>
        <w:t>e</w:t>
      </w:r>
      <w:r w:rsidRPr="008D703C">
        <w:rPr>
          <w:lang w:val="nl-NL"/>
        </w:rPr>
        <w:t xml:space="preserve"> conferentiedag was ook het EP vertegenwoordigd. </w:t>
      </w:r>
    </w:p>
    <w:p w:rsidRPr="008D703C" w:rsidR="00193F01" w:rsidP="00D4412E" w:rsidRDefault="00193F01" w14:paraId="6216C83C" w14:textId="1751B0E3">
      <w:pPr>
        <w:spacing w:after="0"/>
        <w:jc w:val="both"/>
        <w:rPr>
          <w:lang w:val="nl-NL"/>
        </w:rPr>
      </w:pPr>
      <w:r w:rsidRPr="008D703C">
        <w:rPr>
          <w:lang w:val="nl-NL"/>
        </w:rPr>
        <w:t xml:space="preserve">De belangrijkste conclusies van de conferentie zijn vervat in een verklaring van het vzschap (zie </w:t>
      </w:r>
      <w:r w:rsidRPr="008D703C" w:rsidR="006B69B1">
        <w:rPr>
          <w:lang w:val="nl-NL"/>
        </w:rPr>
        <w:t>boven</w:t>
      </w:r>
      <w:r w:rsidRPr="008D703C">
        <w:rPr>
          <w:lang w:val="nl-NL"/>
        </w:rPr>
        <w:t xml:space="preserve">). Deze verklaring sluit </w:t>
      </w:r>
      <w:r w:rsidRPr="008D703C" w:rsidR="00A30E84">
        <w:rPr>
          <w:lang w:val="nl-NL"/>
        </w:rPr>
        <w:t>nauw</w:t>
      </w:r>
      <w:r w:rsidRPr="008D703C">
        <w:rPr>
          <w:lang w:val="nl-NL"/>
        </w:rPr>
        <w:t xml:space="preserve"> aan bij het rapport van de Taskforce en de </w:t>
      </w:r>
      <w:r w:rsidRPr="008D703C" w:rsidR="006B69B1">
        <w:rPr>
          <w:lang w:val="nl-NL"/>
        </w:rPr>
        <w:t>Commissie</w:t>
      </w:r>
      <w:r w:rsidRPr="008D703C">
        <w:rPr>
          <w:lang w:val="nl-NL"/>
        </w:rPr>
        <w:t>-mededeling over subsidiariteit en proportionaliteit. Belangrijke elementen</w:t>
      </w:r>
      <w:r w:rsidRPr="008D703C" w:rsidR="006B69B1">
        <w:rPr>
          <w:lang w:val="nl-NL"/>
        </w:rPr>
        <w:t xml:space="preserve"> daarin zijn</w:t>
      </w:r>
      <w:r w:rsidRPr="008D703C">
        <w:rPr>
          <w:lang w:val="nl-NL"/>
        </w:rPr>
        <w:t xml:space="preserve">: </w:t>
      </w:r>
    </w:p>
    <w:p w:rsidRPr="008D703C" w:rsidR="00193F01" w:rsidP="00D4412E" w:rsidRDefault="00193F01" w14:paraId="1F0C8F13" w14:textId="77777777">
      <w:pPr>
        <w:pStyle w:val="Lijstalinea"/>
        <w:numPr>
          <w:ilvl w:val="0"/>
          <w:numId w:val="10"/>
        </w:numPr>
        <w:spacing w:after="0"/>
        <w:contextualSpacing w:val="0"/>
        <w:jc w:val="both"/>
        <w:rPr>
          <w:lang w:val="nl-NL"/>
        </w:rPr>
      </w:pPr>
      <w:r w:rsidRPr="008D703C">
        <w:rPr>
          <w:lang w:val="nl-NL"/>
        </w:rPr>
        <w:t>Meer Europa op de grote thema’s en focus op de belangrijkste uitdagingen, zoals migratie, klimaat, veiligheid;</w:t>
      </w:r>
    </w:p>
    <w:p w:rsidRPr="008D703C" w:rsidR="00193F01" w:rsidP="00D4412E" w:rsidRDefault="00193F01" w14:paraId="3FD9873F" w14:textId="77777777">
      <w:pPr>
        <w:pStyle w:val="Lijstalinea"/>
        <w:numPr>
          <w:ilvl w:val="0"/>
          <w:numId w:val="10"/>
        </w:numPr>
        <w:spacing w:after="0"/>
        <w:contextualSpacing w:val="0"/>
        <w:jc w:val="both"/>
        <w:rPr>
          <w:lang w:val="nl-NL"/>
        </w:rPr>
      </w:pPr>
      <w:r w:rsidRPr="008D703C">
        <w:rPr>
          <w:lang w:val="nl-NL"/>
        </w:rPr>
        <w:t>Evaluatie van het bestaande wetgevingsbestand en intrekken of vereenvoudigen van die regels die niet subsidiair of proportioneel zijn (REFIT);</w:t>
      </w:r>
    </w:p>
    <w:p w:rsidRPr="008D703C" w:rsidR="00193F01" w:rsidP="00D4412E" w:rsidRDefault="00193F01" w14:paraId="17265055" w14:textId="77777777">
      <w:pPr>
        <w:pStyle w:val="Lijstalinea"/>
        <w:numPr>
          <w:ilvl w:val="0"/>
          <w:numId w:val="10"/>
        </w:numPr>
        <w:spacing w:after="0"/>
        <w:contextualSpacing w:val="0"/>
        <w:jc w:val="both"/>
        <w:rPr>
          <w:lang w:val="nl-NL"/>
        </w:rPr>
      </w:pPr>
      <w:r w:rsidRPr="008D703C">
        <w:rPr>
          <w:lang w:val="nl-NL"/>
        </w:rPr>
        <w:t>Voldoende ruimte laten in EU-wetgeving voor differentiatie op nationaal, regionaal en lokaal niveau;</w:t>
      </w:r>
    </w:p>
    <w:p w:rsidRPr="008D703C" w:rsidR="00193F01" w:rsidP="00D4412E" w:rsidRDefault="00193F01" w14:paraId="33E49B8E" w14:textId="77777777">
      <w:pPr>
        <w:pStyle w:val="Lijstalinea"/>
        <w:numPr>
          <w:ilvl w:val="0"/>
          <w:numId w:val="10"/>
        </w:numPr>
        <w:spacing w:after="0"/>
        <w:contextualSpacing w:val="0"/>
        <w:jc w:val="both"/>
        <w:rPr>
          <w:lang w:val="nl-NL"/>
        </w:rPr>
      </w:pPr>
      <w:r w:rsidRPr="008D703C">
        <w:rPr>
          <w:lang w:val="nl-NL"/>
        </w:rPr>
        <w:t>Versterken betrokkenheid en zichtbaarheid van regionale en lokale overheden in het EU-wetgevingsproces;</w:t>
      </w:r>
    </w:p>
    <w:p w:rsidRPr="008D703C" w:rsidR="00193F01" w:rsidP="00D4412E" w:rsidRDefault="00193F01" w14:paraId="643065C9" w14:textId="35419CC9">
      <w:pPr>
        <w:pStyle w:val="Lijstalinea"/>
        <w:numPr>
          <w:ilvl w:val="0"/>
          <w:numId w:val="10"/>
        </w:numPr>
        <w:spacing w:after="0"/>
        <w:contextualSpacing w:val="0"/>
        <w:jc w:val="both"/>
        <w:rPr>
          <w:lang w:val="nl-NL"/>
        </w:rPr>
      </w:pPr>
      <w:r w:rsidRPr="008D703C">
        <w:rPr>
          <w:lang w:val="nl-NL"/>
        </w:rPr>
        <w:t xml:space="preserve">Oproep om het door de Taskforce ontworpen beoordelingskader voor subsidiariteit en proportionaliteit (‘assessment grid’) toe te passen; </w:t>
      </w:r>
      <w:r w:rsidRPr="008D703C" w:rsidR="006B69B1">
        <w:rPr>
          <w:lang w:val="nl-NL"/>
        </w:rPr>
        <w:t xml:space="preserve">dit </w:t>
      </w:r>
      <w:r w:rsidRPr="008D703C">
        <w:rPr>
          <w:lang w:val="nl-NL"/>
        </w:rPr>
        <w:t>betreft een gezamenlijke verantwoordelijkheid van CIE, Raad, EP, nationale parlementen en regionale en lokale overheden;</w:t>
      </w:r>
    </w:p>
    <w:p w:rsidRPr="008D703C" w:rsidR="00A9399E" w:rsidP="00D4412E" w:rsidRDefault="00193F01" w14:paraId="3B2358F9" w14:textId="10190AE2">
      <w:pPr>
        <w:pStyle w:val="Lijstalinea"/>
        <w:numPr>
          <w:ilvl w:val="0"/>
          <w:numId w:val="10"/>
        </w:numPr>
        <w:spacing w:after="0"/>
        <w:contextualSpacing w:val="0"/>
        <w:jc w:val="both"/>
        <w:rPr>
          <w:lang w:val="nl-NL"/>
        </w:rPr>
      </w:pPr>
      <w:r w:rsidRPr="008D703C">
        <w:rPr>
          <w:lang w:val="nl-NL"/>
        </w:rPr>
        <w:t xml:space="preserve">Flexibele toepassing van de reactietermijn voor nationale parlementen bij de beoordeling van de subsidiariteit van EU-voorstellen (gele en oranje kaart). </w:t>
      </w:r>
    </w:p>
    <w:p w:rsidRPr="008D703C" w:rsidR="00A9399E" w:rsidP="00D4412E" w:rsidRDefault="00A9399E" w14:paraId="7449E25B" w14:textId="7985D74F">
      <w:pPr>
        <w:jc w:val="both"/>
        <w:rPr>
          <w:szCs w:val="18"/>
          <w:lang w:val="nl-NL"/>
        </w:rPr>
      </w:pPr>
      <w:r w:rsidRPr="008D703C">
        <w:rPr>
          <w:szCs w:val="18"/>
          <w:lang w:val="nl-NL"/>
        </w:rPr>
        <w:lastRenderedPageBreak/>
        <w:t>Op 7 december ontvangt uw Kamer het BNC-fiche over de mededeling ‘een grotere rol voor de beginselen van subsidiariteit en evenredigheid bij de beleidsvorming van de EU’</w:t>
      </w:r>
      <w:r w:rsidRPr="008D703C" w:rsidR="00A30E84">
        <w:rPr>
          <w:szCs w:val="18"/>
          <w:lang w:val="nl-NL"/>
        </w:rPr>
        <w:t>.</w:t>
      </w:r>
      <w:r w:rsidRPr="008D703C" w:rsidR="00A30E84">
        <w:rPr>
          <w:rStyle w:val="Voetnootmarkering"/>
          <w:szCs w:val="18"/>
          <w:lang w:val="nl-NL"/>
        </w:rPr>
        <w:footnoteReference w:id="3"/>
      </w:r>
      <w:r w:rsidRPr="008D703C">
        <w:rPr>
          <w:szCs w:val="18"/>
          <w:lang w:val="nl-NL"/>
        </w:rPr>
        <w:t xml:space="preserve"> </w:t>
      </w:r>
      <w:r w:rsidRPr="008D703C" w:rsidR="006B69B1">
        <w:rPr>
          <w:szCs w:val="18"/>
          <w:lang w:val="nl-NL"/>
        </w:rPr>
        <w:t>Daarin zal de nadere Nederlandse stellingname op bovenstaande onderwerpen zijn opgenomen</w:t>
      </w:r>
      <w:r w:rsidRPr="008D703C">
        <w:rPr>
          <w:szCs w:val="18"/>
          <w:lang w:val="nl-NL"/>
        </w:rPr>
        <w:t xml:space="preserve">. </w:t>
      </w:r>
    </w:p>
    <w:p w:rsidRPr="008D703C" w:rsidR="00A9399E" w:rsidP="00D4412E" w:rsidRDefault="00A9399E" w14:paraId="297FF4DC" w14:textId="67F5A390">
      <w:pPr>
        <w:spacing w:after="0"/>
        <w:jc w:val="both"/>
        <w:rPr>
          <w:szCs w:val="18"/>
          <w:lang w:val="nl-NL"/>
        </w:rPr>
      </w:pPr>
    </w:p>
    <w:p w:rsidRPr="008D703C" w:rsidR="00176733" w:rsidP="00D4412E" w:rsidRDefault="00176733" w14:paraId="5B2697B2" w14:textId="486787C4">
      <w:pPr>
        <w:spacing w:after="0"/>
        <w:jc w:val="both"/>
        <w:rPr>
          <w:szCs w:val="18"/>
          <w:lang w:val="nl-NL"/>
        </w:rPr>
      </w:pPr>
    </w:p>
    <w:p w:rsidRPr="008D703C" w:rsidR="00EE53CF" w:rsidP="00D4412E" w:rsidRDefault="00EE53CF" w14:paraId="25783B44" w14:textId="06EFB399">
      <w:pPr>
        <w:spacing w:after="0"/>
        <w:jc w:val="both"/>
        <w:rPr>
          <w:szCs w:val="18"/>
          <w:lang w:val="nl-NL"/>
        </w:rPr>
      </w:pPr>
      <w:r w:rsidRPr="008D703C">
        <w:rPr>
          <w:szCs w:val="18"/>
          <w:lang w:val="nl-NL"/>
        </w:rPr>
        <w:t xml:space="preserve"> </w:t>
      </w:r>
    </w:p>
    <w:sectPr w:rsidRPr="008D703C" w:rsidR="00EE53C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5535" w14:textId="77777777" w:rsidR="00261337" w:rsidRDefault="00261337" w:rsidP="00BF70BD">
      <w:pPr>
        <w:spacing w:after="0"/>
      </w:pPr>
      <w:r>
        <w:separator/>
      </w:r>
    </w:p>
  </w:endnote>
  <w:endnote w:type="continuationSeparator" w:id="0">
    <w:p w14:paraId="014F98C0" w14:textId="77777777" w:rsidR="00261337" w:rsidRDefault="00261337" w:rsidP="00BF70BD">
      <w:pPr>
        <w:spacing w:after="0"/>
      </w:pPr>
      <w:r>
        <w:continuationSeparator/>
      </w:r>
    </w:p>
  </w:endnote>
  <w:endnote w:type="continuationNotice" w:id="1">
    <w:p w14:paraId="51DEA63F" w14:textId="77777777" w:rsidR="00261337" w:rsidRDefault="002613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739AE" w14:textId="77777777" w:rsidR="00261337" w:rsidRDefault="00261337" w:rsidP="00BF70BD">
      <w:pPr>
        <w:spacing w:after="0"/>
      </w:pPr>
      <w:r>
        <w:separator/>
      </w:r>
    </w:p>
  </w:footnote>
  <w:footnote w:type="continuationSeparator" w:id="0">
    <w:p w14:paraId="7B56ABD7" w14:textId="77777777" w:rsidR="00261337" w:rsidRDefault="00261337" w:rsidP="00BF70BD">
      <w:pPr>
        <w:spacing w:after="0"/>
      </w:pPr>
      <w:r>
        <w:continuationSeparator/>
      </w:r>
    </w:p>
  </w:footnote>
  <w:footnote w:type="continuationNotice" w:id="1">
    <w:p w14:paraId="1A0D0FC6" w14:textId="77777777" w:rsidR="00261337" w:rsidRDefault="00261337">
      <w:pPr>
        <w:spacing w:after="0"/>
      </w:pPr>
    </w:p>
  </w:footnote>
  <w:footnote w:id="2">
    <w:p w14:paraId="22871EE2" w14:textId="100512E2" w:rsidR="00A05A22" w:rsidRPr="00A14296" w:rsidRDefault="00A05A22" w:rsidP="00A05A22">
      <w:pPr>
        <w:pStyle w:val="Voetnoottekst"/>
        <w:rPr>
          <w:sz w:val="16"/>
          <w:szCs w:val="16"/>
        </w:rPr>
      </w:pPr>
      <w:r w:rsidRPr="00A14296">
        <w:rPr>
          <w:rStyle w:val="Voetnootmarkering"/>
          <w:sz w:val="16"/>
          <w:szCs w:val="16"/>
        </w:rPr>
        <w:footnoteRef/>
      </w:r>
      <w:r w:rsidRPr="00A14296">
        <w:rPr>
          <w:sz w:val="16"/>
          <w:szCs w:val="16"/>
        </w:rPr>
        <w:t xml:space="preserve"> </w:t>
      </w:r>
      <w:proofErr w:type="spellStart"/>
      <w:r w:rsidRPr="00A14296">
        <w:rPr>
          <w:sz w:val="16"/>
          <w:szCs w:val="16"/>
        </w:rPr>
        <w:t>Zie</w:t>
      </w:r>
      <w:proofErr w:type="spellEnd"/>
      <w:r w:rsidRPr="00A14296">
        <w:rPr>
          <w:sz w:val="16"/>
          <w:szCs w:val="16"/>
        </w:rPr>
        <w:t xml:space="preserve"> </w:t>
      </w:r>
      <w:hyperlink r:id="rId1" w:history="1">
        <w:r w:rsidRPr="00A14296">
          <w:rPr>
            <w:rStyle w:val="Hyperlink"/>
            <w:sz w:val="16"/>
            <w:szCs w:val="16"/>
          </w:rPr>
          <w:t>https://www.eu2018.at/calendar-events/political-events/BKA-2018-11-16-Subsidiarity-Conf..html</w:t>
        </w:r>
      </w:hyperlink>
      <w:r w:rsidRPr="00A14296">
        <w:rPr>
          <w:sz w:val="16"/>
          <w:szCs w:val="16"/>
        </w:rPr>
        <w:t xml:space="preserve">, </w:t>
      </w:r>
      <w:proofErr w:type="spellStart"/>
      <w:r w:rsidRPr="00A14296">
        <w:rPr>
          <w:sz w:val="16"/>
          <w:szCs w:val="16"/>
        </w:rPr>
        <w:t>onder</w:t>
      </w:r>
      <w:proofErr w:type="spellEnd"/>
      <w:r w:rsidRPr="00A14296">
        <w:rPr>
          <w:sz w:val="16"/>
          <w:szCs w:val="16"/>
        </w:rPr>
        <w:t xml:space="preserve"> </w:t>
      </w:r>
      <w:r w:rsidRPr="00A14296">
        <w:rPr>
          <w:i/>
          <w:sz w:val="16"/>
          <w:szCs w:val="16"/>
        </w:rPr>
        <w:t>downloads “Declaration by the Chair, 16 November 2018 (EN) (pdf 146.84 kB)”</w:t>
      </w:r>
    </w:p>
  </w:footnote>
  <w:footnote w:id="3">
    <w:p w14:paraId="503DE431" w14:textId="38835C93" w:rsidR="00DC5E21" w:rsidRPr="00A14296" w:rsidRDefault="00DC5E21">
      <w:pPr>
        <w:pStyle w:val="Voetnoottekst"/>
        <w:rPr>
          <w:sz w:val="18"/>
          <w:lang w:val="nl-NL"/>
        </w:rPr>
      </w:pPr>
      <w:r w:rsidRPr="00A14296">
        <w:rPr>
          <w:rStyle w:val="Voetnootmarkering"/>
          <w:sz w:val="18"/>
        </w:rPr>
        <w:footnoteRef/>
      </w:r>
      <w:r w:rsidRPr="00A14296">
        <w:rPr>
          <w:sz w:val="18"/>
          <w:lang w:val="nl-NL"/>
        </w:rPr>
        <w:t xml:space="preserve"> Zie ook uitstelbrief van 22 november 2018 (2018Z21876).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61D"/>
    <w:multiLevelType w:val="hybridMultilevel"/>
    <w:tmpl w:val="8F4863DA"/>
    <w:lvl w:ilvl="0" w:tplc="A050B6BA">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D012319"/>
    <w:multiLevelType w:val="hybridMultilevel"/>
    <w:tmpl w:val="6E24E0F0"/>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10C924B0"/>
    <w:multiLevelType w:val="hybridMultilevel"/>
    <w:tmpl w:val="73309914"/>
    <w:lvl w:ilvl="0" w:tplc="7868AC5E">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 w15:restartNumberingAfterBreak="0">
    <w:nsid w:val="1FC16D0A"/>
    <w:multiLevelType w:val="hybridMultilevel"/>
    <w:tmpl w:val="E1D648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FD099E"/>
    <w:multiLevelType w:val="hybridMultilevel"/>
    <w:tmpl w:val="2612C3E2"/>
    <w:lvl w:ilvl="0" w:tplc="4FC0E8C4">
      <w:start w:val="1"/>
      <w:numFmt w:val="decimal"/>
      <w:lvlText w:val="%1."/>
      <w:lvlJc w:val="left"/>
      <w:pPr>
        <w:ind w:left="794" w:hanging="437"/>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5" w15:restartNumberingAfterBreak="0">
    <w:nsid w:val="364C438F"/>
    <w:multiLevelType w:val="hybridMultilevel"/>
    <w:tmpl w:val="068A5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016807"/>
    <w:multiLevelType w:val="hybridMultilevel"/>
    <w:tmpl w:val="3B0A5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7D418B"/>
    <w:multiLevelType w:val="hybridMultilevel"/>
    <w:tmpl w:val="9AAE9F96"/>
    <w:lvl w:ilvl="0" w:tplc="75085956">
      <w:numFmt w:val="bullet"/>
      <w:lvlText w:val="-"/>
      <w:lvlJc w:val="left"/>
      <w:pPr>
        <w:ind w:left="720" w:hanging="360"/>
      </w:pPr>
      <w:rPr>
        <w:rFonts w:ascii="Calibri" w:eastAsia="Calibri" w:hAnsi="Calibri" w:cs="Calibri" w:hint="default"/>
        <w:color w:val="000000"/>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4517BB8"/>
    <w:multiLevelType w:val="hybridMultilevel"/>
    <w:tmpl w:val="23BE826E"/>
    <w:lvl w:ilvl="0" w:tplc="0413000B">
      <w:start w:val="1"/>
      <w:numFmt w:val="bullet"/>
      <w:lvlText w:val=""/>
      <w:lvlJc w:val="left"/>
      <w:pPr>
        <w:ind w:left="708" w:hanging="360"/>
      </w:pPr>
      <w:rPr>
        <w:rFonts w:ascii="Wingdings" w:hAnsi="Wingdings" w:hint="default"/>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9" w15:restartNumberingAfterBreak="0">
    <w:nsid w:val="76ED2181"/>
    <w:multiLevelType w:val="hybridMultilevel"/>
    <w:tmpl w:val="70B0A49A"/>
    <w:lvl w:ilvl="0" w:tplc="4E6E4D4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0"/>
  </w:num>
  <w:num w:numId="6">
    <w:abstractNumId w:val="2"/>
  </w:num>
  <w:num w:numId="7">
    <w:abstractNumId w:val="6"/>
  </w:num>
  <w:num w:numId="8">
    <w:abstractNumId w:val="7"/>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A5"/>
    <w:rsid w:val="00002935"/>
    <w:rsid w:val="00003830"/>
    <w:rsid w:val="00004369"/>
    <w:rsid w:val="00005111"/>
    <w:rsid w:val="00011818"/>
    <w:rsid w:val="00012360"/>
    <w:rsid w:val="00016932"/>
    <w:rsid w:val="0002293D"/>
    <w:rsid w:val="00023434"/>
    <w:rsid w:val="00026F3D"/>
    <w:rsid w:val="00027B89"/>
    <w:rsid w:val="0003147B"/>
    <w:rsid w:val="00036348"/>
    <w:rsid w:val="00041DC3"/>
    <w:rsid w:val="00043709"/>
    <w:rsid w:val="00043C4D"/>
    <w:rsid w:val="0004422F"/>
    <w:rsid w:val="000526BE"/>
    <w:rsid w:val="00062647"/>
    <w:rsid w:val="00063A1B"/>
    <w:rsid w:val="00063DBC"/>
    <w:rsid w:val="00071E61"/>
    <w:rsid w:val="0007719B"/>
    <w:rsid w:val="00091225"/>
    <w:rsid w:val="00092AE0"/>
    <w:rsid w:val="00096F1D"/>
    <w:rsid w:val="000A0C1D"/>
    <w:rsid w:val="000A0D0F"/>
    <w:rsid w:val="000A7FFE"/>
    <w:rsid w:val="000B3B7E"/>
    <w:rsid w:val="000C1681"/>
    <w:rsid w:val="000C2629"/>
    <w:rsid w:val="000C3E03"/>
    <w:rsid w:val="000E5929"/>
    <w:rsid w:val="000E6F75"/>
    <w:rsid w:val="000F1F71"/>
    <w:rsid w:val="000F7E52"/>
    <w:rsid w:val="00100206"/>
    <w:rsid w:val="00101598"/>
    <w:rsid w:val="00102A0E"/>
    <w:rsid w:val="001056BF"/>
    <w:rsid w:val="00107F7D"/>
    <w:rsid w:val="00114605"/>
    <w:rsid w:val="00120BB7"/>
    <w:rsid w:val="001231B5"/>
    <w:rsid w:val="00123A72"/>
    <w:rsid w:val="00123D11"/>
    <w:rsid w:val="00124E68"/>
    <w:rsid w:val="00131C9B"/>
    <w:rsid w:val="001326F8"/>
    <w:rsid w:val="00132754"/>
    <w:rsid w:val="00154ACC"/>
    <w:rsid w:val="00173DFB"/>
    <w:rsid w:val="001757F9"/>
    <w:rsid w:val="00176219"/>
    <w:rsid w:val="00176733"/>
    <w:rsid w:val="00187412"/>
    <w:rsid w:val="00190F65"/>
    <w:rsid w:val="00192E89"/>
    <w:rsid w:val="00193A33"/>
    <w:rsid w:val="00193F01"/>
    <w:rsid w:val="00194B09"/>
    <w:rsid w:val="00196F59"/>
    <w:rsid w:val="0019722E"/>
    <w:rsid w:val="001A59D4"/>
    <w:rsid w:val="001A73C4"/>
    <w:rsid w:val="001B27BD"/>
    <w:rsid w:val="001B76AA"/>
    <w:rsid w:val="001B7DED"/>
    <w:rsid w:val="001C39F5"/>
    <w:rsid w:val="001C4F7C"/>
    <w:rsid w:val="001D0C9A"/>
    <w:rsid w:val="001D46A0"/>
    <w:rsid w:val="001D4FB8"/>
    <w:rsid w:val="001E6642"/>
    <w:rsid w:val="001F0603"/>
    <w:rsid w:val="001F12D8"/>
    <w:rsid w:val="001F2428"/>
    <w:rsid w:val="001F2659"/>
    <w:rsid w:val="001F7F29"/>
    <w:rsid w:val="002006FC"/>
    <w:rsid w:val="002009DA"/>
    <w:rsid w:val="00200A87"/>
    <w:rsid w:val="002025CA"/>
    <w:rsid w:val="00202E98"/>
    <w:rsid w:val="0020498C"/>
    <w:rsid w:val="00206C9C"/>
    <w:rsid w:val="0021219F"/>
    <w:rsid w:val="002150BF"/>
    <w:rsid w:val="002160DD"/>
    <w:rsid w:val="002206B5"/>
    <w:rsid w:val="00220CE5"/>
    <w:rsid w:val="00227EFB"/>
    <w:rsid w:val="00231078"/>
    <w:rsid w:val="00235239"/>
    <w:rsid w:val="0024497A"/>
    <w:rsid w:val="002550DF"/>
    <w:rsid w:val="00256287"/>
    <w:rsid w:val="00256B69"/>
    <w:rsid w:val="002608CD"/>
    <w:rsid w:val="00261337"/>
    <w:rsid w:val="0026607D"/>
    <w:rsid w:val="00273257"/>
    <w:rsid w:val="00276A72"/>
    <w:rsid w:val="00277258"/>
    <w:rsid w:val="00283806"/>
    <w:rsid w:val="00284A08"/>
    <w:rsid w:val="002858B4"/>
    <w:rsid w:val="00293202"/>
    <w:rsid w:val="002A12BE"/>
    <w:rsid w:val="002A393F"/>
    <w:rsid w:val="002A6B01"/>
    <w:rsid w:val="002B49D0"/>
    <w:rsid w:val="002B79BD"/>
    <w:rsid w:val="002D0828"/>
    <w:rsid w:val="002D6501"/>
    <w:rsid w:val="002D651B"/>
    <w:rsid w:val="002F6E29"/>
    <w:rsid w:val="00300811"/>
    <w:rsid w:val="00302AC7"/>
    <w:rsid w:val="003044D3"/>
    <w:rsid w:val="00311A35"/>
    <w:rsid w:val="00313991"/>
    <w:rsid w:val="0031644D"/>
    <w:rsid w:val="003243A8"/>
    <w:rsid w:val="00324E41"/>
    <w:rsid w:val="0032586A"/>
    <w:rsid w:val="00325C43"/>
    <w:rsid w:val="00331DBE"/>
    <w:rsid w:val="003348DB"/>
    <w:rsid w:val="00346B1B"/>
    <w:rsid w:val="003517F3"/>
    <w:rsid w:val="003617DA"/>
    <w:rsid w:val="00361F4E"/>
    <w:rsid w:val="00366463"/>
    <w:rsid w:val="00382D1D"/>
    <w:rsid w:val="0038633B"/>
    <w:rsid w:val="00387C5B"/>
    <w:rsid w:val="00394491"/>
    <w:rsid w:val="00395A5E"/>
    <w:rsid w:val="00397687"/>
    <w:rsid w:val="00397BC2"/>
    <w:rsid w:val="003A30F0"/>
    <w:rsid w:val="003C090F"/>
    <w:rsid w:val="003C0B30"/>
    <w:rsid w:val="003C4AD2"/>
    <w:rsid w:val="003D3AC1"/>
    <w:rsid w:val="003D42E9"/>
    <w:rsid w:val="003D5E7D"/>
    <w:rsid w:val="003D769D"/>
    <w:rsid w:val="003D7D2B"/>
    <w:rsid w:val="003E1F6C"/>
    <w:rsid w:val="003E3497"/>
    <w:rsid w:val="003F05BF"/>
    <w:rsid w:val="003F1CDC"/>
    <w:rsid w:val="00400980"/>
    <w:rsid w:val="00401640"/>
    <w:rsid w:val="004029D7"/>
    <w:rsid w:val="00403685"/>
    <w:rsid w:val="00405089"/>
    <w:rsid w:val="004069A2"/>
    <w:rsid w:val="0041047E"/>
    <w:rsid w:val="00410F43"/>
    <w:rsid w:val="00426DE7"/>
    <w:rsid w:val="004273FF"/>
    <w:rsid w:val="00435B06"/>
    <w:rsid w:val="00436160"/>
    <w:rsid w:val="00436392"/>
    <w:rsid w:val="00441578"/>
    <w:rsid w:val="00442782"/>
    <w:rsid w:val="00456482"/>
    <w:rsid w:val="004571AA"/>
    <w:rsid w:val="004576B9"/>
    <w:rsid w:val="00471299"/>
    <w:rsid w:val="00473CE0"/>
    <w:rsid w:val="00473F8C"/>
    <w:rsid w:val="0048365E"/>
    <w:rsid w:val="004859FA"/>
    <w:rsid w:val="00486759"/>
    <w:rsid w:val="004910F5"/>
    <w:rsid w:val="00493BD4"/>
    <w:rsid w:val="00494474"/>
    <w:rsid w:val="004A4063"/>
    <w:rsid w:val="004A5C72"/>
    <w:rsid w:val="004A6E51"/>
    <w:rsid w:val="004A76D5"/>
    <w:rsid w:val="004A7BC5"/>
    <w:rsid w:val="004B69D7"/>
    <w:rsid w:val="004C2F7B"/>
    <w:rsid w:val="004C3AF9"/>
    <w:rsid w:val="004C5EF9"/>
    <w:rsid w:val="004D0C39"/>
    <w:rsid w:val="004D422C"/>
    <w:rsid w:val="004E175A"/>
    <w:rsid w:val="004E1784"/>
    <w:rsid w:val="004E24DD"/>
    <w:rsid w:val="004E4EB0"/>
    <w:rsid w:val="004E6461"/>
    <w:rsid w:val="004E68AE"/>
    <w:rsid w:val="004E7F7E"/>
    <w:rsid w:val="004F5D0D"/>
    <w:rsid w:val="004F7248"/>
    <w:rsid w:val="004F7EA6"/>
    <w:rsid w:val="005009A2"/>
    <w:rsid w:val="00501478"/>
    <w:rsid w:val="00504D69"/>
    <w:rsid w:val="005264AC"/>
    <w:rsid w:val="00526C07"/>
    <w:rsid w:val="00531076"/>
    <w:rsid w:val="00531622"/>
    <w:rsid w:val="0053751F"/>
    <w:rsid w:val="00537638"/>
    <w:rsid w:val="00544B87"/>
    <w:rsid w:val="00550A95"/>
    <w:rsid w:val="005561A5"/>
    <w:rsid w:val="005619B8"/>
    <w:rsid w:val="00565495"/>
    <w:rsid w:val="0057092F"/>
    <w:rsid w:val="00571AD5"/>
    <w:rsid w:val="00590EAC"/>
    <w:rsid w:val="005A06D8"/>
    <w:rsid w:val="005B0DE6"/>
    <w:rsid w:val="005B1B4C"/>
    <w:rsid w:val="005C026A"/>
    <w:rsid w:val="005C194C"/>
    <w:rsid w:val="005C1CD3"/>
    <w:rsid w:val="005C2E53"/>
    <w:rsid w:val="005D0442"/>
    <w:rsid w:val="005D2809"/>
    <w:rsid w:val="005D380F"/>
    <w:rsid w:val="005E2112"/>
    <w:rsid w:val="005E6548"/>
    <w:rsid w:val="005E6878"/>
    <w:rsid w:val="005E74E1"/>
    <w:rsid w:val="005F35B0"/>
    <w:rsid w:val="005F37A5"/>
    <w:rsid w:val="005F5885"/>
    <w:rsid w:val="005F59FD"/>
    <w:rsid w:val="005F5C7A"/>
    <w:rsid w:val="00600F96"/>
    <w:rsid w:val="00602D57"/>
    <w:rsid w:val="006106FE"/>
    <w:rsid w:val="006136EB"/>
    <w:rsid w:val="00621502"/>
    <w:rsid w:val="00621562"/>
    <w:rsid w:val="0062400D"/>
    <w:rsid w:val="00624E0A"/>
    <w:rsid w:val="00630A08"/>
    <w:rsid w:val="00633F71"/>
    <w:rsid w:val="0064495A"/>
    <w:rsid w:val="006466B4"/>
    <w:rsid w:val="00653DAC"/>
    <w:rsid w:val="00654D88"/>
    <w:rsid w:val="0065597E"/>
    <w:rsid w:val="00666310"/>
    <w:rsid w:val="00670D74"/>
    <w:rsid w:val="006749BF"/>
    <w:rsid w:val="00676157"/>
    <w:rsid w:val="00680951"/>
    <w:rsid w:val="00685C27"/>
    <w:rsid w:val="006905CC"/>
    <w:rsid w:val="00696FF4"/>
    <w:rsid w:val="006A0864"/>
    <w:rsid w:val="006A1950"/>
    <w:rsid w:val="006A353F"/>
    <w:rsid w:val="006A529F"/>
    <w:rsid w:val="006A54FA"/>
    <w:rsid w:val="006A7AE2"/>
    <w:rsid w:val="006B4F87"/>
    <w:rsid w:val="006B669B"/>
    <w:rsid w:val="006B69B1"/>
    <w:rsid w:val="006C4511"/>
    <w:rsid w:val="006C4647"/>
    <w:rsid w:val="006C5150"/>
    <w:rsid w:val="006D4C00"/>
    <w:rsid w:val="006E6888"/>
    <w:rsid w:val="006F155F"/>
    <w:rsid w:val="006F455A"/>
    <w:rsid w:val="006F5908"/>
    <w:rsid w:val="006F6099"/>
    <w:rsid w:val="00703851"/>
    <w:rsid w:val="007040E6"/>
    <w:rsid w:val="0070452F"/>
    <w:rsid w:val="00705836"/>
    <w:rsid w:val="00713291"/>
    <w:rsid w:val="0071585B"/>
    <w:rsid w:val="007170BF"/>
    <w:rsid w:val="007331E3"/>
    <w:rsid w:val="00736C03"/>
    <w:rsid w:val="0073777D"/>
    <w:rsid w:val="00740377"/>
    <w:rsid w:val="00742CE5"/>
    <w:rsid w:val="00750237"/>
    <w:rsid w:val="007527B2"/>
    <w:rsid w:val="00760124"/>
    <w:rsid w:val="007610CE"/>
    <w:rsid w:val="00763716"/>
    <w:rsid w:val="00781234"/>
    <w:rsid w:val="007A0D6D"/>
    <w:rsid w:val="007A16B1"/>
    <w:rsid w:val="007A3BF5"/>
    <w:rsid w:val="007B0E18"/>
    <w:rsid w:val="007B5368"/>
    <w:rsid w:val="007C7605"/>
    <w:rsid w:val="007D0CEC"/>
    <w:rsid w:val="007D3BFF"/>
    <w:rsid w:val="007D57F5"/>
    <w:rsid w:val="007D7CFE"/>
    <w:rsid w:val="007E21BE"/>
    <w:rsid w:val="007E4E36"/>
    <w:rsid w:val="007F2343"/>
    <w:rsid w:val="007F3182"/>
    <w:rsid w:val="007F691F"/>
    <w:rsid w:val="007F7FE3"/>
    <w:rsid w:val="00801C16"/>
    <w:rsid w:val="00801CE1"/>
    <w:rsid w:val="00801CEB"/>
    <w:rsid w:val="00802CA5"/>
    <w:rsid w:val="00805D3C"/>
    <w:rsid w:val="0080682F"/>
    <w:rsid w:val="00810959"/>
    <w:rsid w:val="00812A8D"/>
    <w:rsid w:val="00812F84"/>
    <w:rsid w:val="00813028"/>
    <w:rsid w:val="00814125"/>
    <w:rsid w:val="00823011"/>
    <w:rsid w:val="0082478E"/>
    <w:rsid w:val="00826705"/>
    <w:rsid w:val="00841AF2"/>
    <w:rsid w:val="008428F8"/>
    <w:rsid w:val="0084623E"/>
    <w:rsid w:val="0085010D"/>
    <w:rsid w:val="008521CC"/>
    <w:rsid w:val="0085382D"/>
    <w:rsid w:val="00862B45"/>
    <w:rsid w:val="008639CA"/>
    <w:rsid w:val="00864EAB"/>
    <w:rsid w:val="00870CF8"/>
    <w:rsid w:val="00874FB3"/>
    <w:rsid w:val="00881431"/>
    <w:rsid w:val="00881D7E"/>
    <w:rsid w:val="00881FB5"/>
    <w:rsid w:val="008826B8"/>
    <w:rsid w:val="00883102"/>
    <w:rsid w:val="00883570"/>
    <w:rsid w:val="00894220"/>
    <w:rsid w:val="008955FD"/>
    <w:rsid w:val="00897188"/>
    <w:rsid w:val="008A21FB"/>
    <w:rsid w:val="008A2860"/>
    <w:rsid w:val="008A382D"/>
    <w:rsid w:val="008C443B"/>
    <w:rsid w:val="008C5A48"/>
    <w:rsid w:val="008C63C7"/>
    <w:rsid w:val="008C6AE6"/>
    <w:rsid w:val="008D1B7F"/>
    <w:rsid w:val="008D548C"/>
    <w:rsid w:val="008D703C"/>
    <w:rsid w:val="008D73A5"/>
    <w:rsid w:val="008E4E55"/>
    <w:rsid w:val="008F16F7"/>
    <w:rsid w:val="00901BC2"/>
    <w:rsid w:val="00903FF8"/>
    <w:rsid w:val="0090447D"/>
    <w:rsid w:val="00904CDF"/>
    <w:rsid w:val="009207F2"/>
    <w:rsid w:val="00920F1A"/>
    <w:rsid w:val="00921DDD"/>
    <w:rsid w:val="0093064F"/>
    <w:rsid w:val="00941DF8"/>
    <w:rsid w:val="0094237C"/>
    <w:rsid w:val="00945AC2"/>
    <w:rsid w:val="009465DC"/>
    <w:rsid w:val="00951A58"/>
    <w:rsid w:val="009545FE"/>
    <w:rsid w:val="009546B9"/>
    <w:rsid w:val="0095492F"/>
    <w:rsid w:val="00956E69"/>
    <w:rsid w:val="00960CC1"/>
    <w:rsid w:val="00962F69"/>
    <w:rsid w:val="009631F9"/>
    <w:rsid w:val="00963504"/>
    <w:rsid w:val="0097176A"/>
    <w:rsid w:val="00971A20"/>
    <w:rsid w:val="00973E9C"/>
    <w:rsid w:val="00983634"/>
    <w:rsid w:val="00983747"/>
    <w:rsid w:val="00986F5A"/>
    <w:rsid w:val="00991749"/>
    <w:rsid w:val="009941AA"/>
    <w:rsid w:val="009943FB"/>
    <w:rsid w:val="00994E12"/>
    <w:rsid w:val="00995C94"/>
    <w:rsid w:val="009A7BC8"/>
    <w:rsid w:val="009A7F51"/>
    <w:rsid w:val="009B0970"/>
    <w:rsid w:val="009B42B6"/>
    <w:rsid w:val="009B4331"/>
    <w:rsid w:val="009B5B8A"/>
    <w:rsid w:val="009B709F"/>
    <w:rsid w:val="009C085A"/>
    <w:rsid w:val="009D1B09"/>
    <w:rsid w:val="009D525F"/>
    <w:rsid w:val="009D64E7"/>
    <w:rsid w:val="009E4F9D"/>
    <w:rsid w:val="009E6F4F"/>
    <w:rsid w:val="009F1952"/>
    <w:rsid w:val="00A00975"/>
    <w:rsid w:val="00A05A22"/>
    <w:rsid w:val="00A13D6A"/>
    <w:rsid w:val="00A14296"/>
    <w:rsid w:val="00A16D1E"/>
    <w:rsid w:val="00A224DC"/>
    <w:rsid w:val="00A24F0D"/>
    <w:rsid w:val="00A250D3"/>
    <w:rsid w:val="00A30E84"/>
    <w:rsid w:val="00A327EF"/>
    <w:rsid w:val="00A349D1"/>
    <w:rsid w:val="00A41D85"/>
    <w:rsid w:val="00A430CF"/>
    <w:rsid w:val="00A431CE"/>
    <w:rsid w:val="00A44373"/>
    <w:rsid w:val="00A510A8"/>
    <w:rsid w:val="00A5383F"/>
    <w:rsid w:val="00A54501"/>
    <w:rsid w:val="00A54C56"/>
    <w:rsid w:val="00A648FC"/>
    <w:rsid w:val="00A6549A"/>
    <w:rsid w:val="00A715DA"/>
    <w:rsid w:val="00A72182"/>
    <w:rsid w:val="00A80BAE"/>
    <w:rsid w:val="00A83A8B"/>
    <w:rsid w:val="00A83E3B"/>
    <w:rsid w:val="00A84030"/>
    <w:rsid w:val="00A85516"/>
    <w:rsid w:val="00A9399E"/>
    <w:rsid w:val="00A9503A"/>
    <w:rsid w:val="00A96542"/>
    <w:rsid w:val="00AA11E3"/>
    <w:rsid w:val="00AA4E5E"/>
    <w:rsid w:val="00AB6138"/>
    <w:rsid w:val="00AC1BCC"/>
    <w:rsid w:val="00AC449D"/>
    <w:rsid w:val="00AC6C9E"/>
    <w:rsid w:val="00AD0CA3"/>
    <w:rsid w:val="00AD4740"/>
    <w:rsid w:val="00AD49D0"/>
    <w:rsid w:val="00AD4D0F"/>
    <w:rsid w:val="00AE0CCC"/>
    <w:rsid w:val="00AE1E7D"/>
    <w:rsid w:val="00AE233F"/>
    <w:rsid w:val="00AE4FE0"/>
    <w:rsid w:val="00AE5630"/>
    <w:rsid w:val="00AE7EC4"/>
    <w:rsid w:val="00B0579F"/>
    <w:rsid w:val="00B1776F"/>
    <w:rsid w:val="00B224F0"/>
    <w:rsid w:val="00B22E2E"/>
    <w:rsid w:val="00B241F7"/>
    <w:rsid w:val="00B262C4"/>
    <w:rsid w:val="00B304CF"/>
    <w:rsid w:val="00B337A5"/>
    <w:rsid w:val="00B4502A"/>
    <w:rsid w:val="00B52463"/>
    <w:rsid w:val="00B52F52"/>
    <w:rsid w:val="00B5488A"/>
    <w:rsid w:val="00B551AF"/>
    <w:rsid w:val="00B706D8"/>
    <w:rsid w:val="00B77E87"/>
    <w:rsid w:val="00B90D3F"/>
    <w:rsid w:val="00B95DB2"/>
    <w:rsid w:val="00BB57EF"/>
    <w:rsid w:val="00BC12C7"/>
    <w:rsid w:val="00BC3120"/>
    <w:rsid w:val="00BC5231"/>
    <w:rsid w:val="00BD3FAE"/>
    <w:rsid w:val="00BE2DB6"/>
    <w:rsid w:val="00BE3E75"/>
    <w:rsid w:val="00BF3990"/>
    <w:rsid w:val="00BF4A47"/>
    <w:rsid w:val="00BF70AB"/>
    <w:rsid w:val="00BF70BD"/>
    <w:rsid w:val="00C01F27"/>
    <w:rsid w:val="00C02BA0"/>
    <w:rsid w:val="00C05859"/>
    <w:rsid w:val="00C131AA"/>
    <w:rsid w:val="00C173B9"/>
    <w:rsid w:val="00C178C9"/>
    <w:rsid w:val="00C21EBA"/>
    <w:rsid w:val="00C332F7"/>
    <w:rsid w:val="00C416F2"/>
    <w:rsid w:val="00C45F4F"/>
    <w:rsid w:val="00C50669"/>
    <w:rsid w:val="00C674F2"/>
    <w:rsid w:val="00C81934"/>
    <w:rsid w:val="00C82022"/>
    <w:rsid w:val="00C875B1"/>
    <w:rsid w:val="00C92377"/>
    <w:rsid w:val="00C962FF"/>
    <w:rsid w:val="00CA5A5F"/>
    <w:rsid w:val="00CA73A9"/>
    <w:rsid w:val="00CB570E"/>
    <w:rsid w:val="00CC35F8"/>
    <w:rsid w:val="00CC4DF0"/>
    <w:rsid w:val="00CD02FD"/>
    <w:rsid w:val="00CD5AC0"/>
    <w:rsid w:val="00CD5B9B"/>
    <w:rsid w:val="00CD5FBA"/>
    <w:rsid w:val="00CE46EC"/>
    <w:rsid w:val="00CF55F0"/>
    <w:rsid w:val="00CF6070"/>
    <w:rsid w:val="00CF66F7"/>
    <w:rsid w:val="00D000A0"/>
    <w:rsid w:val="00D03ACD"/>
    <w:rsid w:val="00D107B4"/>
    <w:rsid w:val="00D158D0"/>
    <w:rsid w:val="00D1668A"/>
    <w:rsid w:val="00D17E0F"/>
    <w:rsid w:val="00D21106"/>
    <w:rsid w:val="00D234F3"/>
    <w:rsid w:val="00D257E7"/>
    <w:rsid w:val="00D30986"/>
    <w:rsid w:val="00D31FB7"/>
    <w:rsid w:val="00D36B5B"/>
    <w:rsid w:val="00D41E6C"/>
    <w:rsid w:val="00D4412E"/>
    <w:rsid w:val="00D45A16"/>
    <w:rsid w:val="00D51862"/>
    <w:rsid w:val="00D56E33"/>
    <w:rsid w:val="00D57ECC"/>
    <w:rsid w:val="00D67EC2"/>
    <w:rsid w:val="00D74D58"/>
    <w:rsid w:val="00D81DE7"/>
    <w:rsid w:val="00D82EA2"/>
    <w:rsid w:val="00D914F1"/>
    <w:rsid w:val="00D93CDB"/>
    <w:rsid w:val="00D94005"/>
    <w:rsid w:val="00D9417E"/>
    <w:rsid w:val="00D952DF"/>
    <w:rsid w:val="00D976A6"/>
    <w:rsid w:val="00DA0308"/>
    <w:rsid w:val="00DA16F4"/>
    <w:rsid w:val="00DA64ED"/>
    <w:rsid w:val="00DB2998"/>
    <w:rsid w:val="00DB5325"/>
    <w:rsid w:val="00DB71C9"/>
    <w:rsid w:val="00DB73B8"/>
    <w:rsid w:val="00DB7F4B"/>
    <w:rsid w:val="00DC080B"/>
    <w:rsid w:val="00DC0CEA"/>
    <w:rsid w:val="00DC566C"/>
    <w:rsid w:val="00DC5E21"/>
    <w:rsid w:val="00DC7288"/>
    <w:rsid w:val="00DD21BA"/>
    <w:rsid w:val="00DD4A66"/>
    <w:rsid w:val="00DE09E4"/>
    <w:rsid w:val="00DE2852"/>
    <w:rsid w:val="00DF2B06"/>
    <w:rsid w:val="00DF2F7E"/>
    <w:rsid w:val="00DF583E"/>
    <w:rsid w:val="00DF652A"/>
    <w:rsid w:val="00E0286A"/>
    <w:rsid w:val="00E02BB3"/>
    <w:rsid w:val="00E03DFE"/>
    <w:rsid w:val="00E0689B"/>
    <w:rsid w:val="00E10001"/>
    <w:rsid w:val="00E10007"/>
    <w:rsid w:val="00E146C6"/>
    <w:rsid w:val="00E17A7D"/>
    <w:rsid w:val="00E2248D"/>
    <w:rsid w:val="00E27FC2"/>
    <w:rsid w:val="00E363B0"/>
    <w:rsid w:val="00E41906"/>
    <w:rsid w:val="00E506D5"/>
    <w:rsid w:val="00E550E5"/>
    <w:rsid w:val="00E5723A"/>
    <w:rsid w:val="00E6600A"/>
    <w:rsid w:val="00E816A8"/>
    <w:rsid w:val="00E85841"/>
    <w:rsid w:val="00E87A8B"/>
    <w:rsid w:val="00E90AD8"/>
    <w:rsid w:val="00E9127A"/>
    <w:rsid w:val="00E91893"/>
    <w:rsid w:val="00E96218"/>
    <w:rsid w:val="00E96692"/>
    <w:rsid w:val="00EB1380"/>
    <w:rsid w:val="00ED0456"/>
    <w:rsid w:val="00ED0C8C"/>
    <w:rsid w:val="00ED17FA"/>
    <w:rsid w:val="00ED29E9"/>
    <w:rsid w:val="00EE53CF"/>
    <w:rsid w:val="00EF1FE8"/>
    <w:rsid w:val="00EF2685"/>
    <w:rsid w:val="00EF3481"/>
    <w:rsid w:val="00EF4C66"/>
    <w:rsid w:val="00EF79AC"/>
    <w:rsid w:val="00F004C8"/>
    <w:rsid w:val="00F025E1"/>
    <w:rsid w:val="00F07BDF"/>
    <w:rsid w:val="00F1281A"/>
    <w:rsid w:val="00F131BD"/>
    <w:rsid w:val="00F14385"/>
    <w:rsid w:val="00F1703A"/>
    <w:rsid w:val="00F175F8"/>
    <w:rsid w:val="00F342E9"/>
    <w:rsid w:val="00F34847"/>
    <w:rsid w:val="00F35F1F"/>
    <w:rsid w:val="00F362A5"/>
    <w:rsid w:val="00F407F4"/>
    <w:rsid w:val="00F51AF4"/>
    <w:rsid w:val="00F55CFD"/>
    <w:rsid w:val="00F57C8F"/>
    <w:rsid w:val="00F665EC"/>
    <w:rsid w:val="00F672BD"/>
    <w:rsid w:val="00F6791B"/>
    <w:rsid w:val="00F70AC0"/>
    <w:rsid w:val="00F7142A"/>
    <w:rsid w:val="00F84EB3"/>
    <w:rsid w:val="00F85DC1"/>
    <w:rsid w:val="00F86158"/>
    <w:rsid w:val="00F96940"/>
    <w:rsid w:val="00F97BDA"/>
    <w:rsid w:val="00FA031F"/>
    <w:rsid w:val="00FA24B4"/>
    <w:rsid w:val="00FA7FC6"/>
    <w:rsid w:val="00FB76FD"/>
    <w:rsid w:val="00FC3243"/>
    <w:rsid w:val="00FD1D36"/>
    <w:rsid w:val="00FD204F"/>
    <w:rsid w:val="00FD3F36"/>
    <w:rsid w:val="00FD5313"/>
    <w:rsid w:val="00FD79F1"/>
    <w:rsid w:val="00FE0482"/>
    <w:rsid w:val="00FE3021"/>
    <w:rsid w:val="00FE5135"/>
    <w:rsid w:val="00FF2213"/>
    <w:rsid w:val="00FF4CEE"/>
    <w:rsid w:val="00FF5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EAEDD"/>
  <w15:chartTrackingRefBased/>
  <w15:docId w15:val="{47ED83A0-95AD-4945-B50D-1D79AA0A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21CC"/>
    <w:pPr>
      <w:spacing w:after="200" w:line="240" w:lineRule="auto"/>
    </w:pPr>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4A66"/>
    <w:pPr>
      <w:spacing w:after="0" w:line="240" w:lineRule="auto"/>
    </w:pPr>
    <w:rPr>
      <w:rFonts w:ascii="Verdana" w:hAnsi="Verdana"/>
      <w:sz w:val="18"/>
      <w:lang w:val="en-US"/>
    </w:rPr>
  </w:style>
  <w:style w:type="character" w:styleId="Verwijzingopmerking">
    <w:name w:val="annotation reference"/>
    <w:basedOn w:val="Standaardalinea-lettertype"/>
    <w:uiPriority w:val="99"/>
    <w:semiHidden/>
    <w:unhideWhenUsed/>
    <w:rsid w:val="005C2E53"/>
    <w:rPr>
      <w:sz w:val="16"/>
      <w:szCs w:val="16"/>
    </w:rPr>
  </w:style>
  <w:style w:type="paragraph" w:styleId="Tekstopmerking">
    <w:name w:val="annotation text"/>
    <w:basedOn w:val="Standaard"/>
    <w:link w:val="TekstopmerkingChar"/>
    <w:uiPriority w:val="99"/>
    <w:semiHidden/>
    <w:unhideWhenUsed/>
    <w:rsid w:val="005C2E53"/>
    <w:rPr>
      <w:sz w:val="20"/>
      <w:szCs w:val="20"/>
    </w:rPr>
  </w:style>
  <w:style w:type="character" w:customStyle="1" w:styleId="TekstopmerkingChar">
    <w:name w:val="Tekst opmerking Char"/>
    <w:basedOn w:val="Standaardalinea-lettertype"/>
    <w:link w:val="Tekstopmerking"/>
    <w:uiPriority w:val="99"/>
    <w:semiHidden/>
    <w:rsid w:val="005C2E53"/>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5C2E53"/>
    <w:rPr>
      <w:b/>
      <w:bCs/>
    </w:rPr>
  </w:style>
  <w:style w:type="character" w:customStyle="1" w:styleId="OnderwerpvanopmerkingChar">
    <w:name w:val="Onderwerp van opmerking Char"/>
    <w:basedOn w:val="TekstopmerkingChar"/>
    <w:link w:val="Onderwerpvanopmerking"/>
    <w:uiPriority w:val="99"/>
    <w:semiHidden/>
    <w:rsid w:val="005C2E53"/>
    <w:rPr>
      <w:rFonts w:ascii="Verdana" w:hAnsi="Verdana"/>
      <w:b/>
      <w:bCs/>
      <w:sz w:val="20"/>
      <w:szCs w:val="20"/>
      <w:lang w:val="en-US"/>
    </w:rPr>
  </w:style>
  <w:style w:type="paragraph" w:styleId="Ballontekst">
    <w:name w:val="Balloon Text"/>
    <w:basedOn w:val="Standaard"/>
    <w:link w:val="BallontekstChar"/>
    <w:uiPriority w:val="99"/>
    <w:semiHidden/>
    <w:unhideWhenUsed/>
    <w:rsid w:val="005C2E53"/>
    <w:pPr>
      <w:spacing w:after="0"/>
    </w:pPr>
    <w:rPr>
      <w:rFonts w:ascii="Segoe UI" w:hAnsi="Segoe UI" w:cs="Segoe UI"/>
      <w:szCs w:val="18"/>
    </w:rPr>
  </w:style>
  <w:style w:type="character" w:customStyle="1" w:styleId="BallontekstChar">
    <w:name w:val="Ballontekst Char"/>
    <w:basedOn w:val="Standaardalinea-lettertype"/>
    <w:link w:val="Ballontekst"/>
    <w:uiPriority w:val="99"/>
    <w:semiHidden/>
    <w:rsid w:val="005C2E53"/>
    <w:rPr>
      <w:rFonts w:ascii="Segoe UI" w:hAnsi="Segoe UI" w:cs="Segoe UI"/>
      <w:sz w:val="18"/>
      <w:szCs w:val="18"/>
      <w:lang w:val="en-US"/>
    </w:rPr>
  </w:style>
  <w:style w:type="paragraph" w:styleId="Koptekst">
    <w:name w:val="header"/>
    <w:basedOn w:val="Standaard"/>
    <w:link w:val="KoptekstChar"/>
    <w:uiPriority w:val="99"/>
    <w:unhideWhenUsed/>
    <w:rsid w:val="00BF70BD"/>
    <w:pPr>
      <w:tabs>
        <w:tab w:val="center" w:pos="4513"/>
        <w:tab w:val="right" w:pos="9026"/>
      </w:tabs>
      <w:spacing w:after="0"/>
    </w:pPr>
  </w:style>
  <w:style w:type="character" w:customStyle="1" w:styleId="KoptekstChar">
    <w:name w:val="Koptekst Char"/>
    <w:basedOn w:val="Standaardalinea-lettertype"/>
    <w:link w:val="Koptekst"/>
    <w:uiPriority w:val="99"/>
    <w:rsid w:val="00BF70BD"/>
    <w:rPr>
      <w:rFonts w:ascii="Verdana" w:hAnsi="Verdana"/>
      <w:sz w:val="18"/>
      <w:lang w:val="en-US"/>
    </w:rPr>
  </w:style>
  <w:style w:type="paragraph" w:styleId="Voettekst">
    <w:name w:val="footer"/>
    <w:basedOn w:val="Standaard"/>
    <w:link w:val="VoettekstChar"/>
    <w:uiPriority w:val="99"/>
    <w:unhideWhenUsed/>
    <w:rsid w:val="00BF70BD"/>
    <w:pPr>
      <w:tabs>
        <w:tab w:val="center" w:pos="4513"/>
        <w:tab w:val="right" w:pos="9026"/>
      </w:tabs>
      <w:spacing w:after="0"/>
    </w:pPr>
  </w:style>
  <w:style w:type="character" w:customStyle="1" w:styleId="VoettekstChar">
    <w:name w:val="Voettekst Char"/>
    <w:basedOn w:val="Standaardalinea-lettertype"/>
    <w:link w:val="Voettekst"/>
    <w:uiPriority w:val="99"/>
    <w:rsid w:val="00BF70BD"/>
    <w:rPr>
      <w:rFonts w:ascii="Verdana" w:hAnsi="Verdana"/>
      <w:sz w:val="18"/>
      <w:lang w:val="en-US"/>
    </w:rPr>
  </w:style>
  <w:style w:type="paragraph" w:styleId="Lijstalinea">
    <w:name w:val="List Paragraph"/>
    <w:basedOn w:val="Standaard"/>
    <w:uiPriority w:val="34"/>
    <w:qFormat/>
    <w:rsid w:val="00DD21BA"/>
    <w:pPr>
      <w:ind w:left="720"/>
      <w:contextualSpacing/>
    </w:pPr>
  </w:style>
  <w:style w:type="paragraph" w:styleId="Normaalweb">
    <w:name w:val="Normal (Web)"/>
    <w:basedOn w:val="Standaard"/>
    <w:uiPriority w:val="99"/>
    <w:semiHidden/>
    <w:unhideWhenUsed/>
    <w:rsid w:val="005561A5"/>
    <w:pPr>
      <w:spacing w:before="100" w:beforeAutospacing="1" w:after="100" w:afterAutospacing="1"/>
    </w:pPr>
    <w:rPr>
      <w:rFonts w:ascii="Times New Roman" w:eastAsia="Times New Roman" w:hAnsi="Times New Roman" w:cs="Times New Roman"/>
      <w:sz w:val="24"/>
      <w:szCs w:val="24"/>
      <w:lang w:val="nl-NL" w:eastAsia="nl-NL"/>
    </w:rPr>
  </w:style>
  <w:style w:type="paragraph" w:styleId="Voetnoottekst">
    <w:name w:val="footnote text"/>
    <w:basedOn w:val="Standaard"/>
    <w:link w:val="VoetnoottekstChar"/>
    <w:uiPriority w:val="99"/>
    <w:semiHidden/>
    <w:unhideWhenUsed/>
    <w:rsid w:val="001F12D8"/>
    <w:pPr>
      <w:spacing w:after="0"/>
    </w:pPr>
    <w:rPr>
      <w:sz w:val="20"/>
      <w:szCs w:val="20"/>
    </w:rPr>
  </w:style>
  <w:style w:type="character" w:customStyle="1" w:styleId="VoetnoottekstChar">
    <w:name w:val="Voetnoottekst Char"/>
    <w:basedOn w:val="Standaardalinea-lettertype"/>
    <w:link w:val="Voetnoottekst"/>
    <w:uiPriority w:val="99"/>
    <w:semiHidden/>
    <w:rsid w:val="001F12D8"/>
    <w:rPr>
      <w:rFonts w:ascii="Verdana" w:hAnsi="Verdana"/>
      <w:sz w:val="20"/>
      <w:szCs w:val="20"/>
      <w:lang w:val="en-US"/>
    </w:rPr>
  </w:style>
  <w:style w:type="character" w:styleId="Voetnootmarkering">
    <w:name w:val="footnote reference"/>
    <w:basedOn w:val="Standaardalinea-lettertype"/>
    <w:uiPriority w:val="99"/>
    <w:semiHidden/>
    <w:unhideWhenUsed/>
    <w:rsid w:val="001F12D8"/>
    <w:rPr>
      <w:vertAlign w:val="superscript"/>
    </w:rPr>
  </w:style>
  <w:style w:type="character" w:styleId="Hyperlink">
    <w:name w:val="Hyperlink"/>
    <w:basedOn w:val="Standaardalinea-lettertype"/>
    <w:uiPriority w:val="99"/>
    <w:unhideWhenUsed/>
    <w:rsid w:val="001F12D8"/>
    <w:rPr>
      <w:color w:val="0563C1" w:themeColor="hyperlink"/>
      <w:u w:val="single"/>
    </w:rPr>
  </w:style>
  <w:style w:type="paragraph" w:styleId="Revisie">
    <w:name w:val="Revision"/>
    <w:hidden/>
    <w:uiPriority w:val="99"/>
    <w:semiHidden/>
    <w:rsid w:val="003243A8"/>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2800">
      <w:bodyDiv w:val="1"/>
      <w:marLeft w:val="0"/>
      <w:marRight w:val="0"/>
      <w:marTop w:val="0"/>
      <w:marBottom w:val="0"/>
      <w:divBdr>
        <w:top w:val="none" w:sz="0" w:space="0" w:color="auto"/>
        <w:left w:val="none" w:sz="0" w:space="0" w:color="auto"/>
        <w:bottom w:val="none" w:sz="0" w:space="0" w:color="auto"/>
        <w:right w:val="none" w:sz="0" w:space="0" w:color="auto"/>
      </w:divBdr>
    </w:div>
    <w:div w:id="119613966">
      <w:bodyDiv w:val="1"/>
      <w:marLeft w:val="0"/>
      <w:marRight w:val="0"/>
      <w:marTop w:val="0"/>
      <w:marBottom w:val="0"/>
      <w:divBdr>
        <w:top w:val="none" w:sz="0" w:space="0" w:color="auto"/>
        <w:left w:val="none" w:sz="0" w:space="0" w:color="auto"/>
        <w:bottom w:val="none" w:sz="0" w:space="0" w:color="auto"/>
        <w:right w:val="none" w:sz="0" w:space="0" w:color="auto"/>
      </w:divBdr>
    </w:div>
    <w:div w:id="140930674">
      <w:bodyDiv w:val="1"/>
      <w:marLeft w:val="0"/>
      <w:marRight w:val="0"/>
      <w:marTop w:val="0"/>
      <w:marBottom w:val="0"/>
      <w:divBdr>
        <w:top w:val="none" w:sz="0" w:space="0" w:color="auto"/>
        <w:left w:val="none" w:sz="0" w:space="0" w:color="auto"/>
        <w:bottom w:val="none" w:sz="0" w:space="0" w:color="auto"/>
        <w:right w:val="none" w:sz="0" w:space="0" w:color="auto"/>
      </w:divBdr>
    </w:div>
    <w:div w:id="168180287">
      <w:bodyDiv w:val="1"/>
      <w:marLeft w:val="0"/>
      <w:marRight w:val="0"/>
      <w:marTop w:val="0"/>
      <w:marBottom w:val="0"/>
      <w:divBdr>
        <w:top w:val="none" w:sz="0" w:space="0" w:color="auto"/>
        <w:left w:val="none" w:sz="0" w:space="0" w:color="auto"/>
        <w:bottom w:val="none" w:sz="0" w:space="0" w:color="auto"/>
        <w:right w:val="none" w:sz="0" w:space="0" w:color="auto"/>
      </w:divBdr>
    </w:div>
    <w:div w:id="174004810">
      <w:bodyDiv w:val="1"/>
      <w:marLeft w:val="0"/>
      <w:marRight w:val="0"/>
      <w:marTop w:val="0"/>
      <w:marBottom w:val="0"/>
      <w:divBdr>
        <w:top w:val="none" w:sz="0" w:space="0" w:color="auto"/>
        <w:left w:val="none" w:sz="0" w:space="0" w:color="auto"/>
        <w:bottom w:val="none" w:sz="0" w:space="0" w:color="auto"/>
        <w:right w:val="none" w:sz="0" w:space="0" w:color="auto"/>
      </w:divBdr>
    </w:div>
    <w:div w:id="335110740">
      <w:bodyDiv w:val="1"/>
      <w:marLeft w:val="0"/>
      <w:marRight w:val="0"/>
      <w:marTop w:val="0"/>
      <w:marBottom w:val="0"/>
      <w:divBdr>
        <w:top w:val="none" w:sz="0" w:space="0" w:color="auto"/>
        <w:left w:val="none" w:sz="0" w:space="0" w:color="auto"/>
        <w:bottom w:val="none" w:sz="0" w:space="0" w:color="auto"/>
        <w:right w:val="none" w:sz="0" w:space="0" w:color="auto"/>
      </w:divBdr>
    </w:div>
    <w:div w:id="355695598">
      <w:bodyDiv w:val="1"/>
      <w:marLeft w:val="0"/>
      <w:marRight w:val="0"/>
      <w:marTop w:val="0"/>
      <w:marBottom w:val="0"/>
      <w:divBdr>
        <w:top w:val="none" w:sz="0" w:space="0" w:color="auto"/>
        <w:left w:val="none" w:sz="0" w:space="0" w:color="auto"/>
        <w:bottom w:val="none" w:sz="0" w:space="0" w:color="auto"/>
        <w:right w:val="none" w:sz="0" w:space="0" w:color="auto"/>
      </w:divBdr>
    </w:div>
    <w:div w:id="427821688">
      <w:bodyDiv w:val="1"/>
      <w:marLeft w:val="0"/>
      <w:marRight w:val="0"/>
      <w:marTop w:val="0"/>
      <w:marBottom w:val="0"/>
      <w:divBdr>
        <w:top w:val="none" w:sz="0" w:space="0" w:color="auto"/>
        <w:left w:val="none" w:sz="0" w:space="0" w:color="auto"/>
        <w:bottom w:val="none" w:sz="0" w:space="0" w:color="auto"/>
        <w:right w:val="none" w:sz="0" w:space="0" w:color="auto"/>
      </w:divBdr>
    </w:div>
    <w:div w:id="456029636">
      <w:bodyDiv w:val="1"/>
      <w:marLeft w:val="0"/>
      <w:marRight w:val="0"/>
      <w:marTop w:val="0"/>
      <w:marBottom w:val="0"/>
      <w:divBdr>
        <w:top w:val="none" w:sz="0" w:space="0" w:color="auto"/>
        <w:left w:val="none" w:sz="0" w:space="0" w:color="auto"/>
        <w:bottom w:val="none" w:sz="0" w:space="0" w:color="auto"/>
        <w:right w:val="none" w:sz="0" w:space="0" w:color="auto"/>
      </w:divBdr>
    </w:div>
    <w:div w:id="488641093">
      <w:bodyDiv w:val="1"/>
      <w:marLeft w:val="0"/>
      <w:marRight w:val="0"/>
      <w:marTop w:val="0"/>
      <w:marBottom w:val="0"/>
      <w:divBdr>
        <w:top w:val="none" w:sz="0" w:space="0" w:color="auto"/>
        <w:left w:val="none" w:sz="0" w:space="0" w:color="auto"/>
        <w:bottom w:val="none" w:sz="0" w:space="0" w:color="auto"/>
        <w:right w:val="none" w:sz="0" w:space="0" w:color="auto"/>
      </w:divBdr>
    </w:div>
    <w:div w:id="580410485">
      <w:bodyDiv w:val="1"/>
      <w:marLeft w:val="0"/>
      <w:marRight w:val="0"/>
      <w:marTop w:val="0"/>
      <w:marBottom w:val="0"/>
      <w:divBdr>
        <w:top w:val="none" w:sz="0" w:space="0" w:color="auto"/>
        <w:left w:val="none" w:sz="0" w:space="0" w:color="auto"/>
        <w:bottom w:val="none" w:sz="0" w:space="0" w:color="auto"/>
        <w:right w:val="none" w:sz="0" w:space="0" w:color="auto"/>
      </w:divBdr>
    </w:div>
    <w:div w:id="610623817">
      <w:bodyDiv w:val="1"/>
      <w:marLeft w:val="0"/>
      <w:marRight w:val="0"/>
      <w:marTop w:val="0"/>
      <w:marBottom w:val="0"/>
      <w:divBdr>
        <w:top w:val="none" w:sz="0" w:space="0" w:color="auto"/>
        <w:left w:val="none" w:sz="0" w:space="0" w:color="auto"/>
        <w:bottom w:val="none" w:sz="0" w:space="0" w:color="auto"/>
        <w:right w:val="none" w:sz="0" w:space="0" w:color="auto"/>
      </w:divBdr>
    </w:div>
    <w:div w:id="727807505">
      <w:bodyDiv w:val="1"/>
      <w:marLeft w:val="0"/>
      <w:marRight w:val="0"/>
      <w:marTop w:val="0"/>
      <w:marBottom w:val="0"/>
      <w:divBdr>
        <w:top w:val="none" w:sz="0" w:space="0" w:color="auto"/>
        <w:left w:val="none" w:sz="0" w:space="0" w:color="auto"/>
        <w:bottom w:val="none" w:sz="0" w:space="0" w:color="auto"/>
        <w:right w:val="none" w:sz="0" w:space="0" w:color="auto"/>
      </w:divBdr>
    </w:div>
    <w:div w:id="1117601611">
      <w:bodyDiv w:val="1"/>
      <w:marLeft w:val="0"/>
      <w:marRight w:val="0"/>
      <w:marTop w:val="0"/>
      <w:marBottom w:val="0"/>
      <w:divBdr>
        <w:top w:val="none" w:sz="0" w:space="0" w:color="auto"/>
        <w:left w:val="none" w:sz="0" w:space="0" w:color="auto"/>
        <w:bottom w:val="none" w:sz="0" w:space="0" w:color="auto"/>
        <w:right w:val="none" w:sz="0" w:space="0" w:color="auto"/>
      </w:divBdr>
    </w:div>
    <w:div w:id="1187251343">
      <w:bodyDiv w:val="1"/>
      <w:marLeft w:val="0"/>
      <w:marRight w:val="0"/>
      <w:marTop w:val="0"/>
      <w:marBottom w:val="0"/>
      <w:divBdr>
        <w:top w:val="none" w:sz="0" w:space="0" w:color="auto"/>
        <w:left w:val="none" w:sz="0" w:space="0" w:color="auto"/>
        <w:bottom w:val="none" w:sz="0" w:space="0" w:color="auto"/>
        <w:right w:val="none" w:sz="0" w:space="0" w:color="auto"/>
      </w:divBdr>
    </w:div>
    <w:div w:id="1370836363">
      <w:bodyDiv w:val="1"/>
      <w:marLeft w:val="0"/>
      <w:marRight w:val="0"/>
      <w:marTop w:val="0"/>
      <w:marBottom w:val="0"/>
      <w:divBdr>
        <w:top w:val="none" w:sz="0" w:space="0" w:color="auto"/>
        <w:left w:val="none" w:sz="0" w:space="0" w:color="auto"/>
        <w:bottom w:val="none" w:sz="0" w:space="0" w:color="auto"/>
        <w:right w:val="none" w:sz="0" w:space="0" w:color="auto"/>
      </w:divBdr>
    </w:div>
    <w:div w:id="1592162811">
      <w:bodyDiv w:val="1"/>
      <w:marLeft w:val="0"/>
      <w:marRight w:val="0"/>
      <w:marTop w:val="0"/>
      <w:marBottom w:val="0"/>
      <w:divBdr>
        <w:top w:val="none" w:sz="0" w:space="0" w:color="auto"/>
        <w:left w:val="none" w:sz="0" w:space="0" w:color="auto"/>
        <w:bottom w:val="none" w:sz="0" w:space="0" w:color="auto"/>
        <w:right w:val="none" w:sz="0" w:space="0" w:color="auto"/>
      </w:divBdr>
    </w:div>
    <w:div w:id="1632124897">
      <w:bodyDiv w:val="1"/>
      <w:marLeft w:val="0"/>
      <w:marRight w:val="0"/>
      <w:marTop w:val="0"/>
      <w:marBottom w:val="0"/>
      <w:divBdr>
        <w:top w:val="none" w:sz="0" w:space="0" w:color="auto"/>
        <w:left w:val="none" w:sz="0" w:space="0" w:color="auto"/>
        <w:bottom w:val="none" w:sz="0" w:space="0" w:color="auto"/>
        <w:right w:val="none" w:sz="0" w:space="0" w:color="auto"/>
      </w:divBdr>
    </w:div>
    <w:div w:id="1980650044">
      <w:bodyDiv w:val="1"/>
      <w:marLeft w:val="0"/>
      <w:marRight w:val="0"/>
      <w:marTop w:val="0"/>
      <w:marBottom w:val="0"/>
      <w:divBdr>
        <w:top w:val="none" w:sz="0" w:space="0" w:color="auto"/>
        <w:left w:val="none" w:sz="0" w:space="0" w:color="auto"/>
        <w:bottom w:val="none" w:sz="0" w:space="0" w:color="auto"/>
        <w:right w:val="none" w:sz="0" w:space="0" w:color="auto"/>
      </w:divBdr>
    </w:div>
    <w:div w:id="21386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u2018.at/calendar-events/political-events/BKA-2018-11-16-Subsidiarity-Co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061CDB4-39F4-4AB4-924D-FE68B2B4A1B9}">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ap:Pages>
  <ap:Words>2099</ap:Words>
  <ap:Characters>11549</ap:Characters>
  <ap:DocSecurity>0</ap:DocSecurity>
  <ap:Lines>96</ap:Lines>
  <ap:Paragraphs>27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2018-11-29T09:30:00.0000000Z</lastPrinted>
  <dcterms:created xsi:type="dcterms:W3CDTF">2018-11-29T09:31:00.0000000Z</dcterms:created>
  <dcterms:modified xsi:type="dcterms:W3CDTF">2018-11-29T09:31:00.0000000Z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y fmtid="{D5CDD505-2E9C-101B-9397-08002B2CF9AE}" pid="3" name="_dlc_DocIdItemGuid">
    <vt:lpwstr>4828790b-a50d-48a9-95fe-34344d7ce2ba</vt:lpwstr>
  </property>
  <property fmtid="{D5CDD505-2E9C-101B-9397-08002B2CF9AE}" pid="4" name="_docset_NoMedatataSyncRequired">
    <vt:lpwstr>False</vt:lpwstr>
  </property>
  <property fmtid="{D5CDD505-2E9C-101B-9397-08002B2CF9AE}" pid="5" name="Forum">
    <vt:lpwstr/>
  </property>
  <property fmtid="{D5CDD505-2E9C-101B-9397-08002B2CF9AE}" pid="6" name="Land0">
    <vt:lpwstr/>
  </property>
</Properties>
</file>