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922DBE" w:rsidR="00A3365C" w:rsidP="00922DBE" w:rsidRDefault="00A3365C" w14:paraId="63784F2E" w14:textId="77777777">
      <w:pPr>
        <w:jc w:val="center"/>
        <w:rPr>
          <w:rFonts w:ascii="Arial" w:hAnsi="Arial" w:cs="Arial"/>
          <w:b/>
          <w:color w:val="5279A8"/>
          <w:sz w:val="16"/>
          <w:szCs w:val="16"/>
        </w:rPr>
      </w:pPr>
    </w:p>
    <w:p w:rsidRPr="0059112F" w:rsidR="00A3365C" w:rsidRDefault="00F16AC5" w14:paraId="19827AD8" w14:textId="77777777">
      <w:pPr>
        <w:spacing w:after="60"/>
        <w:jc w:val="center"/>
        <w:rPr>
          <w:rFonts w:ascii="Arial" w:hAnsi="Arial" w:cs="Arial"/>
          <w:sz w:val="18"/>
          <w:szCs w:val="16"/>
        </w:rPr>
      </w:pPr>
      <w:r w:rsidRPr="0059112F">
        <w:rPr>
          <w:rFonts w:ascii="Arial" w:hAnsi="Arial" w:cs="Arial"/>
          <w:b/>
          <w:color w:val="5279A8"/>
          <w:sz w:val="28"/>
        </w:rPr>
        <w:t>ACARE’s view on the future of European Aviation Research and Innovation</w:t>
      </w:r>
    </w:p>
    <w:p w:rsidR="00A3365C" w:rsidRDefault="00A3365C" w14:paraId="3DAF6FDC" w14:textId="77777777">
      <w:pPr>
        <w:rPr>
          <w:rFonts w:ascii="Arial" w:hAnsi="Arial" w:cs="Arial"/>
          <w:b/>
          <w:sz w:val="22"/>
          <w:szCs w:val="22"/>
        </w:rPr>
      </w:pPr>
    </w:p>
    <w:p w:rsidR="00A3365C" w:rsidP="00C93F5F" w:rsidRDefault="00F16AC5" w14:paraId="0A9D7480" w14:textId="44C082D5">
      <w:pPr>
        <w:rPr>
          <w:rFonts w:ascii="Arial" w:hAnsi="Arial" w:cs="Arial"/>
          <w:sz w:val="22"/>
          <w:szCs w:val="22"/>
        </w:rPr>
      </w:pPr>
      <w:r>
        <w:rPr>
          <w:rFonts w:ascii="Arial" w:hAnsi="Arial" w:cs="Arial"/>
          <w:sz w:val="22"/>
          <w:szCs w:val="22"/>
        </w:rPr>
        <w:t xml:space="preserve">Aviation is recognised as one of the top advanced technology sectors in Europe and generates innovation that benefits society at large far beyond its direct operational sphere. </w:t>
      </w:r>
      <w:r w:rsidR="005D695F">
        <w:rPr>
          <w:rFonts w:ascii="Arial" w:hAnsi="Arial"/>
          <w:sz w:val="22"/>
          <w:szCs w:val="22"/>
          <w:lang w:val="en-US"/>
        </w:rPr>
        <w:t xml:space="preserve">It ensures passenger and freight mobility thereby </w:t>
      </w:r>
      <w:r w:rsidR="00CE08F9">
        <w:rPr>
          <w:rFonts w:ascii="Arial" w:hAnsi="Arial"/>
          <w:sz w:val="22"/>
          <w:szCs w:val="22"/>
          <w:lang w:val="en-US"/>
        </w:rPr>
        <w:t>generating wealth and economic growth (total turnover equates to more than €160bn)</w:t>
      </w:r>
      <w:r w:rsidR="005D695F">
        <w:rPr>
          <w:rFonts w:ascii="Arial" w:hAnsi="Arial"/>
          <w:sz w:val="22"/>
          <w:szCs w:val="22"/>
          <w:lang w:val="en-US"/>
        </w:rPr>
        <w:t xml:space="preserve">, contributes </w:t>
      </w:r>
      <w:r w:rsidR="00CE08F9">
        <w:rPr>
          <w:rFonts w:ascii="Arial" w:hAnsi="Arial"/>
          <w:sz w:val="22"/>
          <w:szCs w:val="22"/>
          <w:lang w:val="en-US"/>
        </w:rPr>
        <w:t xml:space="preserve">significantly to </w:t>
      </w:r>
      <w:r w:rsidR="00A5645D">
        <w:rPr>
          <w:rFonts w:ascii="Arial" w:hAnsi="Arial"/>
          <w:sz w:val="22"/>
          <w:szCs w:val="22"/>
          <w:lang w:val="en-US"/>
        </w:rPr>
        <w:t>European competitiveness and the balance of trade</w:t>
      </w:r>
      <w:r w:rsidR="005D695F">
        <w:rPr>
          <w:rFonts w:ascii="Arial" w:hAnsi="Arial"/>
          <w:sz w:val="22"/>
          <w:szCs w:val="22"/>
          <w:lang w:val="en-US"/>
        </w:rPr>
        <w:t xml:space="preserve">, provides </w:t>
      </w:r>
      <w:r w:rsidR="00CE08F9">
        <w:rPr>
          <w:rFonts w:ascii="Arial" w:hAnsi="Arial"/>
          <w:sz w:val="22"/>
          <w:szCs w:val="22"/>
          <w:lang w:val="en-US"/>
        </w:rPr>
        <w:t>half a million highly qualified jobs</w:t>
      </w:r>
      <w:r w:rsidR="00C93F5F">
        <w:rPr>
          <w:rFonts w:ascii="Arial" w:hAnsi="Arial"/>
          <w:sz w:val="22"/>
          <w:szCs w:val="22"/>
          <w:lang w:val="en-US"/>
        </w:rPr>
        <w:t xml:space="preserve">, fosters </w:t>
      </w:r>
      <w:r w:rsidR="00CE08F9">
        <w:rPr>
          <w:rFonts w:ascii="Arial" w:hAnsi="Arial"/>
          <w:sz w:val="22"/>
          <w:szCs w:val="22"/>
          <w:lang w:val="en-US"/>
        </w:rPr>
        <w:t xml:space="preserve">Europe’s knowledge economy through R&amp;D investment </w:t>
      </w:r>
      <w:r w:rsidR="00C93F5F">
        <w:rPr>
          <w:rFonts w:ascii="Arial" w:hAnsi="Arial"/>
          <w:sz w:val="22"/>
          <w:szCs w:val="22"/>
          <w:lang w:val="en-US"/>
        </w:rPr>
        <w:t xml:space="preserve">of about </w:t>
      </w:r>
      <w:r w:rsidR="00CE08F9">
        <w:rPr>
          <w:rFonts w:ascii="Arial" w:hAnsi="Arial"/>
          <w:sz w:val="22"/>
          <w:szCs w:val="22"/>
          <w:lang w:val="en-US"/>
        </w:rPr>
        <w:t xml:space="preserve">ca. 12% of </w:t>
      </w:r>
      <w:r w:rsidR="00C93F5F">
        <w:rPr>
          <w:rFonts w:ascii="Arial" w:hAnsi="Arial"/>
          <w:sz w:val="22"/>
          <w:szCs w:val="22"/>
          <w:lang w:val="en-US"/>
        </w:rPr>
        <w:t xml:space="preserve">its </w:t>
      </w:r>
      <w:r w:rsidR="00CE08F9">
        <w:rPr>
          <w:rFonts w:ascii="Arial" w:hAnsi="Arial"/>
          <w:sz w:val="22"/>
          <w:szCs w:val="22"/>
          <w:lang w:val="en-US"/>
        </w:rPr>
        <w:t>turnover</w:t>
      </w:r>
      <w:r w:rsidR="00C93F5F">
        <w:rPr>
          <w:rFonts w:ascii="Arial" w:hAnsi="Arial"/>
          <w:sz w:val="22"/>
          <w:szCs w:val="22"/>
          <w:lang w:val="en-US"/>
        </w:rPr>
        <w:t xml:space="preserve">, and contributes in </w:t>
      </w:r>
      <w:r w:rsidR="00CE08F9">
        <w:rPr>
          <w:rFonts w:ascii="Arial" w:hAnsi="Arial"/>
          <w:sz w:val="22"/>
          <w:szCs w:val="22"/>
          <w:lang w:val="en-US"/>
        </w:rPr>
        <w:t>many different ways to global safety and security</w:t>
      </w:r>
      <w:r w:rsidR="006464CD">
        <w:rPr>
          <w:rStyle w:val="Funotenzeichen"/>
          <w:rFonts w:ascii="Arial" w:hAnsi="Arial"/>
          <w:sz w:val="22"/>
          <w:szCs w:val="22"/>
          <w:lang w:val="en-US"/>
        </w:rPr>
        <w:footnoteReference w:id="1"/>
      </w:r>
      <w:r w:rsidR="00C93F5F">
        <w:rPr>
          <w:rFonts w:ascii="Arial" w:hAnsi="Arial"/>
          <w:sz w:val="22"/>
          <w:szCs w:val="22"/>
          <w:lang w:val="en-US"/>
        </w:rPr>
        <w:t>.</w:t>
      </w:r>
      <w:r w:rsidR="00CE08F9">
        <w:rPr>
          <w:rFonts w:ascii="Arial" w:hAnsi="Arial"/>
          <w:sz w:val="22"/>
          <w:szCs w:val="22"/>
          <w:lang w:val="en-US"/>
        </w:rPr>
        <w:t xml:space="preserve"> </w:t>
      </w:r>
      <w:r>
        <w:rPr>
          <w:rFonts w:ascii="Arial" w:hAnsi="Arial" w:cs="Arial"/>
          <w:sz w:val="22"/>
          <w:szCs w:val="22"/>
        </w:rPr>
        <w:t>European demand for air transport is anticipated to grow continuously until 2050 and beyond</w:t>
      </w:r>
      <w:r w:rsidR="003C595A">
        <w:rPr>
          <w:rFonts w:ascii="Arial" w:hAnsi="Arial" w:cs="Arial"/>
          <w:sz w:val="22"/>
          <w:szCs w:val="22"/>
        </w:rPr>
        <w:t xml:space="preserve">, while capacities are </w:t>
      </w:r>
      <w:r w:rsidR="00F75B05">
        <w:rPr>
          <w:rFonts w:ascii="Arial" w:hAnsi="Arial" w:cs="Arial"/>
          <w:sz w:val="22"/>
          <w:szCs w:val="22"/>
        </w:rPr>
        <w:t xml:space="preserve">already </w:t>
      </w:r>
      <w:r w:rsidR="003C595A">
        <w:rPr>
          <w:rFonts w:ascii="Arial" w:hAnsi="Arial" w:cs="Arial"/>
          <w:sz w:val="22"/>
          <w:szCs w:val="22"/>
        </w:rPr>
        <w:t>limited today</w:t>
      </w:r>
      <w:r>
        <w:rPr>
          <w:rFonts w:ascii="Arial" w:hAnsi="Arial" w:cs="Arial"/>
          <w:sz w:val="22"/>
          <w:szCs w:val="22"/>
        </w:rPr>
        <w:t>. Sustainable mobility</w:t>
      </w:r>
      <w:r w:rsidR="0083705D">
        <w:rPr>
          <w:rFonts w:ascii="Arial" w:hAnsi="Arial" w:cs="Arial"/>
          <w:sz w:val="22"/>
          <w:szCs w:val="22"/>
        </w:rPr>
        <w:t xml:space="preserve"> solutions are</w:t>
      </w:r>
      <w:r>
        <w:rPr>
          <w:rFonts w:ascii="Arial" w:hAnsi="Arial" w:cs="Arial"/>
          <w:sz w:val="22"/>
          <w:szCs w:val="22"/>
        </w:rPr>
        <w:t xml:space="preserve"> required to satisfy this growth and it is essential that travel remains </w:t>
      </w:r>
      <w:r w:rsidR="00F75B05">
        <w:rPr>
          <w:rFonts w:ascii="Arial" w:hAnsi="Arial" w:cs="Arial"/>
          <w:sz w:val="22"/>
          <w:szCs w:val="22"/>
        </w:rPr>
        <w:t xml:space="preserve">or becomes even more </w:t>
      </w:r>
      <w:r>
        <w:rPr>
          <w:rFonts w:ascii="Arial" w:hAnsi="Arial" w:cs="Arial"/>
          <w:sz w:val="22"/>
          <w:szCs w:val="22"/>
        </w:rPr>
        <w:t>safe, secure, fast, affordable and environmentally friendly. Industrial competition is fierce, not only from established world regions but also from new, strong challengers.</w:t>
      </w:r>
    </w:p>
    <w:p w:rsidR="00A3365C" w:rsidRDefault="00A3365C" w14:paraId="558B0F91" w14:textId="77777777">
      <w:pPr>
        <w:rPr>
          <w:rFonts w:ascii="Arial" w:hAnsi="Arial" w:cs="Arial"/>
          <w:b/>
          <w:sz w:val="22"/>
          <w:szCs w:val="22"/>
        </w:rPr>
      </w:pPr>
    </w:p>
    <w:p w:rsidR="00A3365C" w:rsidRDefault="00F16AC5" w14:paraId="52E108F0" w14:textId="77777777">
      <w:pPr>
        <w:rPr>
          <w:rFonts w:ascii="Arial" w:hAnsi="Arial" w:cs="Arial"/>
          <w:b/>
          <w:sz w:val="22"/>
          <w:szCs w:val="22"/>
        </w:rPr>
      </w:pPr>
      <w:r>
        <w:rPr>
          <w:rFonts w:ascii="Arial" w:hAnsi="Arial" w:cs="Arial"/>
          <w:b/>
          <w:sz w:val="22"/>
          <w:szCs w:val="22"/>
        </w:rPr>
        <w:t>Flightpath 2050</w:t>
      </w:r>
    </w:p>
    <w:p w:rsidR="00A3365C" w:rsidRDefault="00A3365C" w14:paraId="1E20C22C" w14:textId="77777777">
      <w:pPr>
        <w:rPr>
          <w:rFonts w:ascii="Arial" w:hAnsi="Arial" w:cs="Arial"/>
          <w:b/>
          <w:sz w:val="22"/>
          <w:szCs w:val="22"/>
        </w:rPr>
      </w:pPr>
    </w:p>
    <w:p w:rsidR="00A3365C" w:rsidRDefault="00F16AC5" w14:paraId="69C5C36F" w14:textId="77777777">
      <w:r>
        <w:rPr>
          <w:rFonts w:ascii="Arial" w:hAnsi="Arial" w:cs="Arial"/>
          <w:sz w:val="22"/>
          <w:szCs w:val="22"/>
        </w:rPr>
        <w:t>In 2011 a European group of personalities set out a vision of European aviation with the publication of Flightpath 2050. The ambitious goals of Flightpath 2050 are set to deliver two aims: firstly to serve society’s needs for safe, more efficient and environmentally friendly air transport; and secondly, to maintain global leadership for Europe in this sector with a competitive supply chain and competitive operators. The roadmap to achieve these goals can be met by addressing the following key challenges:</w:t>
      </w:r>
    </w:p>
    <w:p w:rsidR="00A3365C" w:rsidRDefault="00F16AC5" w14:paraId="62E77507" w14:textId="77777777">
      <w:pPr>
        <w:numPr>
          <w:ilvl w:val="0"/>
          <w:numId w:val="4"/>
        </w:numPr>
        <w:rPr>
          <w:rFonts w:ascii="Arial" w:hAnsi="Arial" w:cs="Arial"/>
          <w:sz w:val="22"/>
          <w:szCs w:val="22"/>
        </w:rPr>
      </w:pPr>
      <w:r>
        <w:rPr>
          <w:rFonts w:ascii="Arial" w:hAnsi="Arial" w:cs="Arial"/>
          <w:sz w:val="22"/>
          <w:szCs w:val="22"/>
        </w:rPr>
        <w:t>Challenge 1: Meeting societal and market needs</w:t>
      </w:r>
    </w:p>
    <w:p w:rsidR="00A3365C" w:rsidRDefault="00F16AC5" w14:paraId="64818979" w14:textId="77777777">
      <w:pPr>
        <w:numPr>
          <w:ilvl w:val="0"/>
          <w:numId w:val="4"/>
        </w:numPr>
      </w:pPr>
      <w:r>
        <w:rPr>
          <w:rFonts w:ascii="Arial" w:hAnsi="Arial" w:cs="Arial"/>
          <w:sz w:val="22"/>
          <w:szCs w:val="22"/>
        </w:rPr>
        <w:t>Challenge 2: Maintaining and extending industrial leadership</w:t>
      </w:r>
    </w:p>
    <w:p w:rsidR="00A3365C" w:rsidRDefault="00F16AC5" w14:paraId="5883D16E" w14:textId="77777777">
      <w:pPr>
        <w:numPr>
          <w:ilvl w:val="0"/>
          <w:numId w:val="4"/>
        </w:numPr>
      </w:pPr>
      <w:r>
        <w:rPr>
          <w:rFonts w:ascii="Arial" w:hAnsi="Arial" w:cs="Arial"/>
          <w:sz w:val="22"/>
          <w:szCs w:val="22"/>
        </w:rPr>
        <w:t>Challenge 3: Protecting the environment and the energy supply</w:t>
      </w:r>
    </w:p>
    <w:p w:rsidR="00A3365C" w:rsidRDefault="00F16AC5" w14:paraId="54064712" w14:textId="77777777">
      <w:pPr>
        <w:numPr>
          <w:ilvl w:val="0"/>
          <w:numId w:val="4"/>
        </w:numPr>
        <w:rPr>
          <w:rFonts w:ascii="Arial" w:hAnsi="Arial" w:cs="Arial"/>
          <w:sz w:val="22"/>
          <w:szCs w:val="22"/>
        </w:rPr>
      </w:pPr>
      <w:r>
        <w:rPr>
          <w:rFonts w:ascii="Arial" w:hAnsi="Arial" w:cs="Arial"/>
          <w:sz w:val="22"/>
          <w:szCs w:val="22"/>
        </w:rPr>
        <w:t>Challenge 4: Ensuring safety and security</w:t>
      </w:r>
    </w:p>
    <w:p w:rsidR="00A3365C" w:rsidRDefault="00F16AC5" w14:paraId="0FE15CC7" w14:textId="77777777">
      <w:pPr>
        <w:numPr>
          <w:ilvl w:val="0"/>
          <w:numId w:val="4"/>
        </w:numPr>
        <w:rPr>
          <w:rFonts w:ascii="Arial" w:hAnsi="Arial" w:cs="Arial"/>
          <w:sz w:val="22"/>
          <w:szCs w:val="22"/>
        </w:rPr>
      </w:pPr>
      <w:r>
        <w:rPr>
          <w:rFonts w:ascii="Arial" w:hAnsi="Arial" w:cs="Arial"/>
          <w:sz w:val="22"/>
          <w:szCs w:val="22"/>
        </w:rPr>
        <w:t>Challenge 5: Prioritising research, testing capability and education.</w:t>
      </w:r>
    </w:p>
    <w:p w:rsidR="00A3365C" w:rsidRDefault="00A3365C" w14:paraId="53B0EC99" w14:textId="77777777">
      <w:pPr>
        <w:rPr>
          <w:rFonts w:ascii="Arial" w:hAnsi="Arial" w:cs="Arial"/>
          <w:b/>
          <w:sz w:val="22"/>
          <w:szCs w:val="22"/>
        </w:rPr>
      </w:pPr>
    </w:p>
    <w:p w:rsidR="00A3365C" w:rsidRDefault="00F16AC5" w14:paraId="45718D29" w14:textId="77777777">
      <w:pPr>
        <w:rPr>
          <w:rFonts w:ascii="Arial" w:hAnsi="Arial" w:cs="Arial"/>
          <w:b/>
          <w:sz w:val="22"/>
          <w:szCs w:val="22"/>
        </w:rPr>
      </w:pPr>
      <w:r>
        <w:rPr>
          <w:rFonts w:ascii="Arial" w:hAnsi="Arial" w:cs="Arial"/>
          <w:b/>
          <w:sz w:val="22"/>
          <w:szCs w:val="22"/>
        </w:rPr>
        <w:t xml:space="preserve">ACARE’s strategic research and innovation agenda </w:t>
      </w:r>
    </w:p>
    <w:p w:rsidR="00A3365C" w:rsidRDefault="00A3365C" w14:paraId="30414718" w14:textId="77777777">
      <w:pPr>
        <w:rPr>
          <w:rFonts w:ascii="Arial" w:hAnsi="Arial" w:cs="Arial"/>
          <w:b/>
          <w:sz w:val="22"/>
          <w:szCs w:val="22"/>
        </w:rPr>
      </w:pPr>
    </w:p>
    <w:p w:rsidR="00A3365C" w:rsidRDefault="00F16AC5" w14:paraId="53513E75" w14:textId="77777777">
      <w:r>
        <w:rPr>
          <w:rFonts w:ascii="Arial" w:hAnsi="Arial" w:cs="Arial"/>
          <w:sz w:val="22"/>
          <w:szCs w:val="22"/>
        </w:rPr>
        <w:t xml:space="preserve">In 2012 ACARE had developed a strategic research and innovation agenda (SRIA) to meet the challenging goals set by Flightpath 2050. Research and innovation in aviation is the key to tomorrow’s mobility and prosperity as well as environmental and energy challenge. </w:t>
      </w:r>
    </w:p>
    <w:p w:rsidR="00A3365C" w:rsidRDefault="00A3365C" w14:paraId="6ED5E711" w14:textId="77777777">
      <w:pPr>
        <w:rPr>
          <w:rFonts w:ascii="Arial" w:hAnsi="Arial" w:cs="Arial"/>
          <w:sz w:val="22"/>
          <w:szCs w:val="22"/>
        </w:rPr>
      </w:pPr>
    </w:p>
    <w:p w:rsidR="00A3365C" w:rsidRDefault="00F16AC5" w14:paraId="1F0E6BD7" w14:textId="77777777">
      <w:r>
        <w:rPr>
          <w:rFonts w:ascii="Arial" w:hAnsi="Arial" w:cs="Arial"/>
          <w:sz w:val="22"/>
          <w:szCs w:val="22"/>
        </w:rPr>
        <w:t>Since 2012 a number of external factors and boundary conditions have changed, and together with other developments have prompted ACARE to update the SRIA. Examples of these trigger factors are:</w:t>
      </w:r>
      <w:r>
        <w:t xml:space="preserve"> </w:t>
      </w:r>
    </w:p>
    <w:p w:rsidR="00A3365C" w:rsidRDefault="00F16AC5" w14:paraId="074BE9E8" w14:textId="77777777">
      <w:pPr>
        <w:numPr>
          <w:ilvl w:val="0"/>
          <w:numId w:val="5"/>
        </w:numPr>
      </w:pPr>
      <w:r>
        <w:rPr>
          <w:rFonts w:ascii="Arial" w:hAnsi="Arial" w:cs="Arial"/>
          <w:sz w:val="22"/>
          <w:szCs w:val="22"/>
        </w:rPr>
        <w:t>Cybersecurity threats, e.g. to aircraft equipment or ATM systems</w:t>
      </w:r>
    </w:p>
    <w:p w:rsidRPr="001F2AD2" w:rsidR="00A3365C" w:rsidRDefault="00F16AC5" w14:paraId="065911BF" w14:textId="7711708C">
      <w:pPr>
        <w:numPr>
          <w:ilvl w:val="0"/>
          <w:numId w:val="5"/>
        </w:numPr>
        <w:rPr>
          <w:rFonts w:ascii="Arial" w:hAnsi="Arial" w:cs="Arial"/>
          <w:sz w:val="22"/>
          <w:szCs w:val="22"/>
        </w:rPr>
      </w:pPr>
      <w:r>
        <w:rPr>
          <w:rFonts w:ascii="Arial" w:hAnsi="Arial" w:cs="Arial"/>
          <w:sz w:val="22"/>
          <w:szCs w:val="22"/>
        </w:rPr>
        <w:t xml:space="preserve">Developments in </w:t>
      </w:r>
      <w:r w:rsidRPr="0059112F">
        <w:rPr>
          <w:rFonts w:ascii="Arial" w:hAnsi="Arial" w:cs="Arial"/>
          <w:sz w:val="22"/>
          <w:szCs w:val="22"/>
        </w:rPr>
        <w:t xml:space="preserve">digitalisation </w:t>
      </w:r>
      <w:r w:rsidRPr="0059112F" w:rsidR="001F2AD2">
        <w:rPr>
          <w:rFonts w:ascii="Arial" w:hAnsi="Arial" w:cs="Arial"/>
          <w:sz w:val="22"/>
          <w:szCs w:val="22"/>
        </w:rPr>
        <w:t xml:space="preserve">(AI, Big data, data science, ML and deep learning)and </w:t>
      </w:r>
      <w:r w:rsidR="001F2AD2">
        <w:rPr>
          <w:rFonts w:ascii="Arial" w:hAnsi="Arial" w:cs="Arial"/>
          <w:sz w:val="22"/>
          <w:szCs w:val="22"/>
        </w:rPr>
        <w:t>electrification of transport</w:t>
      </w:r>
    </w:p>
    <w:p w:rsidR="00A3365C" w:rsidRDefault="00F16AC5" w14:paraId="220A8329" w14:textId="4B4A6EF1">
      <w:pPr>
        <w:numPr>
          <w:ilvl w:val="0"/>
          <w:numId w:val="5"/>
        </w:numPr>
      </w:pPr>
      <w:r>
        <w:rPr>
          <w:rFonts w:ascii="Arial" w:hAnsi="Arial" w:cs="Arial"/>
          <w:sz w:val="22"/>
          <w:szCs w:val="22"/>
        </w:rPr>
        <w:t>Future stringency in emissions standards for CO2</w:t>
      </w:r>
      <w:r w:rsidR="00060E7D">
        <w:rPr>
          <w:rFonts w:ascii="Arial" w:hAnsi="Arial" w:cs="Arial"/>
          <w:sz w:val="22"/>
          <w:szCs w:val="22"/>
        </w:rPr>
        <w:t xml:space="preserve">, NOx </w:t>
      </w:r>
      <w:r>
        <w:rPr>
          <w:rFonts w:ascii="Arial" w:hAnsi="Arial" w:cs="Arial"/>
          <w:sz w:val="22"/>
          <w:szCs w:val="22"/>
        </w:rPr>
        <w:t xml:space="preserve"> and ultra-fine particles</w:t>
      </w:r>
    </w:p>
    <w:p w:rsidR="00A3365C" w:rsidRDefault="00F16AC5" w14:paraId="08568D45" w14:textId="77777777">
      <w:pPr>
        <w:numPr>
          <w:ilvl w:val="0"/>
          <w:numId w:val="5"/>
        </w:numPr>
      </w:pPr>
      <w:r>
        <w:rPr>
          <w:rFonts w:ascii="Arial" w:hAnsi="Arial" w:cs="Arial"/>
          <w:sz w:val="22"/>
          <w:szCs w:val="22"/>
        </w:rPr>
        <w:t>Increased importance of noise annoyance and health impacts</w:t>
      </w:r>
    </w:p>
    <w:p w:rsidR="00A3365C" w:rsidRDefault="00F16AC5" w14:paraId="7B764D94" w14:textId="5F1772D7">
      <w:pPr>
        <w:numPr>
          <w:ilvl w:val="0"/>
          <w:numId w:val="5"/>
        </w:numPr>
      </w:pPr>
      <w:r>
        <w:rPr>
          <w:rFonts w:ascii="Arial" w:hAnsi="Arial" w:cs="Arial"/>
          <w:sz w:val="22"/>
          <w:szCs w:val="22"/>
        </w:rPr>
        <w:t>New mobility system concepts</w:t>
      </w:r>
      <w:r w:rsidR="00681852">
        <w:rPr>
          <w:rFonts w:ascii="Arial" w:hAnsi="Arial" w:cs="Arial"/>
          <w:sz w:val="22"/>
          <w:szCs w:val="22"/>
        </w:rPr>
        <w:t xml:space="preserve"> (e.g. Urban Air Mobility)</w:t>
      </w:r>
      <w:r>
        <w:rPr>
          <w:rFonts w:ascii="Arial" w:hAnsi="Arial" w:cs="Arial"/>
          <w:sz w:val="22"/>
          <w:szCs w:val="22"/>
        </w:rPr>
        <w:t xml:space="preserve">, stakeholders, business models and vehicle types including </w:t>
      </w:r>
      <w:r w:rsidR="00060E7D">
        <w:rPr>
          <w:rFonts w:ascii="Arial" w:hAnsi="Arial" w:cs="Arial"/>
          <w:sz w:val="22"/>
          <w:szCs w:val="22"/>
        </w:rPr>
        <w:t xml:space="preserve">autonomous or </w:t>
      </w:r>
      <w:r>
        <w:rPr>
          <w:rFonts w:ascii="Arial" w:hAnsi="Arial" w:cs="Arial"/>
          <w:sz w:val="22"/>
          <w:szCs w:val="22"/>
        </w:rPr>
        <w:t>remotely-piloted aircraft systems</w:t>
      </w:r>
      <w:r w:rsidR="00681852">
        <w:rPr>
          <w:rFonts w:ascii="Arial" w:hAnsi="Arial" w:cs="Arial"/>
          <w:sz w:val="22"/>
          <w:szCs w:val="22"/>
        </w:rPr>
        <w:t xml:space="preserve"> </w:t>
      </w:r>
    </w:p>
    <w:p w:rsidR="00A3365C" w:rsidRDefault="00F16AC5" w14:paraId="048B2BD8" w14:textId="3401D286">
      <w:pPr>
        <w:numPr>
          <w:ilvl w:val="0"/>
          <w:numId w:val="5"/>
        </w:numPr>
      </w:pPr>
      <w:r>
        <w:rPr>
          <w:rFonts w:ascii="Arial" w:hAnsi="Arial" w:cs="Arial"/>
          <w:sz w:val="22"/>
          <w:szCs w:val="22"/>
        </w:rPr>
        <w:lastRenderedPageBreak/>
        <w:t>New technologies, materials, manufacturing processes and system concepts vital for the European aviation sector</w:t>
      </w:r>
      <w:r w:rsidR="00681852">
        <w:rPr>
          <w:rFonts w:ascii="Arial" w:hAnsi="Arial" w:cs="Arial"/>
          <w:sz w:val="22"/>
          <w:szCs w:val="22"/>
        </w:rPr>
        <w:t xml:space="preserve"> </w:t>
      </w:r>
    </w:p>
    <w:p w:rsidR="00A3365C" w:rsidRDefault="00F16AC5" w14:paraId="6A1DA15B" w14:textId="77777777">
      <w:pPr>
        <w:numPr>
          <w:ilvl w:val="0"/>
          <w:numId w:val="5"/>
        </w:numPr>
        <w:rPr>
          <w:rFonts w:ascii="Arial" w:hAnsi="Arial" w:cs="Arial"/>
          <w:sz w:val="22"/>
          <w:szCs w:val="22"/>
        </w:rPr>
      </w:pPr>
      <w:r>
        <w:rPr>
          <w:rFonts w:ascii="Arial" w:hAnsi="Arial" w:cs="Arial"/>
          <w:sz w:val="22"/>
          <w:szCs w:val="22"/>
        </w:rPr>
        <w:t>Availability of appropriate research and test infrastructure as well as of a capable work force</w:t>
      </w:r>
    </w:p>
    <w:p w:rsidR="00A3365C" w:rsidRDefault="00A3365C" w14:paraId="0DC4207D" w14:textId="77777777">
      <w:pPr>
        <w:rPr>
          <w:rFonts w:ascii="Arial" w:hAnsi="Arial" w:cs="Arial"/>
          <w:sz w:val="22"/>
          <w:szCs w:val="22"/>
        </w:rPr>
      </w:pPr>
    </w:p>
    <w:p w:rsidR="00A3365C" w:rsidRDefault="00F16AC5" w14:paraId="381F1BA0" w14:textId="219D8BAE">
      <w:pPr>
        <w:rPr>
          <w:rFonts w:ascii="Arial" w:hAnsi="Arial" w:cs="Arial"/>
          <w:sz w:val="22"/>
          <w:szCs w:val="22"/>
        </w:rPr>
      </w:pPr>
      <w:r>
        <w:rPr>
          <w:rFonts w:ascii="Arial" w:hAnsi="Arial" w:cs="Arial"/>
          <w:sz w:val="22"/>
          <w:szCs w:val="22"/>
        </w:rPr>
        <w:t xml:space="preserve">Furthermore, research undertaken since the first edition of the SRIA by European, national and regional programmes, both private and public, has produced </w:t>
      </w:r>
      <w:r w:rsidR="005739BE">
        <w:rPr>
          <w:rFonts w:ascii="Arial" w:hAnsi="Arial" w:cs="Arial"/>
          <w:sz w:val="22"/>
          <w:szCs w:val="22"/>
        </w:rPr>
        <w:t>tangible results which needed</w:t>
      </w:r>
      <w:r>
        <w:rPr>
          <w:rFonts w:ascii="Arial" w:hAnsi="Arial" w:cs="Arial"/>
          <w:sz w:val="22"/>
          <w:szCs w:val="22"/>
        </w:rPr>
        <w:t xml:space="preserve"> to be considered.</w:t>
      </w:r>
    </w:p>
    <w:p w:rsidR="00A3365C" w:rsidRDefault="00A3365C" w14:paraId="1C739627" w14:textId="77777777">
      <w:pPr>
        <w:rPr>
          <w:rFonts w:ascii="Arial" w:hAnsi="Arial" w:cs="Arial"/>
          <w:sz w:val="22"/>
          <w:szCs w:val="22"/>
        </w:rPr>
      </w:pPr>
    </w:p>
    <w:p w:rsidR="0083390D" w:rsidP="0083390D" w:rsidRDefault="0083390D" w14:paraId="19542585" w14:textId="05F588C3">
      <w:pPr>
        <w:rPr>
          <w:rFonts w:ascii="Arial" w:hAnsi="Arial" w:cs="Arial"/>
          <w:sz w:val="22"/>
          <w:szCs w:val="22"/>
        </w:rPr>
      </w:pPr>
      <w:r>
        <w:rPr>
          <w:rFonts w:ascii="Arial" w:hAnsi="Arial" w:cs="Arial"/>
          <w:sz w:val="22"/>
          <w:szCs w:val="22"/>
        </w:rPr>
        <w:t xml:space="preserve">These results and changed boundary conditions </w:t>
      </w:r>
      <w:r w:rsidR="002D37BE">
        <w:rPr>
          <w:rFonts w:ascii="Arial" w:hAnsi="Arial" w:cs="Arial"/>
          <w:sz w:val="22"/>
          <w:szCs w:val="22"/>
        </w:rPr>
        <w:t>t</w:t>
      </w:r>
      <w:r w:rsidR="0025131A">
        <w:rPr>
          <w:rFonts w:ascii="Arial" w:hAnsi="Arial" w:cs="Arial"/>
          <w:sz w:val="22"/>
          <w:szCs w:val="22"/>
        </w:rPr>
        <w:t>riggered</w:t>
      </w:r>
      <w:r>
        <w:rPr>
          <w:rFonts w:ascii="Arial" w:hAnsi="Arial" w:cs="Arial"/>
          <w:sz w:val="22"/>
          <w:szCs w:val="22"/>
        </w:rPr>
        <w:t xml:space="preserve"> the release of a</w:t>
      </w:r>
      <w:r w:rsidR="0025131A">
        <w:rPr>
          <w:rFonts w:ascii="Arial" w:hAnsi="Arial" w:cs="Arial"/>
          <w:sz w:val="22"/>
          <w:szCs w:val="22"/>
        </w:rPr>
        <w:t>n update</w:t>
      </w:r>
      <w:r>
        <w:rPr>
          <w:rFonts w:ascii="Arial" w:hAnsi="Arial" w:cs="Arial"/>
          <w:sz w:val="22"/>
          <w:szCs w:val="22"/>
        </w:rPr>
        <w:t xml:space="preserve"> of the </w:t>
      </w:r>
      <w:r w:rsidR="000A4D79">
        <w:rPr>
          <w:rFonts w:ascii="Arial" w:hAnsi="Arial" w:cs="Arial"/>
          <w:sz w:val="22"/>
          <w:szCs w:val="22"/>
        </w:rPr>
        <w:t>SRIA</w:t>
      </w:r>
      <w:r>
        <w:rPr>
          <w:rFonts w:ascii="Arial" w:hAnsi="Arial" w:cs="Arial"/>
          <w:sz w:val="22"/>
          <w:szCs w:val="22"/>
        </w:rPr>
        <w:t xml:space="preserve"> in June 2017.</w:t>
      </w:r>
    </w:p>
    <w:p w:rsidR="0083390D" w:rsidP="0083390D" w:rsidRDefault="0083390D" w14:paraId="4C302081" w14:textId="77777777"/>
    <w:p w:rsidR="00A3365C" w:rsidRDefault="0083390D" w14:paraId="6D5BCFC0" w14:textId="378C4E66">
      <w:pPr>
        <w:rPr>
          <w:rFonts w:ascii="Arial" w:hAnsi="Arial" w:cs="Arial"/>
          <w:sz w:val="22"/>
          <w:szCs w:val="22"/>
        </w:rPr>
      </w:pPr>
      <w:r>
        <w:rPr>
          <w:rFonts w:ascii="Arial" w:hAnsi="Arial" w:cs="Arial"/>
          <w:sz w:val="22"/>
          <w:szCs w:val="22"/>
        </w:rPr>
        <w:t>Some e</w:t>
      </w:r>
      <w:r w:rsidR="00F16AC5">
        <w:rPr>
          <w:rFonts w:ascii="Arial" w:hAnsi="Arial" w:cs="Arial"/>
          <w:sz w:val="22"/>
          <w:szCs w:val="22"/>
        </w:rPr>
        <w:t>xamples of results had been published by ACARE it its success stories brochure in 2015:</w:t>
      </w:r>
    </w:p>
    <w:p w:rsidR="00A3365C" w:rsidRDefault="00F16AC5" w14:paraId="763DDF40" w14:textId="02F6E01D">
      <w:pPr>
        <w:numPr>
          <w:ilvl w:val="0"/>
          <w:numId w:val="1"/>
        </w:numPr>
        <w:rPr>
          <w:rFonts w:ascii="Arial" w:hAnsi="Arial" w:cs="Arial"/>
          <w:sz w:val="22"/>
          <w:szCs w:val="22"/>
        </w:rPr>
      </w:pPr>
      <w:r>
        <w:rPr>
          <w:rFonts w:ascii="Arial" w:hAnsi="Arial" w:cs="Arial"/>
          <w:sz w:val="22"/>
          <w:szCs w:val="22"/>
        </w:rPr>
        <w:t>Total Airport Management Suite (TAMS) optimis</w:t>
      </w:r>
      <w:r w:rsidR="0083390D">
        <w:rPr>
          <w:rFonts w:ascii="Arial" w:hAnsi="Arial" w:cs="Arial"/>
          <w:sz w:val="22"/>
          <w:szCs w:val="22"/>
        </w:rPr>
        <w:t>ing</w:t>
      </w:r>
      <w:r>
        <w:rPr>
          <w:rFonts w:ascii="Arial" w:hAnsi="Arial" w:cs="Arial"/>
          <w:sz w:val="22"/>
          <w:szCs w:val="22"/>
        </w:rPr>
        <w:t xml:space="preserve"> airport operation decision making</w:t>
      </w:r>
    </w:p>
    <w:p w:rsidR="00A3365C" w:rsidRDefault="00F16AC5" w14:paraId="3EAA86AC" w14:textId="77777777">
      <w:pPr>
        <w:numPr>
          <w:ilvl w:val="0"/>
          <w:numId w:val="1"/>
        </w:numPr>
        <w:rPr>
          <w:rFonts w:ascii="Arial" w:hAnsi="Arial" w:cs="Arial"/>
          <w:sz w:val="22"/>
          <w:szCs w:val="22"/>
        </w:rPr>
      </w:pPr>
      <w:r>
        <w:rPr>
          <w:rFonts w:ascii="Arial" w:hAnsi="Arial" w:cs="Arial"/>
          <w:sz w:val="22"/>
          <w:szCs w:val="22"/>
        </w:rPr>
        <w:t>Remote Tower Services</w:t>
      </w:r>
    </w:p>
    <w:p w:rsidR="00A3365C" w:rsidRDefault="00F16AC5" w14:paraId="2EFD4808" w14:textId="77777777">
      <w:pPr>
        <w:numPr>
          <w:ilvl w:val="0"/>
          <w:numId w:val="1"/>
        </w:numPr>
        <w:rPr>
          <w:rFonts w:ascii="Arial" w:hAnsi="Arial" w:cs="Arial"/>
          <w:sz w:val="22"/>
          <w:szCs w:val="22"/>
        </w:rPr>
      </w:pPr>
      <w:r>
        <w:rPr>
          <w:rFonts w:ascii="Arial" w:hAnsi="Arial" w:cs="Arial"/>
          <w:sz w:val="22"/>
          <w:szCs w:val="22"/>
        </w:rPr>
        <w:t>High lift Aerodynamics</w:t>
      </w:r>
    </w:p>
    <w:p w:rsidR="00A3365C" w:rsidRDefault="00F16AC5" w14:paraId="45C122B0" w14:textId="77777777">
      <w:pPr>
        <w:numPr>
          <w:ilvl w:val="0"/>
          <w:numId w:val="1"/>
        </w:numPr>
        <w:rPr>
          <w:rFonts w:ascii="Arial" w:hAnsi="Arial" w:cs="Arial"/>
          <w:sz w:val="22"/>
          <w:szCs w:val="22"/>
        </w:rPr>
      </w:pPr>
      <w:r>
        <w:rPr>
          <w:rFonts w:ascii="Arial" w:hAnsi="Arial" w:cs="Arial"/>
          <w:sz w:val="22"/>
          <w:szCs w:val="22"/>
        </w:rPr>
        <w:t>Light Helicopter Demonstrator with High compression Engine (HCE)</w:t>
      </w:r>
    </w:p>
    <w:p w:rsidR="00A3365C" w:rsidRDefault="00F16AC5" w14:paraId="1D5C943B" w14:textId="77777777">
      <w:pPr>
        <w:numPr>
          <w:ilvl w:val="0"/>
          <w:numId w:val="1"/>
        </w:numPr>
        <w:rPr>
          <w:rFonts w:ascii="Arial" w:hAnsi="Arial" w:cs="Arial"/>
          <w:sz w:val="22"/>
          <w:szCs w:val="22"/>
        </w:rPr>
      </w:pPr>
      <w:r>
        <w:rPr>
          <w:rFonts w:ascii="Arial" w:hAnsi="Arial" w:cs="Arial"/>
          <w:sz w:val="22"/>
          <w:szCs w:val="22"/>
        </w:rPr>
        <w:t>European FP7 projects on Renewable Jet Fuel (e.g. SOLAR-JET)</w:t>
      </w:r>
    </w:p>
    <w:p w:rsidR="00A3365C" w:rsidRDefault="00F16AC5" w14:paraId="03AF4A31" w14:textId="359AD515">
      <w:pPr>
        <w:numPr>
          <w:ilvl w:val="0"/>
          <w:numId w:val="1"/>
        </w:numPr>
        <w:rPr>
          <w:rFonts w:ascii="Arial" w:hAnsi="Arial" w:cs="Arial"/>
          <w:sz w:val="22"/>
          <w:szCs w:val="22"/>
        </w:rPr>
      </w:pPr>
      <w:r>
        <w:rPr>
          <w:rFonts w:ascii="Arial" w:hAnsi="Arial" w:cs="Arial"/>
          <w:sz w:val="22"/>
          <w:szCs w:val="22"/>
        </w:rPr>
        <w:t>FLYSAFE – Airborn</w:t>
      </w:r>
      <w:r w:rsidR="001F2AD2">
        <w:rPr>
          <w:rFonts w:ascii="Arial" w:hAnsi="Arial" w:cs="Arial"/>
          <w:sz w:val="22"/>
          <w:szCs w:val="22"/>
        </w:rPr>
        <w:t>e</w:t>
      </w:r>
      <w:r>
        <w:rPr>
          <w:rFonts w:ascii="Arial" w:hAnsi="Arial" w:cs="Arial"/>
          <w:sz w:val="22"/>
          <w:szCs w:val="22"/>
        </w:rPr>
        <w:t xml:space="preserve"> Integrated Systems for Safety Improvement, Flight Hazard Projection and All Weather Operations</w:t>
      </w:r>
    </w:p>
    <w:p w:rsidR="00A3365C" w:rsidRDefault="00F16AC5" w14:paraId="76BDFA76" w14:textId="77777777">
      <w:pPr>
        <w:numPr>
          <w:ilvl w:val="0"/>
          <w:numId w:val="1"/>
        </w:numPr>
        <w:rPr>
          <w:rFonts w:ascii="Arial" w:hAnsi="Arial" w:cs="Arial"/>
          <w:sz w:val="22"/>
          <w:szCs w:val="22"/>
        </w:rPr>
      </w:pPr>
      <w:r>
        <w:rPr>
          <w:rFonts w:ascii="Arial" w:hAnsi="Arial" w:cs="Arial"/>
          <w:sz w:val="22"/>
          <w:szCs w:val="22"/>
        </w:rPr>
        <w:t>School_labs – Best practices for attracting Young People to Research and Science</w:t>
      </w:r>
    </w:p>
    <w:p w:rsidR="00A3365C" w:rsidRDefault="00A3365C" w14:paraId="713E77B3" w14:textId="77777777">
      <w:pPr>
        <w:rPr>
          <w:rFonts w:ascii="Arial" w:hAnsi="Arial" w:cs="Arial"/>
          <w:sz w:val="22"/>
          <w:szCs w:val="22"/>
        </w:rPr>
      </w:pPr>
    </w:p>
    <w:p w:rsidR="00A3365C" w:rsidRDefault="00F16AC5" w14:paraId="04831188" w14:textId="5400692A">
      <w:pPr>
        <w:rPr>
          <w:rFonts w:ascii="Arial" w:hAnsi="Arial" w:cs="Arial"/>
          <w:sz w:val="22"/>
          <w:szCs w:val="22"/>
        </w:rPr>
      </w:pPr>
      <w:r>
        <w:rPr>
          <w:rFonts w:ascii="Arial" w:hAnsi="Arial" w:cs="Arial"/>
          <w:sz w:val="22"/>
          <w:szCs w:val="22"/>
        </w:rPr>
        <w:t xml:space="preserve">Wider spin-off </w:t>
      </w:r>
      <w:r w:rsidR="0025131A">
        <w:rPr>
          <w:rFonts w:ascii="Arial" w:hAnsi="Arial" w:cs="Arial"/>
          <w:sz w:val="22"/>
          <w:szCs w:val="22"/>
        </w:rPr>
        <w:t xml:space="preserve">effects </w:t>
      </w:r>
      <w:r>
        <w:rPr>
          <w:rFonts w:ascii="Arial" w:hAnsi="Arial" w:cs="Arial"/>
          <w:sz w:val="22"/>
          <w:szCs w:val="22"/>
        </w:rPr>
        <w:t xml:space="preserve">from aviation benefit industries across a whole spectrum of economic activities. An example of spill over is a Railway Collision Avoidance System (RCAS) developed by DLR based on concepts developed in Aerospace applications. </w:t>
      </w:r>
    </w:p>
    <w:p w:rsidR="00A3365C" w:rsidRDefault="00A3365C" w14:paraId="4DDFCD90" w14:textId="77777777">
      <w:pPr>
        <w:rPr>
          <w:rFonts w:ascii="Arial" w:hAnsi="Arial" w:cs="Arial"/>
          <w:sz w:val="22"/>
          <w:szCs w:val="22"/>
        </w:rPr>
      </w:pPr>
    </w:p>
    <w:p w:rsidR="00A3365C" w:rsidRDefault="00F16AC5" w14:paraId="1DDDFE4F" w14:textId="77777777">
      <w:pPr>
        <w:rPr>
          <w:rFonts w:ascii="Arial" w:hAnsi="Arial" w:cs="Arial"/>
          <w:b/>
          <w:sz w:val="22"/>
          <w:szCs w:val="22"/>
        </w:rPr>
      </w:pPr>
      <w:r>
        <w:rPr>
          <w:rFonts w:ascii="Arial" w:hAnsi="Arial" w:cs="Arial"/>
          <w:b/>
          <w:sz w:val="22"/>
          <w:szCs w:val="22"/>
        </w:rPr>
        <w:t>ACARE recommendation to implement SRIA</w:t>
      </w:r>
    </w:p>
    <w:p w:rsidR="00A3365C" w:rsidRDefault="00A3365C" w14:paraId="6871CCE0" w14:textId="77777777">
      <w:pPr>
        <w:rPr>
          <w:rFonts w:ascii="Arial" w:hAnsi="Arial" w:cs="Arial"/>
          <w:b/>
          <w:sz w:val="22"/>
          <w:szCs w:val="22"/>
        </w:rPr>
      </w:pPr>
    </w:p>
    <w:p w:rsidR="00A3365C" w:rsidRDefault="00F16AC5" w14:paraId="70CDA5B5" w14:textId="77777777">
      <w:pPr>
        <w:rPr>
          <w:rFonts w:ascii="Arial" w:hAnsi="Arial" w:cs="Arial"/>
          <w:sz w:val="22"/>
          <w:szCs w:val="22"/>
        </w:rPr>
      </w:pPr>
      <w:r>
        <w:rPr>
          <w:rFonts w:ascii="Arial" w:hAnsi="Arial" w:cs="Arial"/>
          <w:sz w:val="22"/>
          <w:szCs w:val="22"/>
        </w:rPr>
        <w:t>In order to achieve the Flightpath 2050 goals, ACARE recommended in its first SRIA that Europe must:</w:t>
      </w:r>
    </w:p>
    <w:p w:rsidR="00A3365C" w:rsidRDefault="00F16AC5" w14:paraId="1C5B0605" w14:textId="2ECF45AE">
      <w:pPr>
        <w:numPr>
          <w:ilvl w:val="0"/>
          <w:numId w:val="3"/>
        </w:numPr>
        <w:rPr>
          <w:rFonts w:ascii="Arial" w:hAnsi="Arial" w:cs="Arial"/>
          <w:sz w:val="22"/>
          <w:szCs w:val="22"/>
        </w:rPr>
      </w:pPr>
      <w:r>
        <w:rPr>
          <w:rFonts w:ascii="Arial" w:hAnsi="Arial" w:cs="Arial"/>
          <w:sz w:val="22"/>
          <w:szCs w:val="22"/>
        </w:rPr>
        <w:t xml:space="preserve">Lead the development of an integrated resilient European </w:t>
      </w:r>
      <w:r w:rsidR="0083390D">
        <w:rPr>
          <w:rFonts w:ascii="Arial" w:hAnsi="Arial" w:cs="Arial"/>
          <w:sz w:val="22"/>
          <w:szCs w:val="22"/>
        </w:rPr>
        <w:t>(</w:t>
      </w:r>
      <w:r>
        <w:rPr>
          <w:rFonts w:ascii="Arial" w:hAnsi="Arial" w:cs="Arial"/>
          <w:sz w:val="22"/>
          <w:szCs w:val="22"/>
        </w:rPr>
        <w:t>air</w:t>
      </w:r>
      <w:r w:rsidR="0083390D">
        <w:rPr>
          <w:rFonts w:ascii="Arial" w:hAnsi="Arial" w:cs="Arial"/>
          <w:sz w:val="22"/>
          <w:szCs w:val="22"/>
        </w:rPr>
        <w:t xml:space="preserve">) </w:t>
      </w:r>
      <w:r>
        <w:rPr>
          <w:rFonts w:ascii="Arial" w:hAnsi="Arial" w:cs="Arial"/>
          <w:sz w:val="22"/>
          <w:szCs w:val="22"/>
        </w:rPr>
        <w:t>transport system</w:t>
      </w:r>
    </w:p>
    <w:p w:rsidR="00A3365C" w:rsidRDefault="00F16AC5" w14:paraId="6B02ABA1" w14:textId="77777777">
      <w:pPr>
        <w:numPr>
          <w:ilvl w:val="0"/>
          <w:numId w:val="3"/>
        </w:numPr>
        <w:rPr>
          <w:rFonts w:ascii="Arial" w:hAnsi="Arial" w:cs="Arial"/>
          <w:sz w:val="22"/>
          <w:szCs w:val="22"/>
        </w:rPr>
      </w:pPr>
      <w:r>
        <w:rPr>
          <w:rFonts w:ascii="Arial" w:hAnsi="Arial" w:cs="Arial"/>
          <w:sz w:val="22"/>
          <w:szCs w:val="22"/>
        </w:rPr>
        <w:t>Maintain global leadership</w:t>
      </w:r>
    </w:p>
    <w:p w:rsidR="00A3365C" w:rsidRDefault="00F16AC5" w14:paraId="607F3A12" w14:textId="77777777">
      <w:pPr>
        <w:numPr>
          <w:ilvl w:val="0"/>
          <w:numId w:val="3"/>
        </w:numPr>
        <w:rPr>
          <w:rFonts w:ascii="Arial" w:hAnsi="Arial" w:cs="Arial"/>
          <w:sz w:val="22"/>
          <w:szCs w:val="22"/>
        </w:rPr>
      </w:pPr>
      <w:r>
        <w:rPr>
          <w:rFonts w:ascii="Arial" w:hAnsi="Arial" w:cs="Arial"/>
          <w:sz w:val="22"/>
          <w:szCs w:val="22"/>
        </w:rPr>
        <w:t>Establish efficient and effective policy and regulatory frameworks</w:t>
      </w:r>
    </w:p>
    <w:p w:rsidR="00A3365C" w:rsidRDefault="00F16AC5" w14:paraId="0BE3A4AD" w14:textId="77777777">
      <w:pPr>
        <w:numPr>
          <w:ilvl w:val="0"/>
          <w:numId w:val="3"/>
        </w:numPr>
        <w:rPr>
          <w:rFonts w:ascii="Arial" w:hAnsi="Arial" w:cs="Arial"/>
          <w:sz w:val="22"/>
          <w:szCs w:val="22"/>
        </w:rPr>
      </w:pPr>
      <w:r>
        <w:rPr>
          <w:rFonts w:ascii="Arial" w:hAnsi="Arial" w:cs="Arial"/>
          <w:sz w:val="22"/>
          <w:szCs w:val="22"/>
        </w:rPr>
        <w:t>Provide incentives and long-term R&amp;T programmes</w:t>
      </w:r>
    </w:p>
    <w:p w:rsidR="00A3365C" w:rsidRDefault="00F16AC5" w14:paraId="3731360C" w14:textId="77777777">
      <w:pPr>
        <w:numPr>
          <w:ilvl w:val="0"/>
          <w:numId w:val="3"/>
        </w:numPr>
        <w:rPr>
          <w:rFonts w:ascii="Arial" w:hAnsi="Arial" w:cs="Arial"/>
          <w:sz w:val="22"/>
          <w:szCs w:val="22"/>
        </w:rPr>
      </w:pPr>
      <w:r>
        <w:rPr>
          <w:rFonts w:ascii="Arial" w:hAnsi="Arial" w:cs="Arial"/>
          <w:sz w:val="22"/>
          <w:szCs w:val="22"/>
        </w:rPr>
        <w:t>Champion sustainable growth to further reduce emissions/noise</w:t>
      </w:r>
    </w:p>
    <w:p w:rsidR="00A3365C" w:rsidRDefault="00F16AC5" w14:paraId="75F342D9" w14:textId="77777777">
      <w:pPr>
        <w:numPr>
          <w:ilvl w:val="0"/>
          <w:numId w:val="3"/>
        </w:numPr>
        <w:rPr>
          <w:rFonts w:ascii="Arial" w:hAnsi="Arial" w:cs="Arial"/>
          <w:sz w:val="22"/>
          <w:szCs w:val="22"/>
        </w:rPr>
      </w:pPr>
      <w:r>
        <w:rPr>
          <w:rFonts w:ascii="Arial" w:hAnsi="Arial" w:cs="Arial"/>
          <w:sz w:val="22"/>
          <w:szCs w:val="22"/>
        </w:rPr>
        <w:t>Maintain the sector’s safety track record</w:t>
      </w:r>
    </w:p>
    <w:p w:rsidR="00A3365C" w:rsidRDefault="00F16AC5" w14:paraId="10586C88" w14:textId="77777777">
      <w:pPr>
        <w:numPr>
          <w:ilvl w:val="0"/>
          <w:numId w:val="3"/>
        </w:numPr>
        <w:rPr>
          <w:rFonts w:ascii="Arial" w:hAnsi="Arial" w:cs="Arial"/>
          <w:sz w:val="22"/>
          <w:szCs w:val="22"/>
        </w:rPr>
      </w:pPr>
      <w:r>
        <w:rPr>
          <w:rFonts w:ascii="Arial" w:hAnsi="Arial" w:cs="Arial"/>
          <w:sz w:val="22"/>
          <w:szCs w:val="22"/>
        </w:rPr>
        <w:t>Provide long term thinking</w:t>
      </w:r>
    </w:p>
    <w:p w:rsidR="00A3365C" w:rsidRDefault="00A3365C" w14:paraId="2B484DE3" w14:textId="77777777">
      <w:pPr>
        <w:rPr>
          <w:rFonts w:ascii="Arial" w:hAnsi="Arial" w:cs="Arial"/>
          <w:sz w:val="22"/>
          <w:szCs w:val="22"/>
        </w:rPr>
      </w:pPr>
    </w:p>
    <w:p w:rsidR="00A3365C" w:rsidRDefault="00F16AC5" w14:paraId="0FE0C4F3" w14:textId="77777777">
      <w:pPr>
        <w:rPr>
          <w:rFonts w:ascii="Arial" w:hAnsi="Arial" w:cs="Arial"/>
          <w:sz w:val="22"/>
          <w:szCs w:val="22"/>
        </w:rPr>
      </w:pPr>
      <w:r>
        <w:rPr>
          <w:rFonts w:ascii="Arial" w:hAnsi="Arial" w:cs="Arial"/>
          <w:sz w:val="22"/>
          <w:szCs w:val="22"/>
        </w:rPr>
        <w:t>Whilst the above still remain</w:t>
      </w:r>
      <w:r w:rsidR="0083390D">
        <w:rPr>
          <w:rFonts w:ascii="Arial" w:hAnsi="Arial" w:cs="Arial"/>
          <w:sz w:val="22"/>
          <w:szCs w:val="22"/>
        </w:rPr>
        <w:t>s</w:t>
      </w:r>
      <w:r>
        <w:rPr>
          <w:rFonts w:ascii="Arial" w:hAnsi="Arial" w:cs="Arial"/>
          <w:sz w:val="22"/>
          <w:szCs w:val="22"/>
        </w:rPr>
        <w:t xml:space="preserve"> valid, the action areas detailed in the updated SRIA identified the following additional recommendations:</w:t>
      </w:r>
    </w:p>
    <w:p w:rsidR="00A3365C" w:rsidRDefault="00F16AC5" w14:paraId="3CF05CB1" w14:textId="77777777">
      <w:pPr>
        <w:numPr>
          <w:ilvl w:val="0"/>
          <w:numId w:val="2"/>
        </w:numPr>
      </w:pPr>
      <w:r>
        <w:rPr>
          <w:rFonts w:ascii="Arial" w:hAnsi="Arial" w:cs="Arial"/>
          <w:sz w:val="22"/>
          <w:szCs w:val="22"/>
        </w:rPr>
        <w:t>Enable integration of RPAS (remotely-piloted aircraft systems) ensuring that safety and security risks are addressed</w:t>
      </w:r>
    </w:p>
    <w:p w:rsidR="00A3365C" w:rsidRDefault="00F16AC5" w14:paraId="6C20D7E7" w14:textId="77777777">
      <w:pPr>
        <w:numPr>
          <w:ilvl w:val="0"/>
          <w:numId w:val="2"/>
        </w:numPr>
        <w:rPr>
          <w:rFonts w:ascii="Arial" w:hAnsi="Arial" w:cs="Arial"/>
          <w:sz w:val="22"/>
          <w:szCs w:val="22"/>
        </w:rPr>
      </w:pPr>
      <w:r>
        <w:rPr>
          <w:rFonts w:ascii="Arial" w:hAnsi="Arial" w:cs="Arial"/>
          <w:sz w:val="22"/>
          <w:szCs w:val="22"/>
        </w:rPr>
        <w:t>Develop and exploit advanced manufacturing technologies with new industrial paradigms</w:t>
      </w:r>
    </w:p>
    <w:p w:rsidR="00A3365C" w:rsidRDefault="00F16AC5" w14:paraId="43079E72" w14:textId="77777777">
      <w:pPr>
        <w:numPr>
          <w:ilvl w:val="0"/>
          <w:numId w:val="2"/>
        </w:numPr>
      </w:pPr>
      <w:r>
        <w:rPr>
          <w:rFonts w:ascii="Arial" w:hAnsi="Arial" w:cs="Arial"/>
          <w:sz w:val="22"/>
          <w:szCs w:val="22"/>
        </w:rPr>
        <w:t>Harness the deployment of advanced IT capability and big data taking into account security challenges</w:t>
      </w:r>
    </w:p>
    <w:p w:rsidR="00A3365C" w:rsidRDefault="00F16AC5" w14:paraId="16565A0D" w14:textId="77777777">
      <w:pPr>
        <w:numPr>
          <w:ilvl w:val="0"/>
          <w:numId w:val="2"/>
        </w:numPr>
        <w:rPr>
          <w:rFonts w:ascii="Arial" w:hAnsi="Arial" w:cs="Arial"/>
          <w:sz w:val="22"/>
          <w:szCs w:val="22"/>
        </w:rPr>
      </w:pPr>
      <w:r>
        <w:rPr>
          <w:rFonts w:ascii="Arial" w:hAnsi="Arial" w:cs="Arial"/>
          <w:sz w:val="22"/>
          <w:szCs w:val="22"/>
        </w:rPr>
        <w:t>Ensure that the entire research and innovation chain is covered and supported by appropriate measures, financial, policy, regulatory, environmental and so on.</w:t>
      </w:r>
    </w:p>
    <w:p w:rsidR="00A3365C" w:rsidRDefault="00A3365C" w14:paraId="09C96803" w14:textId="77777777">
      <w:pPr>
        <w:rPr>
          <w:rFonts w:ascii="Arial" w:hAnsi="Arial" w:cs="Arial"/>
          <w:sz w:val="22"/>
          <w:szCs w:val="22"/>
        </w:rPr>
      </w:pPr>
    </w:p>
    <w:p w:rsidR="00A3365C" w:rsidRDefault="00F16AC5" w14:paraId="0EA7F2EA" w14:textId="7F29403F">
      <w:pPr>
        <w:rPr>
          <w:rFonts w:ascii="Arial" w:hAnsi="Arial" w:cs="Arial"/>
          <w:sz w:val="22"/>
          <w:szCs w:val="22"/>
        </w:rPr>
      </w:pPr>
      <w:r>
        <w:rPr>
          <w:rFonts w:ascii="Arial" w:hAnsi="Arial" w:cs="Arial"/>
          <w:sz w:val="22"/>
          <w:szCs w:val="22"/>
        </w:rPr>
        <w:lastRenderedPageBreak/>
        <w:t>The challenging goals of Flightpath 2050 can only be delivered if all ACARE stakeholders work together to ensure that research and innovation through collaborative programs is undertaken on both European and national levels</w:t>
      </w:r>
      <w:r w:rsidR="006D4E2F">
        <w:rPr>
          <w:rFonts w:ascii="Arial" w:hAnsi="Arial" w:cs="Arial"/>
          <w:sz w:val="22"/>
          <w:szCs w:val="22"/>
        </w:rPr>
        <w:t xml:space="preserve"> potentially supported also by international co-operation.  </w:t>
      </w:r>
      <w:r w:rsidR="0083390D">
        <w:rPr>
          <w:rFonts w:ascii="Arial" w:hAnsi="Arial" w:cs="Arial"/>
          <w:sz w:val="22"/>
          <w:szCs w:val="22"/>
        </w:rPr>
        <w:t xml:space="preserve">However, given the multimodal aspects of the mobility challenge and the </w:t>
      </w:r>
      <w:r w:rsidR="001A2880">
        <w:rPr>
          <w:rFonts w:ascii="Arial" w:hAnsi="Arial" w:cs="Arial"/>
          <w:sz w:val="22"/>
          <w:szCs w:val="22"/>
        </w:rPr>
        <w:t>rapid developments and breakthroughs in other sectors like manufacturing</w:t>
      </w:r>
      <w:r w:rsidR="0083613E">
        <w:rPr>
          <w:rFonts w:ascii="Arial" w:hAnsi="Arial" w:cs="Arial"/>
          <w:sz w:val="22"/>
          <w:szCs w:val="22"/>
        </w:rPr>
        <w:t xml:space="preserve"> or </w:t>
      </w:r>
      <w:r w:rsidR="008721D6">
        <w:rPr>
          <w:rFonts w:ascii="Arial" w:hAnsi="Arial" w:cs="Arial"/>
          <w:sz w:val="22"/>
          <w:szCs w:val="22"/>
        </w:rPr>
        <w:t>IT</w:t>
      </w:r>
      <w:r w:rsidR="001A2880">
        <w:rPr>
          <w:rFonts w:ascii="Arial" w:hAnsi="Arial" w:cs="Arial"/>
          <w:sz w:val="22"/>
          <w:szCs w:val="22"/>
        </w:rPr>
        <w:t>, ACARE also welcomes and fosters cooperation with other modes and sectors where this supports the achievement of our or societies goals.</w:t>
      </w:r>
    </w:p>
    <w:p w:rsidR="00A3365C" w:rsidRDefault="00A3365C" w14:paraId="5C1EBAD8" w14:textId="77777777">
      <w:pPr>
        <w:rPr>
          <w:rFonts w:ascii="Arial" w:hAnsi="Arial" w:cs="Arial"/>
          <w:sz w:val="22"/>
          <w:szCs w:val="22"/>
        </w:rPr>
      </w:pPr>
    </w:p>
    <w:p w:rsidR="00A3365C" w:rsidRDefault="00F16AC5" w14:paraId="21F2E762" w14:textId="77777777">
      <w:pPr>
        <w:rPr>
          <w:rFonts w:ascii="Arial" w:hAnsi="Arial" w:cs="Arial"/>
          <w:b/>
          <w:sz w:val="22"/>
          <w:szCs w:val="22"/>
          <w:lang w:val="en-US"/>
        </w:rPr>
      </w:pPr>
      <w:r>
        <w:rPr>
          <w:rFonts w:ascii="Arial" w:hAnsi="Arial" w:cs="Arial"/>
          <w:b/>
          <w:sz w:val="22"/>
          <w:szCs w:val="22"/>
          <w:lang w:val="en-US"/>
        </w:rPr>
        <w:t>European Framework programs</w:t>
      </w:r>
    </w:p>
    <w:p w:rsidR="00A3365C" w:rsidRDefault="00A3365C" w14:paraId="7EA35830" w14:textId="77777777">
      <w:pPr>
        <w:rPr>
          <w:rFonts w:ascii="Arial" w:hAnsi="Arial" w:cs="Arial"/>
          <w:b/>
          <w:sz w:val="22"/>
          <w:szCs w:val="22"/>
          <w:lang w:val="en-US"/>
        </w:rPr>
      </w:pPr>
    </w:p>
    <w:p w:rsidR="00A3365C" w:rsidRDefault="00F16AC5" w14:paraId="5B7B357A" w14:textId="53726796">
      <w:pPr>
        <w:rPr>
          <w:rFonts w:ascii="Arial" w:hAnsi="Arial" w:cs="Arial"/>
          <w:sz w:val="22"/>
          <w:szCs w:val="22"/>
          <w:lang w:val="en-US"/>
        </w:rPr>
      </w:pPr>
      <w:r>
        <w:rPr>
          <w:rFonts w:ascii="Arial" w:hAnsi="Arial" w:cs="Arial"/>
          <w:sz w:val="22"/>
          <w:szCs w:val="22"/>
          <w:lang w:val="en-US"/>
        </w:rPr>
        <w:t>H2020 and the previous European framework programs have brought profound changes to the European aviation sector, setting an integrated European research strategy, fostering collaborations between all stakeholders, leading to operational networks and shared road-maps, and enabling large-scale ambitious programs. They pool resources to prepare the necessary basic scientific and technology knowledge and to demonstrate breakthrough technologies that many organisations would consider too risky to undertake on their own. They have been invaluable to support aviation research for the benefits of the citizen such as preserving the environment.</w:t>
      </w:r>
    </w:p>
    <w:p w:rsidR="00A3365C" w:rsidRDefault="00A3365C" w14:paraId="20BF75E5" w14:textId="77777777">
      <w:pPr>
        <w:rPr>
          <w:rFonts w:ascii="Arial" w:hAnsi="Arial" w:cs="Arial"/>
          <w:sz w:val="22"/>
          <w:szCs w:val="22"/>
          <w:lang w:val="en-US"/>
        </w:rPr>
      </w:pPr>
    </w:p>
    <w:p w:rsidRPr="0059112F" w:rsidR="00A3365C" w:rsidRDefault="00F16AC5" w14:paraId="6C1A8D3C" w14:textId="616F65B2">
      <w:pPr>
        <w:rPr>
          <w:rFonts w:ascii="Arial" w:hAnsi="Arial" w:cs="Arial"/>
          <w:sz w:val="20"/>
          <w:szCs w:val="22"/>
          <w:lang w:val="en-US"/>
        </w:rPr>
      </w:pPr>
      <w:r>
        <w:rPr>
          <w:rFonts w:ascii="Arial" w:hAnsi="Arial" w:cs="Arial"/>
          <w:sz w:val="22"/>
          <w:szCs w:val="22"/>
          <w:lang w:val="en-US"/>
        </w:rPr>
        <w:t xml:space="preserve">The Clean Sky JTI has been very effective in bringing together a critical mass of relevant companies, research organisations, academia and SMEs in addressing the most important industry needs as well as leveraging additional private funding in a coordinated way. The Clean Sky JU has been particularly good at disseminating information and successful in involving smaller organisations and European regions. Clean Sky could encourage participants to bring a higher level of innovative approach. </w:t>
      </w:r>
      <w:r w:rsidRPr="0059112F" w:rsidR="0083705D">
        <w:rPr>
          <w:rFonts w:ascii="Arial" w:hAnsi="Arial" w:cs="Arial"/>
          <w:sz w:val="22"/>
          <w:szCs w:val="22"/>
          <w:lang w:val="en-US"/>
        </w:rPr>
        <w:t xml:space="preserve">However, there </w:t>
      </w:r>
      <w:r w:rsidRPr="0059112F" w:rsidR="0083705D">
        <w:rPr>
          <w:rFonts w:ascii="Arial" w:hAnsi="Arial" w:cs="Arial"/>
          <w:sz w:val="22"/>
          <w:lang w:val="en-US"/>
        </w:rPr>
        <w:t>is no simple solution to make aviation fully sustainable within a couple of years. This will require long term research and development activities (&gt;20 years) with a considerable financial backing.</w:t>
      </w:r>
    </w:p>
    <w:p w:rsidR="00A3365C" w:rsidRDefault="00A3365C" w14:paraId="51A915BB" w14:textId="77777777">
      <w:pPr>
        <w:rPr>
          <w:rFonts w:ascii="Arial" w:hAnsi="Arial" w:cs="Arial"/>
          <w:sz w:val="22"/>
          <w:szCs w:val="22"/>
          <w:lang w:val="en-US"/>
        </w:rPr>
      </w:pPr>
    </w:p>
    <w:p w:rsidR="00A3365C" w:rsidRDefault="00F16AC5" w14:paraId="5EB3862A" w14:textId="0A1F67BA">
      <w:pPr>
        <w:rPr>
          <w:rFonts w:ascii="Arial" w:hAnsi="Arial" w:cs="Arial"/>
          <w:sz w:val="22"/>
          <w:szCs w:val="22"/>
          <w:lang w:val="en-US"/>
        </w:rPr>
      </w:pPr>
      <w:r>
        <w:rPr>
          <w:rFonts w:ascii="Arial" w:hAnsi="Arial" w:cs="Arial"/>
          <w:sz w:val="22"/>
          <w:szCs w:val="22"/>
          <w:lang w:val="en-US"/>
        </w:rPr>
        <w:t>The SESAR Joint Undertaking coordinates and concentrates the ATM R&amp;D initiative of the entire spectrum of the European aviation community. While it improved its efficiency with respect to FP7, the transition to the Horizon 2020 participant portal, which was designed as a simplification measure for H2020, resulted in significant changes to the financial and legal framework and led to technical glitches for the SESAR JU. The introduction by the SESAR JU of the multi-annual work program that describes the program structure and contains detailed project descriptions significantly improved the efficiency. The quality of the research undertaken by SESAR is well regarded.</w:t>
      </w:r>
    </w:p>
    <w:p w:rsidR="00A3365C" w:rsidRDefault="00A3365C" w14:paraId="282EF44B" w14:textId="77777777">
      <w:pPr>
        <w:rPr>
          <w:rFonts w:ascii="Arial" w:hAnsi="Arial" w:cs="Arial"/>
          <w:sz w:val="22"/>
          <w:szCs w:val="22"/>
          <w:lang w:val="en-US"/>
        </w:rPr>
      </w:pPr>
    </w:p>
    <w:p w:rsidR="00A3365C" w:rsidRDefault="00F16AC5" w14:paraId="2C5E9E77" w14:textId="71DAF74D">
      <w:pPr>
        <w:rPr>
          <w:rFonts w:ascii="Arial" w:hAnsi="Arial" w:cs="Arial"/>
          <w:sz w:val="22"/>
          <w:szCs w:val="22"/>
          <w:lang w:val="en-US"/>
        </w:rPr>
      </w:pPr>
      <w:r>
        <w:rPr>
          <w:rFonts w:ascii="Arial" w:hAnsi="Arial" w:cs="Arial"/>
          <w:sz w:val="22"/>
          <w:szCs w:val="22"/>
          <w:lang w:val="en-US"/>
        </w:rPr>
        <w:t xml:space="preserve">Set against the backdrop of growing international competition, the European aviation sector must continue to innovate to maintain its position as a world leader. H2020 and its associated PPPs provide the stimulus to meet this challenge. In doing so, </w:t>
      </w:r>
      <w:r>
        <w:rPr>
          <w:rFonts w:ascii="Arial" w:hAnsi="Arial" w:cs="Arial"/>
          <w:b/>
          <w:sz w:val="22"/>
          <w:szCs w:val="22"/>
          <w:lang w:val="en-US"/>
        </w:rPr>
        <w:t>the whole research chain for aviation from lower to higher TRL, including top-down as well as bottom-up research must be maintained for the next framework program Horizon Europe</w:t>
      </w:r>
      <w:r>
        <w:rPr>
          <w:rFonts w:ascii="Arial" w:hAnsi="Arial" w:cs="Arial"/>
          <w:sz w:val="22"/>
          <w:szCs w:val="22"/>
          <w:lang w:val="en-US"/>
        </w:rPr>
        <w:t>.</w:t>
      </w:r>
    </w:p>
    <w:p w:rsidR="00A3365C" w:rsidRDefault="00A3365C" w14:paraId="44F1FE11" w14:textId="77777777">
      <w:pPr>
        <w:rPr>
          <w:rFonts w:ascii="Arial" w:hAnsi="Arial" w:cs="Arial"/>
          <w:sz w:val="22"/>
          <w:szCs w:val="22"/>
          <w:lang w:val="en-US"/>
        </w:rPr>
      </w:pPr>
    </w:p>
    <w:p w:rsidR="00DC1CDB" w:rsidP="00334C7E" w:rsidRDefault="008861E4" w14:paraId="12ACACEB" w14:textId="2104BD82">
      <w:pPr>
        <w:pStyle w:val="Bodynormalpara"/>
      </w:pPr>
      <w:r>
        <w:t>ACARE actively supports co</w:t>
      </w:r>
      <w:r w:rsidR="00DC1CDB">
        <w:t xml:space="preserve">-operation with other modes or sectors </w:t>
      </w:r>
      <w:r>
        <w:t xml:space="preserve">to create synergies and momentum in cross-cutting topics like multi-modality, manufacturing, </w:t>
      </w:r>
      <w:r w:rsidR="008721D6">
        <w:t>IT, safety and</w:t>
      </w:r>
      <w:r w:rsidR="0083613E">
        <w:t xml:space="preserve"> </w:t>
      </w:r>
      <w:r>
        <w:t>security</w:t>
      </w:r>
      <w:r w:rsidR="008721D6">
        <w:t>, environment, or alternative fuels</w:t>
      </w:r>
      <w:r>
        <w:t xml:space="preserve">. </w:t>
      </w:r>
      <w:r w:rsidR="00334C7E">
        <w:t xml:space="preserve">However, this will </w:t>
      </w:r>
      <w:r>
        <w:t>not suffice to achieve</w:t>
      </w:r>
      <w:r w:rsidR="00334C7E">
        <w:t xml:space="preserve"> flightpath 2050 goals, as they </w:t>
      </w:r>
      <w:r w:rsidR="00F16AC5">
        <w:t xml:space="preserve">require significant progress on </w:t>
      </w:r>
      <w:r w:rsidR="00334C7E">
        <w:t>aviation-specific topics</w:t>
      </w:r>
      <w:r w:rsidR="00F16AC5">
        <w:t xml:space="preserve"> and technologies</w:t>
      </w:r>
      <w:r w:rsidR="008721D6">
        <w:t xml:space="preserve"> as well</w:t>
      </w:r>
      <w:r w:rsidR="00334C7E">
        <w:t xml:space="preserve">. So there clearly is a need for aviation-specific as well as cross-modal and cross-sectoral research. </w:t>
      </w:r>
      <w:bookmarkStart w:name="_GoBack" w:id="0"/>
      <w:bookmarkEnd w:id="0"/>
    </w:p>
    <w:sectPr w:rsidR="00DC1CDB" w:rsidSect="0059112F">
      <w:headerReference w:type="default" r:id="rId9"/>
      <w:footerReference w:type="default" r:id="rId10"/>
      <w:pgSz w:w="11906" w:h="16838" w:code="9"/>
      <w:pgMar w:top="1418" w:right="1418" w:bottom="1418" w:left="1418" w:header="709" w:footer="1531" w:gutter="0"/>
      <w:cols w:space="720"/>
      <w:formProt w:val="0"/>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74F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EDAB9" w14:textId="77777777" w:rsidR="00E75F80" w:rsidRDefault="00E75F80">
      <w:r>
        <w:separator/>
      </w:r>
    </w:p>
  </w:endnote>
  <w:endnote w:type="continuationSeparator" w:id="0">
    <w:p w14:paraId="02285FF6" w14:textId="77777777" w:rsidR="00E75F80" w:rsidRDefault="00E7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93BFA" w14:textId="77777777" w:rsidR="00A3365C" w:rsidRDefault="00F16AC5">
    <w:pPr>
      <w:pStyle w:val="Fuzeile"/>
      <w:rPr>
        <w:lang w:val="en-US" w:eastAsia="en-US"/>
      </w:rPr>
    </w:pPr>
    <w:r>
      <w:rPr>
        <w:noProof/>
        <w:lang w:val="de-DE" w:eastAsia="de-DE"/>
      </w:rPr>
      <mc:AlternateContent>
        <mc:Choice Requires="wps">
          <w:drawing>
            <wp:anchor distT="0" distB="0" distL="114935" distR="114935" simplePos="0" relativeHeight="251661312" behindDoc="0" locked="0" layoutInCell="1" allowOverlap="1" wp14:anchorId="1389917E" wp14:editId="1F9F4759">
              <wp:simplePos x="0" y="0"/>
              <wp:positionH relativeFrom="page">
                <wp:posOffset>899795</wp:posOffset>
              </wp:positionH>
              <wp:positionV relativeFrom="page">
                <wp:posOffset>9586595</wp:posOffset>
              </wp:positionV>
              <wp:extent cx="5715635" cy="478790"/>
              <wp:effectExtent l="0" t="0" r="0" b="0"/>
              <wp:wrapSquare wrapText="bothSides"/>
              <wp:docPr id="4" name="Rechteck 4"/>
              <wp:cNvGraphicFramePr/>
              <a:graphic xmlns:a="http://schemas.openxmlformats.org/drawingml/2006/main">
                <a:graphicData uri="http://schemas.microsoft.com/office/word/2010/wordprocessingShape">
                  <wps:wsp>
                    <wps:cNvSpPr/>
                    <wps:spPr>
                      <a:xfrm>
                        <a:off x="0" y="0"/>
                        <a:ext cx="5715000" cy="478080"/>
                      </a:xfrm>
                      <a:prstGeom prst="rect">
                        <a:avLst/>
                      </a:prstGeom>
                      <a:solidFill>
                        <a:srgbClr val="EDAF1E"/>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648DDBF8" id="Rechteck 4" o:spid="_x0000_s1026" style="position:absolute;margin-left:70.85pt;margin-top:754.85pt;width:450.05pt;height:37.7pt;z-index:251661312;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" fillcolor="#edaf1e" stroked="f">
              <w10:wrap type="square" anchorx="page" anchory="page"/>
            </v:rect>
          </w:pict>
        </mc:Fallback>
      </mc:AlternateContent>
    </w:r>
    <w:r>
      <w:rPr>
        <w:noProof/>
        <w:lang w:val="de-DE" w:eastAsia="de-DE"/>
      </w:rPr>
      <mc:AlternateContent>
        <mc:Choice Requires="wpg">
          <w:drawing>
            <wp:anchor distT="0" distB="0" distL="114935" distR="114935" simplePos="0" relativeHeight="251665408" behindDoc="0" locked="0" layoutInCell="1" allowOverlap="1" wp14:anchorId="3C80DA21" wp14:editId="363CF1B1">
              <wp:simplePos x="0" y="0"/>
              <wp:positionH relativeFrom="page">
                <wp:posOffset>919480</wp:posOffset>
              </wp:positionH>
              <wp:positionV relativeFrom="page">
                <wp:posOffset>9694545</wp:posOffset>
              </wp:positionV>
              <wp:extent cx="5924550" cy="464185"/>
              <wp:effectExtent l="0" t="0" r="0" b="0"/>
              <wp:wrapSquare wrapText="bothSides"/>
              <wp:docPr id="5" name="Gruppieren 5"/>
              <wp:cNvGraphicFramePr/>
              <a:graphic xmlns:a="http://schemas.openxmlformats.org/drawingml/2006/main">
                <a:graphicData uri="http://schemas.microsoft.com/office/word/2010/wordprocessingGroup">
                  <wpg:wgp>
                    <wpg:cNvGrpSpPr/>
                    <wpg:grpSpPr>
                      <a:xfrm>
                        <a:off x="0" y="0"/>
                        <a:ext cx="5923800" cy="463680"/>
                        <a:chOff x="0" y="0"/>
                        <a:chExt cx="0" cy="0"/>
                      </a:xfrm>
                    </wpg:grpSpPr>
                    <wps:wsp>
                      <wps:cNvPr id="6" name="Freihandform 6"/>
                      <wps:cNvSpPr/>
                      <wps:spPr>
                        <a:xfrm>
                          <a:off x="0" y="0"/>
                          <a:ext cx="5923800" cy="46368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Textfeld 7"/>
                      <wps:cNvSpPr txBox="1"/>
                      <wps:spPr>
                        <a:xfrm>
                          <a:off x="144000" y="90720"/>
                          <a:ext cx="5478840" cy="146520"/>
                        </a:xfrm>
                        <a:prstGeom prst="rect">
                          <a:avLst/>
                        </a:prstGeom>
                        <a:noFill/>
                        <a:ln>
                          <a:noFill/>
                        </a:ln>
                      </wps:spPr>
                      <wps:txbx>
                        <w:txbxContent>
                          <w:p w14:paraId="1B1D0FE5" w14:textId="77777777" w:rsidR="00A3365C" w:rsidRDefault="00F16AC5">
                            <w:pPr>
                              <w:overflowPunct w:val="0"/>
                            </w:pPr>
                            <w:r>
                              <w:rPr>
                                <w:rFonts w:ascii="Arial" w:hAnsi="Arial" w:cs="Arial"/>
                                <w:color w:val="FFFFFF"/>
                                <w:kern w:val="2"/>
                                <w:sz w:val="20"/>
                              </w:rPr>
                              <w:t>Advisory Council for Aviation Research and Innovation in Europe</w:t>
                            </w:r>
                          </w:p>
                        </w:txbxContent>
                      </wps:txbx>
                      <wps:bodyPr wrap="square" lIns="0" tIns="0" rIns="0" bIns="0">
                        <a:noAutofit/>
                      </wps:bodyPr>
                    </wps:wsp>
                  </wpg:wgp>
                </a:graphicData>
              </a:graphic>
            </wp:anchor>
          </w:drawing>
        </mc:Choice>
        <mc:Fallback>
          <w:pict>
            <v:group id="Gruppieren 5" o:spid="_x0000_s1026" style="position:absolute;margin-left:72.4pt;margin-top:763.35pt;width:466.5pt;height:36.55pt;z-index:251665408;mso-wrap-distance-left:9.05pt;mso-wrap-distance-right:9.05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">
              <v:shape id="Freihandform 6" o:spid="_x0000_s1027" style="position:absolute;width:5923800;height:4636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WcIA&#10;AADaAAAADwAAAGRycy9kb3ducmV2LnhtbESPQWvCQBSE7wX/w/IK3uqmCiFEVxHB6tEmpe3xkX3J&#10;BrNvQ3Zr4r93C4Ueh5n5htnsJtuJGw2+dazgdZGAIK6cbrlR8FEeXzIQPiBr7ByTgjt52G1nTxvM&#10;tRv5nW5FaESEsM9RgQmhz6X0lSGLfuF64ujVbrAYohwaqQccI9x2cpkkqbTYclww2NPBUHUtfqyC&#10;TH6aS13rbH96W1XZafl1/S5ZqfnztF+DCDSF//Bf+6wVpPB7Jd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J1ZwgAAANoAAAAPAAAAAAAAAAAAAAAAAJgCAABkcnMvZG93&#10;bnJldi54bWxQSwUGAAAAAAQABAD1AAAAhwMAAAAA&#10;" path="m,l21600,r,21600l,21600,,xe" filled="f" stroked="f">
                <v:path arrowok="t"/>
              </v:shape>
              <v:shapetype id="_x0000_t202" coordsize="21600,21600" o:spt="202" path="m,l,21600r21600,l21600,xe">
                <v:stroke joinstyle="miter"/>
                <v:path gradientshapeok="t" o:connecttype="rect"/>
              </v:shapetype>
              <v:shape id="Textfeld 7" o:spid="_x0000_s1028" type="#_x0000_t202" style="position:absolute;left:144000;top:90720;width:5478840;height:146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1B1D0FE5" w14:textId="77777777" w:rsidR="00A3365C" w:rsidRDefault="00F16AC5">
                      <w:pPr>
                        <w:overflowPunct w:val="0"/>
                      </w:pPr>
                      <w:r>
                        <w:rPr>
                          <w:rFonts w:ascii="Arial" w:hAnsi="Arial" w:cs="Arial"/>
                          <w:color w:val="FFFFFF"/>
                          <w:kern w:val="2"/>
                          <w:sz w:val="20"/>
                        </w:rPr>
                        <w:t>Advisory Council for Aviation Research and Innovation in Europe</w:t>
                      </w:r>
                    </w:p>
                  </w:txbxContent>
                </v:textbox>
              </v:shape>
              <w10:wrap type="square" anchorx="page" anchory="page"/>
            </v:group>
          </w:pict>
        </mc:Fallback>
      </mc:AlternateContent>
    </w:r>
    <w:r>
      <w:rPr>
        <w:noProof/>
        <w:lang w:val="de-DE" w:eastAsia="de-DE"/>
      </w:rPr>
      <mc:AlternateContent>
        <mc:Choice Requires="wps">
          <w:drawing>
            <wp:anchor distT="0" distB="0" distL="114935" distR="114935" simplePos="0" relativeHeight="251669504" behindDoc="0" locked="0" layoutInCell="1" allowOverlap="1" wp14:anchorId="5B10D4A3" wp14:editId="2FBA5A0A">
              <wp:simplePos x="0" y="0"/>
              <wp:positionH relativeFrom="page">
                <wp:posOffset>5928995</wp:posOffset>
              </wp:positionH>
              <wp:positionV relativeFrom="page">
                <wp:posOffset>9700895</wp:posOffset>
              </wp:positionV>
              <wp:extent cx="662940" cy="580390"/>
              <wp:effectExtent l="0" t="0" r="0" b="0"/>
              <wp:wrapSquare wrapText="bothSides"/>
              <wp:docPr id="8" name="Frame1"/>
              <wp:cNvGraphicFramePr/>
              <a:graphic xmlns:a="http://schemas.openxmlformats.org/drawingml/2006/main">
                <a:graphicData uri="http://schemas.microsoft.com/office/word/2010/wordprocessingShape">
                  <wps:wsp>
                    <wps:cNvSpPr txBox="1"/>
                    <wps:spPr>
                      <a:xfrm>
                        <a:off x="0" y="0"/>
                        <a:ext cx="662940" cy="580390"/>
                      </a:xfrm>
                      <a:prstGeom prst="rect">
                        <a:avLst/>
                      </a:prstGeom>
                      <a:solidFill>
                        <a:srgbClr val="FFFFFF">
                          <a:alpha val="0"/>
                        </a:srgbClr>
                      </a:solidFill>
                    </wps:spPr>
                    <wps:txbx>
                      <w:txbxContent>
                        <w:p w14:paraId="679C4B6D" w14:textId="77777777" w:rsidR="00A3365C" w:rsidRDefault="00F16AC5">
                          <w:pPr>
                            <w:pStyle w:val="Fuzeile"/>
                            <w:jc w:val="right"/>
                            <w:rPr>
                              <w:rStyle w:val="Seitenzahl"/>
                              <w:rFonts w:ascii="Arial" w:hAnsi="Arial" w:cs="Arial"/>
                              <w:color w:val="FFFFFF"/>
                              <w:sz w:val="20"/>
                            </w:rPr>
                          </w:pPr>
                          <w:r>
                            <w:rPr>
                              <w:rStyle w:val="Seitenzahl"/>
                              <w:rFonts w:ascii="Arial" w:hAnsi="Arial" w:cs="Arial"/>
                              <w:color w:val="FFFFFF"/>
                              <w:sz w:val="20"/>
                            </w:rPr>
                            <w:t>0</w:t>
                          </w:r>
                          <w:r>
                            <w:rPr>
                              <w:rStyle w:val="Seitenzahl"/>
                              <w:rFonts w:ascii="Arial" w:hAnsi="Arial" w:cs="Arial"/>
                              <w:color w:val="FFFFFF"/>
                              <w:sz w:val="20"/>
                            </w:rPr>
                            <w:fldChar w:fldCharType="begin"/>
                          </w:r>
                          <w:r>
                            <w:rPr>
                              <w:rStyle w:val="Seitenzahl"/>
                              <w:rFonts w:ascii="Arial" w:hAnsi="Arial" w:cs="Arial"/>
                              <w:sz w:val="20"/>
                            </w:rPr>
                            <w:instrText>PAGE</w:instrText>
                          </w:r>
                          <w:r>
                            <w:rPr>
                              <w:rStyle w:val="Seitenzahl"/>
                              <w:rFonts w:ascii="Arial" w:hAnsi="Arial" w:cs="Arial"/>
                              <w:sz w:val="20"/>
                            </w:rPr>
                            <w:fldChar w:fldCharType="separate"/>
                          </w:r>
                          <w:r w:rsidR="00922DBE">
                            <w:rPr>
                              <w:rStyle w:val="Seitenzahl"/>
                              <w:rFonts w:ascii="Arial" w:hAnsi="Arial" w:cs="Arial"/>
                              <w:noProof/>
                              <w:sz w:val="20"/>
                            </w:rPr>
                            <w:t>2</w:t>
                          </w:r>
                          <w:r>
                            <w:rPr>
                              <w:rStyle w:val="Seitenzahl"/>
                              <w:rFonts w:ascii="Arial" w:hAnsi="Arial" w:cs="Arial"/>
                              <w:sz w:val="20"/>
                            </w:rPr>
                            <w:fldChar w:fldCharType="end"/>
                          </w:r>
                        </w:p>
                        <w:p w14:paraId="720678ED" w14:textId="77777777" w:rsidR="00A3365C" w:rsidRDefault="00A3365C">
                          <w:pPr>
                            <w:rPr>
                              <w:rStyle w:val="Seitenzahl"/>
                              <w:rFonts w:ascii="Arial" w:hAnsi="Arial" w:cs="Arial"/>
                              <w:color w:val="FFFFFF"/>
                              <w:sz w:val="20"/>
                            </w:rPr>
                          </w:pPr>
                        </w:p>
                      </w:txbxContent>
                    </wps:txbx>
                    <wps:bodyPr lIns="144780" tIns="92075" rIns="108585" bIns="92075" anchor="t">
                      <a:noAutofit/>
                    </wps:bodyPr>
                  </wps:wsp>
                </a:graphicData>
              </a:graphic>
            </wp:anchor>
          </w:drawing>
        </mc:Choice>
        <mc:Fallback>
          <w:pict>
            <v:shape id="Frame1" o:spid="_x0000_s1029" type="#_x0000_t202" style="position:absolute;margin-left:466.85pt;margin-top:763.85pt;width:52.2pt;height:45.7pt;z-index:251669504;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" stroked="f">
              <v:fill opacity="0"/>
              <v:textbox inset="11.4pt,7.25pt,8.55pt,7.25pt">
                <w:txbxContent>
                  <w:p w14:paraId="679C4B6D" w14:textId="77777777" w:rsidR="00A3365C" w:rsidRDefault="00F16AC5">
                    <w:pPr>
                      <w:pStyle w:val="Fuzeile"/>
                      <w:jc w:val="right"/>
                      <w:rPr>
                        <w:rStyle w:val="Seitenzahl"/>
                        <w:rFonts w:ascii="Arial" w:hAnsi="Arial" w:cs="Arial"/>
                        <w:color w:val="FFFFFF"/>
                        <w:sz w:val="20"/>
                      </w:rPr>
                    </w:pPr>
                    <w:r>
                      <w:rPr>
                        <w:rStyle w:val="Seitenzahl"/>
                        <w:rFonts w:ascii="Arial" w:hAnsi="Arial" w:cs="Arial"/>
                        <w:color w:val="FFFFFF"/>
                        <w:sz w:val="20"/>
                      </w:rPr>
                      <w:t>0</w:t>
                    </w:r>
                    <w:r>
                      <w:rPr>
                        <w:rStyle w:val="Seitenzahl"/>
                        <w:rFonts w:ascii="Arial" w:hAnsi="Arial" w:cs="Arial"/>
                        <w:color w:val="FFFFFF"/>
                        <w:sz w:val="20"/>
                      </w:rPr>
                      <w:fldChar w:fldCharType="begin"/>
                    </w:r>
                    <w:r>
                      <w:rPr>
                        <w:rStyle w:val="Seitenzahl"/>
                        <w:rFonts w:ascii="Arial" w:hAnsi="Arial" w:cs="Arial"/>
                        <w:sz w:val="20"/>
                      </w:rPr>
                      <w:instrText>PAGE</w:instrText>
                    </w:r>
                    <w:r>
                      <w:rPr>
                        <w:rStyle w:val="Seitenzahl"/>
                        <w:rFonts w:ascii="Arial" w:hAnsi="Arial" w:cs="Arial"/>
                        <w:sz w:val="20"/>
                      </w:rPr>
                      <w:fldChar w:fldCharType="separate"/>
                    </w:r>
                    <w:r w:rsidR="00922DBE">
                      <w:rPr>
                        <w:rStyle w:val="Seitenzahl"/>
                        <w:rFonts w:ascii="Arial" w:hAnsi="Arial" w:cs="Arial"/>
                        <w:noProof/>
                        <w:sz w:val="20"/>
                      </w:rPr>
                      <w:t>2</w:t>
                    </w:r>
                    <w:r>
                      <w:rPr>
                        <w:rStyle w:val="Seitenzahl"/>
                        <w:rFonts w:ascii="Arial" w:hAnsi="Arial" w:cs="Arial"/>
                        <w:sz w:val="20"/>
                      </w:rPr>
                      <w:fldChar w:fldCharType="end"/>
                    </w:r>
                  </w:p>
                  <w:p w14:paraId="720678ED" w14:textId="77777777" w:rsidR="00A3365C" w:rsidRDefault="00A3365C">
                    <w:pPr>
                      <w:rPr>
                        <w:rStyle w:val="Seitenzahl"/>
                        <w:rFonts w:ascii="Arial" w:hAnsi="Arial" w:cs="Arial"/>
                        <w:color w:val="FFFFFF"/>
                        <w:sz w:val="20"/>
                      </w:rPr>
                    </w:pP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85D0A" w14:textId="77777777" w:rsidR="00E75F80" w:rsidRDefault="00E75F80">
      <w:r>
        <w:separator/>
      </w:r>
    </w:p>
  </w:footnote>
  <w:footnote w:type="continuationSeparator" w:id="0">
    <w:p w14:paraId="05B1ACD1" w14:textId="77777777" w:rsidR="00E75F80" w:rsidRDefault="00E75F80">
      <w:r>
        <w:continuationSeparator/>
      </w:r>
    </w:p>
  </w:footnote>
  <w:footnote w:id="1">
    <w:p w14:paraId="07F71AF7" w14:textId="45EC0E25" w:rsidR="006464CD" w:rsidRPr="0059112F" w:rsidRDefault="006464CD">
      <w:pPr>
        <w:pStyle w:val="Funotentext"/>
        <w:rPr>
          <w:sz w:val="14"/>
          <w:lang w:val="en-US"/>
        </w:rPr>
      </w:pPr>
      <w:r>
        <w:rPr>
          <w:rStyle w:val="Funotenzeichen"/>
        </w:rPr>
        <w:footnoteRef/>
      </w:r>
      <w:r>
        <w:t xml:space="preserve"> Reference: </w:t>
      </w:r>
      <w:r w:rsidRPr="0059112F">
        <w:rPr>
          <w:rFonts w:ascii="Arial" w:hAnsi="Arial"/>
          <w:sz w:val="16"/>
          <w:szCs w:val="22"/>
          <w:lang w:val="en-US"/>
        </w:rPr>
        <w:t>Sky and Space Intergroup of the European Parliament (SSI)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EC3C1" w14:textId="77777777" w:rsidR="00A3365C" w:rsidRDefault="00F16AC5">
    <w:pPr>
      <w:pStyle w:val="Kopfzeile"/>
      <w:rPr>
        <w:lang w:val="en-US" w:eastAsia="en-US"/>
      </w:rPr>
    </w:pPr>
    <w:r>
      <w:rPr>
        <w:noProof/>
        <w:lang w:val="de-DE" w:eastAsia="de-DE"/>
      </w:rPr>
      <w:drawing>
        <wp:anchor distT="0" distB="0" distL="114935" distR="114935" simplePos="0" relativeHeight="251649024" behindDoc="0" locked="0" layoutInCell="1" allowOverlap="1" wp14:anchorId="6BF03FA6" wp14:editId="7AC6B8F0">
          <wp:simplePos x="0" y="0"/>
          <wp:positionH relativeFrom="page">
            <wp:posOffset>5073650</wp:posOffset>
          </wp:positionH>
          <wp:positionV relativeFrom="page">
            <wp:posOffset>433705</wp:posOffset>
          </wp:positionV>
          <wp:extent cx="2162175" cy="718820"/>
          <wp:effectExtent l="0" t="0" r="0" b="0"/>
          <wp:wrapTight wrapText="bothSides">
            <wp:wrapPolygon edited="0">
              <wp:start x="-222" y="0"/>
              <wp:lineTo x="-222" y="21313"/>
              <wp:lineTo x="21554" y="21313"/>
              <wp:lineTo x="21554" y="0"/>
              <wp:lineTo x="-222" y="0"/>
            </wp:wrapPolygon>
          </wp:wrapTight>
          <wp:docPr id="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9"/>
                  <pic:cNvPicPr>
                    <a:picLocks noChangeAspect="1" noChangeArrowheads="1"/>
                  </pic:cNvPicPr>
                </pic:nvPicPr>
                <pic:blipFill>
                  <a:blip r:embed="rId1"/>
                  <a:srcRect l="-7" t="-21" r="-7" b="9745"/>
                  <a:stretch>
                    <a:fillRect/>
                  </a:stretch>
                </pic:blipFill>
                <pic:spPr bwMode="auto">
                  <a:xfrm>
                    <a:off x="0" y="0"/>
                    <a:ext cx="2162175" cy="718820"/>
                  </a:xfrm>
                  <a:prstGeom prst="rect">
                    <a:avLst/>
                  </a:prstGeom>
                </pic:spPr>
              </pic:pic>
            </a:graphicData>
          </a:graphic>
        </wp:anchor>
      </w:drawing>
    </w:r>
    <w:r>
      <w:rPr>
        <w:noProof/>
        <w:lang w:val="de-DE" w:eastAsia="de-DE"/>
      </w:rPr>
      <mc:AlternateContent>
        <mc:Choice Requires="wps">
          <w:drawing>
            <wp:anchor distT="0" distB="0" distL="114935" distR="114935" simplePos="0" relativeHeight="251653120" behindDoc="0" locked="0" layoutInCell="1" allowOverlap="1" wp14:anchorId="34B1D649" wp14:editId="2576752E">
              <wp:simplePos x="0" y="0"/>
              <wp:positionH relativeFrom="page">
                <wp:posOffset>899795</wp:posOffset>
              </wp:positionH>
              <wp:positionV relativeFrom="page">
                <wp:posOffset>541655</wp:posOffset>
              </wp:positionV>
              <wp:extent cx="4029710" cy="609600"/>
              <wp:effectExtent l="0" t="0" r="0" b="0"/>
              <wp:wrapSquare wrapText="bothSides"/>
              <wp:docPr id="2" name="Rechteck 2"/>
              <wp:cNvGraphicFramePr/>
              <a:graphic xmlns:a="http://schemas.openxmlformats.org/drawingml/2006/main">
                <a:graphicData uri="http://schemas.microsoft.com/office/word/2010/wordprocessingShape">
                  <wps:wsp>
                    <wps:cNvSpPr/>
                    <wps:spPr>
                      <a:xfrm>
                        <a:off x="0" y="0"/>
                        <a:ext cx="4029120" cy="609120"/>
                      </a:xfrm>
                      <a:prstGeom prst="rect">
                        <a:avLst/>
                      </a:prstGeom>
                      <a:solidFill>
                        <a:srgbClr val="547CBA"/>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5ED62F36" id="Rechteck 2" o:spid="_x0000_s1026" style="position:absolute;margin-left:70.85pt;margin-top:42.65pt;width:317.3pt;height:48pt;z-index:251653120;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" fillcolor="#547cba" stroked="f">
              <w10:wrap type="square" anchorx="page" anchory="page"/>
            </v:rect>
          </w:pict>
        </mc:Fallback>
      </mc:AlternateContent>
    </w:r>
    <w:r>
      <w:rPr>
        <w:noProof/>
        <w:lang w:val="de-DE" w:eastAsia="de-DE"/>
      </w:rPr>
      <mc:AlternateContent>
        <mc:Choice Requires="wps">
          <w:drawing>
            <wp:anchor distT="0" distB="0" distL="114935" distR="114935" simplePos="0" relativeHeight="251657216" behindDoc="0" locked="0" layoutInCell="1" allowOverlap="1" wp14:anchorId="4C7A2433" wp14:editId="04CBA51A">
              <wp:simplePos x="0" y="0"/>
              <wp:positionH relativeFrom="page">
                <wp:posOffset>4892675</wp:posOffset>
              </wp:positionH>
              <wp:positionV relativeFrom="page">
                <wp:posOffset>541655</wp:posOffset>
              </wp:positionV>
              <wp:extent cx="72390" cy="609600"/>
              <wp:effectExtent l="0" t="0" r="0" b="0"/>
              <wp:wrapSquare wrapText="bothSides"/>
              <wp:docPr id="3" name="Rechteck 3"/>
              <wp:cNvGraphicFramePr/>
              <a:graphic xmlns:a="http://schemas.openxmlformats.org/drawingml/2006/main">
                <a:graphicData uri="http://schemas.microsoft.com/office/word/2010/wordprocessingShape">
                  <wps:wsp>
                    <wps:cNvSpPr/>
                    <wps:spPr>
                      <a:xfrm>
                        <a:off x="0" y="0"/>
                        <a:ext cx="71640" cy="609120"/>
                      </a:xfrm>
                      <a:prstGeom prst="rect">
                        <a:avLst/>
                      </a:prstGeom>
                      <a:solidFill>
                        <a:srgbClr val="EDAF1E"/>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296488F8" id="Rechteck 3" o:spid="_x0000_s1026" style="position:absolute;margin-left:385.25pt;margin-top:42.65pt;width:5.7pt;height:48pt;z-index:251657216;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" fillcolor="#edaf1e" stroked="f">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EB0"/>
    <w:multiLevelType w:val="hybridMultilevel"/>
    <w:tmpl w:val="CCAC89EC"/>
    <w:numStyleLink w:val="Puces"/>
  </w:abstractNum>
  <w:abstractNum w:abstractNumId="1">
    <w:nsid w:val="0D3C6ED7"/>
    <w:multiLevelType w:val="multilevel"/>
    <w:tmpl w:val="F670AB48"/>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2E58F5"/>
    <w:multiLevelType w:val="hybridMultilevel"/>
    <w:tmpl w:val="CCAC89EC"/>
    <w:styleLink w:val="Puces"/>
    <w:lvl w:ilvl="0" w:tplc="A42E0754">
      <w:start w:val="1"/>
      <w:numFmt w:val="bullet"/>
      <w:lvlText w:val="•"/>
      <w:lvlJc w:val="left"/>
      <w:pPr>
        <w:ind w:left="567"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4283148">
      <w:start w:val="1"/>
      <w:numFmt w:val="bullet"/>
      <w:lvlText w:val="•"/>
      <w:lvlJc w:val="left"/>
      <w:pPr>
        <w:ind w:left="7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4DA0B96">
      <w:start w:val="1"/>
      <w:numFmt w:val="bullet"/>
      <w:lvlText w:val="•"/>
      <w:lvlJc w:val="left"/>
      <w:pPr>
        <w:ind w:left="13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914822A">
      <w:start w:val="1"/>
      <w:numFmt w:val="bullet"/>
      <w:lvlText w:val="•"/>
      <w:lvlJc w:val="left"/>
      <w:pPr>
        <w:ind w:left="19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F143C50">
      <w:start w:val="1"/>
      <w:numFmt w:val="bullet"/>
      <w:lvlText w:val="•"/>
      <w:lvlJc w:val="left"/>
      <w:pPr>
        <w:ind w:left="25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70E3DB6">
      <w:start w:val="1"/>
      <w:numFmt w:val="bullet"/>
      <w:lvlText w:val="•"/>
      <w:lvlJc w:val="left"/>
      <w:pPr>
        <w:ind w:left="31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1A677D8">
      <w:start w:val="1"/>
      <w:numFmt w:val="bullet"/>
      <w:lvlText w:val="•"/>
      <w:lvlJc w:val="left"/>
      <w:pPr>
        <w:ind w:left="37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3C000E">
      <w:start w:val="1"/>
      <w:numFmt w:val="bullet"/>
      <w:lvlText w:val="•"/>
      <w:lvlJc w:val="left"/>
      <w:pPr>
        <w:ind w:left="43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7A6A1B6">
      <w:start w:val="1"/>
      <w:numFmt w:val="bullet"/>
      <w:lvlText w:val="•"/>
      <w:lvlJc w:val="left"/>
      <w:pPr>
        <w:ind w:left="49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nsid w:val="2B273A61"/>
    <w:multiLevelType w:val="multilevel"/>
    <w:tmpl w:val="C01EEA0A"/>
    <w:lvl w:ilvl="0">
      <w:start w:val="1"/>
      <w:numFmt w:val="bullet"/>
      <w:lvlText w:val=""/>
      <w:lvlJc w:val="left"/>
      <w:pPr>
        <w:ind w:left="720"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76068A"/>
    <w:multiLevelType w:val="multilevel"/>
    <w:tmpl w:val="FA60E83A"/>
    <w:lvl w:ilvl="0">
      <w:start w:val="1"/>
      <w:numFmt w:val="bullet"/>
      <w:lvlText w:val=""/>
      <w:lvlJc w:val="left"/>
      <w:pPr>
        <w:ind w:left="720"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6D0BB2"/>
    <w:multiLevelType w:val="multilevel"/>
    <w:tmpl w:val="C6322522"/>
    <w:lvl w:ilvl="0">
      <w:start w:val="1"/>
      <w:numFmt w:val="bullet"/>
      <w:lvlText w:val=""/>
      <w:lvlJc w:val="left"/>
      <w:pPr>
        <w:ind w:left="720"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DB7831"/>
    <w:multiLevelType w:val="multilevel"/>
    <w:tmpl w:val="9A16A2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DA05DAB"/>
    <w:multiLevelType w:val="multilevel"/>
    <w:tmpl w:val="8468E9C2"/>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2"/>
  </w:num>
  <w:num w:numId="8">
    <w:abstractNumId w:val="0"/>
  </w:num>
  <w:num w:numId="9">
    <w:abstractNumId w:val="0"/>
    <w:lvlOverride w:ilvl="0">
      <w:lvl w:ilvl="0" w:tplc="74C8A488">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69EFC9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34E5F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FC2BA9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92AC9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4C8915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9FEA22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144AB7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A000B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eidc">
    <w15:presenceInfo w15:providerId="None" w15:userId="schne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5C"/>
    <w:rsid w:val="00060E7D"/>
    <w:rsid w:val="000A4D79"/>
    <w:rsid w:val="000B5E6E"/>
    <w:rsid w:val="001A2880"/>
    <w:rsid w:val="001F2AD2"/>
    <w:rsid w:val="0025131A"/>
    <w:rsid w:val="002D37BE"/>
    <w:rsid w:val="00334C7E"/>
    <w:rsid w:val="003C595A"/>
    <w:rsid w:val="00462C36"/>
    <w:rsid w:val="005739BE"/>
    <w:rsid w:val="0059112F"/>
    <w:rsid w:val="005D695F"/>
    <w:rsid w:val="006464CD"/>
    <w:rsid w:val="00681852"/>
    <w:rsid w:val="006D4E2F"/>
    <w:rsid w:val="00766718"/>
    <w:rsid w:val="007C5196"/>
    <w:rsid w:val="0083390D"/>
    <w:rsid w:val="0083613E"/>
    <w:rsid w:val="0083705D"/>
    <w:rsid w:val="008721D6"/>
    <w:rsid w:val="008861E4"/>
    <w:rsid w:val="00922DBE"/>
    <w:rsid w:val="00A3365C"/>
    <w:rsid w:val="00A5645D"/>
    <w:rsid w:val="00B63A61"/>
    <w:rsid w:val="00C5271D"/>
    <w:rsid w:val="00C93F5F"/>
    <w:rsid w:val="00CE08F9"/>
    <w:rsid w:val="00DC1CDB"/>
    <w:rsid w:val="00E75F80"/>
    <w:rsid w:val="00F16AC5"/>
    <w:rsid w:val="00F75B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imes New Roman" w:cs="Times New Roman"/>
      <w:sz w:val="24"/>
      <w:lang w:val="en-GB"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2"/>
      <w:szCs w:val="22"/>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Arial" w:eastAsia="Times New Roman"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sz w:val="22"/>
      <w:szCs w:val="22"/>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sz w:val="22"/>
      <w:szCs w:val="22"/>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Times New Roman"/>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Times New Roman"/>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FuzeileZchn">
    <w:name w:val="Fußzeile Zchn"/>
    <w:qFormat/>
    <w:rPr>
      <w:sz w:val="24"/>
      <w:szCs w:val="24"/>
      <w:lang w:val="en-GB" w:bidi="ar-SA"/>
    </w:rPr>
  </w:style>
  <w:style w:type="character" w:styleId="Seitenzahl">
    <w:name w:val="page number"/>
    <w:basedOn w:val="Absatz-Standardschriftart"/>
  </w:style>
  <w:style w:type="character" w:styleId="Kommentarzeichen">
    <w:name w:val="annotation reference"/>
    <w:qFormat/>
    <w:rPr>
      <w:sz w:val="16"/>
      <w:szCs w:val="16"/>
    </w:rPr>
  </w:style>
  <w:style w:type="character" w:customStyle="1" w:styleId="InternetLink">
    <w:name w:val="Internet Link"/>
    <w:rPr>
      <w:color w:val="0000FF"/>
      <w:u w:val="single"/>
    </w:rPr>
  </w:style>
  <w:style w:type="character" w:customStyle="1" w:styleId="KommentartextZchn">
    <w:name w:val="Kommentartext Zchn"/>
    <w:qFormat/>
    <w:rPr>
      <w:lang w:val="en-GB"/>
    </w:rPr>
  </w:style>
  <w:style w:type="character" w:customStyle="1" w:styleId="KommentarthemaZchn">
    <w:name w:val="Kommentarthema Zchn"/>
    <w:qFormat/>
    <w:rPr>
      <w:b/>
      <w:bCs/>
      <w:lang w:val="en-GB"/>
    </w:rPr>
  </w:style>
  <w:style w:type="paragraph" w:customStyle="1" w:styleId="Heading">
    <w:name w:val="Heading"/>
    <w:basedOn w:val="Standard"/>
    <w:next w:val="Textkrper"/>
    <w:qFormat/>
    <w:pPr>
      <w:keepNext/>
      <w:spacing w:before="240" w:after="120"/>
    </w:pPr>
    <w:rPr>
      <w:rFonts w:ascii="Arial" w:eastAsia="Microsoft YaHei" w:hAnsi="Arial" w:cs="Mangal"/>
      <w:sz w:val="28"/>
      <w:szCs w:val="28"/>
    </w:rPr>
  </w:style>
  <w:style w:type="paragraph" w:styleId="Textkrper">
    <w:name w:val="Body Text"/>
    <w:basedOn w:val="Standard"/>
    <w:pPr>
      <w:spacing w:after="140" w:line="276"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Index">
    <w:name w:val="Index"/>
    <w:basedOn w:val="Standard"/>
    <w:qFormat/>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Kommentartext">
    <w:name w:val="annotation text"/>
    <w:basedOn w:val="Standard"/>
    <w:qFormat/>
    <w:pPr>
      <w:suppressAutoHyphens/>
    </w:pPr>
    <w:rPr>
      <w:sz w:val="20"/>
      <w:szCs w:val="20"/>
    </w:rPr>
  </w:style>
  <w:style w:type="paragraph" w:styleId="Sprechblasentext">
    <w:name w:val="Balloon Text"/>
    <w:basedOn w:val="Standard"/>
    <w:qFormat/>
    <w:rPr>
      <w:rFonts w:ascii="Tahoma" w:hAnsi="Tahoma" w:cs="Tahoma"/>
      <w:sz w:val="16"/>
      <w:szCs w:val="16"/>
    </w:rPr>
  </w:style>
  <w:style w:type="paragraph" w:styleId="Kommentarthema">
    <w:name w:val="annotation subject"/>
    <w:basedOn w:val="Kommentartext"/>
    <w:next w:val="Kommentartext"/>
    <w:qFormat/>
    <w:pPr>
      <w:suppressAutoHyphens w:val="0"/>
    </w:pPr>
    <w:rPr>
      <w:b/>
      <w:bCs/>
    </w:rPr>
  </w:style>
  <w:style w:type="paragraph" w:customStyle="1" w:styleId="FrameContents">
    <w:name w:val="Frame Contents"/>
    <w:basedOn w:val="Standar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paragraph" w:customStyle="1" w:styleId="Bodynormalpara">
    <w:name w:val="Body normal para"/>
    <w:basedOn w:val="Standard"/>
    <w:autoRedefine/>
    <w:qFormat/>
    <w:rsid w:val="00DC1CDB"/>
    <w:pPr>
      <w:spacing w:after="120"/>
    </w:pPr>
    <w:rPr>
      <w:rFonts w:ascii="Arial" w:eastAsia="Cambria" w:hAnsi="Arial"/>
      <w:sz w:val="22"/>
      <w:szCs w:val="22"/>
      <w:lang w:val="en" w:eastAsia="en-GB"/>
    </w:rPr>
  </w:style>
  <w:style w:type="numbering" w:customStyle="1" w:styleId="Puces">
    <w:name w:val="Puces"/>
    <w:rsid w:val="00CE08F9"/>
    <w:pPr>
      <w:numPr>
        <w:numId w:val="7"/>
      </w:numPr>
    </w:pPr>
  </w:style>
  <w:style w:type="paragraph" w:styleId="Funotentext">
    <w:name w:val="footnote text"/>
    <w:basedOn w:val="Standard"/>
    <w:link w:val="FunotentextZchn"/>
    <w:uiPriority w:val="99"/>
    <w:semiHidden/>
    <w:unhideWhenUsed/>
    <w:rsid w:val="006464CD"/>
    <w:rPr>
      <w:sz w:val="20"/>
      <w:szCs w:val="20"/>
    </w:rPr>
  </w:style>
  <w:style w:type="character" w:customStyle="1" w:styleId="FunotentextZchn">
    <w:name w:val="Fußnotentext Zchn"/>
    <w:basedOn w:val="Absatz-Standardschriftart"/>
    <w:link w:val="Funotentext"/>
    <w:uiPriority w:val="99"/>
    <w:semiHidden/>
    <w:rsid w:val="006464CD"/>
    <w:rPr>
      <w:rFonts w:eastAsia="Times New Roman" w:cs="Times New Roman"/>
      <w:szCs w:val="20"/>
      <w:lang w:val="en-GB" w:bidi="ar-SA"/>
    </w:rPr>
  </w:style>
  <w:style w:type="character" w:styleId="Funotenzeichen">
    <w:name w:val="footnote reference"/>
    <w:basedOn w:val="Absatz-Standardschriftart"/>
    <w:uiPriority w:val="99"/>
    <w:semiHidden/>
    <w:unhideWhenUsed/>
    <w:rsid w:val="006464CD"/>
    <w:rPr>
      <w:vertAlign w:val="superscript"/>
    </w:rPr>
  </w:style>
  <w:style w:type="paragraph" w:styleId="Endnotentext">
    <w:name w:val="endnote text"/>
    <w:basedOn w:val="Standard"/>
    <w:link w:val="EndnotentextZchn"/>
    <w:uiPriority w:val="99"/>
    <w:semiHidden/>
    <w:unhideWhenUsed/>
    <w:rsid w:val="00922DBE"/>
    <w:rPr>
      <w:sz w:val="20"/>
      <w:szCs w:val="20"/>
    </w:rPr>
  </w:style>
  <w:style w:type="character" w:customStyle="1" w:styleId="EndnotentextZchn">
    <w:name w:val="Endnotentext Zchn"/>
    <w:basedOn w:val="Absatz-Standardschriftart"/>
    <w:link w:val="Endnotentext"/>
    <w:uiPriority w:val="99"/>
    <w:semiHidden/>
    <w:rsid w:val="00922DBE"/>
    <w:rPr>
      <w:rFonts w:eastAsia="Times New Roman" w:cs="Times New Roman"/>
      <w:szCs w:val="20"/>
      <w:lang w:val="en-GB" w:bidi="ar-SA"/>
    </w:rPr>
  </w:style>
  <w:style w:type="character" w:styleId="Endnotenzeichen">
    <w:name w:val="endnote reference"/>
    <w:basedOn w:val="Absatz-Standardschriftart"/>
    <w:uiPriority w:val="99"/>
    <w:semiHidden/>
    <w:unhideWhenUsed/>
    <w:rsid w:val="00922D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imes New Roman" w:cs="Times New Roman"/>
      <w:sz w:val="24"/>
      <w:lang w:val="en-GB"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2"/>
      <w:szCs w:val="22"/>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Arial" w:eastAsia="Times New Roman"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sz w:val="22"/>
      <w:szCs w:val="22"/>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sz w:val="22"/>
      <w:szCs w:val="22"/>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Times New Roman"/>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Times New Roman"/>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FuzeileZchn">
    <w:name w:val="Fußzeile Zchn"/>
    <w:qFormat/>
    <w:rPr>
      <w:sz w:val="24"/>
      <w:szCs w:val="24"/>
      <w:lang w:val="en-GB" w:bidi="ar-SA"/>
    </w:rPr>
  </w:style>
  <w:style w:type="character" w:styleId="Seitenzahl">
    <w:name w:val="page number"/>
    <w:basedOn w:val="Absatz-Standardschriftart"/>
  </w:style>
  <w:style w:type="character" w:styleId="Kommentarzeichen">
    <w:name w:val="annotation reference"/>
    <w:qFormat/>
    <w:rPr>
      <w:sz w:val="16"/>
      <w:szCs w:val="16"/>
    </w:rPr>
  </w:style>
  <w:style w:type="character" w:customStyle="1" w:styleId="InternetLink">
    <w:name w:val="Internet Link"/>
    <w:rPr>
      <w:color w:val="0000FF"/>
      <w:u w:val="single"/>
    </w:rPr>
  </w:style>
  <w:style w:type="character" w:customStyle="1" w:styleId="KommentartextZchn">
    <w:name w:val="Kommentartext Zchn"/>
    <w:qFormat/>
    <w:rPr>
      <w:lang w:val="en-GB"/>
    </w:rPr>
  </w:style>
  <w:style w:type="character" w:customStyle="1" w:styleId="KommentarthemaZchn">
    <w:name w:val="Kommentarthema Zchn"/>
    <w:qFormat/>
    <w:rPr>
      <w:b/>
      <w:bCs/>
      <w:lang w:val="en-GB"/>
    </w:rPr>
  </w:style>
  <w:style w:type="paragraph" w:customStyle="1" w:styleId="Heading">
    <w:name w:val="Heading"/>
    <w:basedOn w:val="Standard"/>
    <w:next w:val="Textkrper"/>
    <w:qFormat/>
    <w:pPr>
      <w:keepNext/>
      <w:spacing w:before="240" w:after="120"/>
    </w:pPr>
    <w:rPr>
      <w:rFonts w:ascii="Arial" w:eastAsia="Microsoft YaHei" w:hAnsi="Arial" w:cs="Mangal"/>
      <w:sz w:val="28"/>
      <w:szCs w:val="28"/>
    </w:rPr>
  </w:style>
  <w:style w:type="paragraph" w:styleId="Textkrper">
    <w:name w:val="Body Text"/>
    <w:basedOn w:val="Standard"/>
    <w:pPr>
      <w:spacing w:after="140" w:line="276"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Index">
    <w:name w:val="Index"/>
    <w:basedOn w:val="Standard"/>
    <w:qFormat/>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Kommentartext">
    <w:name w:val="annotation text"/>
    <w:basedOn w:val="Standard"/>
    <w:qFormat/>
    <w:pPr>
      <w:suppressAutoHyphens/>
    </w:pPr>
    <w:rPr>
      <w:sz w:val="20"/>
      <w:szCs w:val="20"/>
    </w:rPr>
  </w:style>
  <w:style w:type="paragraph" w:styleId="Sprechblasentext">
    <w:name w:val="Balloon Text"/>
    <w:basedOn w:val="Standard"/>
    <w:qFormat/>
    <w:rPr>
      <w:rFonts w:ascii="Tahoma" w:hAnsi="Tahoma" w:cs="Tahoma"/>
      <w:sz w:val="16"/>
      <w:szCs w:val="16"/>
    </w:rPr>
  </w:style>
  <w:style w:type="paragraph" w:styleId="Kommentarthema">
    <w:name w:val="annotation subject"/>
    <w:basedOn w:val="Kommentartext"/>
    <w:next w:val="Kommentartext"/>
    <w:qFormat/>
    <w:pPr>
      <w:suppressAutoHyphens w:val="0"/>
    </w:pPr>
    <w:rPr>
      <w:b/>
      <w:bCs/>
    </w:rPr>
  </w:style>
  <w:style w:type="paragraph" w:customStyle="1" w:styleId="FrameContents">
    <w:name w:val="Frame Contents"/>
    <w:basedOn w:val="Standar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paragraph" w:customStyle="1" w:styleId="Bodynormalpara">
    <w:name w:val="Body normal para"/>
    <w:basedOn w:val="Standard"/>
    <w:autoRedefine/>
    <w:qFormat/>
    <w:rsid w:val="00DC1CDB"/>
    <w:pPr>
      <w:spacing w:after="120"/>
    </w:pPr>
    <w:rPr>
      <w:rFonts w:ascii="Arial" w:eastAsia="Cambria" w:hAnsi="Arial"/>
      <w:sz w:val="22"/>
      <w:szCs w:val="22"/>
      <w:lang w:val="en" w:eastAsia="en-GB"/>
    </w:rPr>
  </w:style>
  <w:style w:type="numbering" w:customStyle="1" w:styleId="Puces">
    <w:name w:val="Puces"/>
    <w:rsid w:val="00CE08F9"/>
    <w:pPr>
      <w:numPr>
        <w:numId w:val="7"/>
      </w:numPr>
    </w:pPr>
  </w:style>
  <w:style w:type="paragraph" w:styleId="Funotentext">
    <w:name w:val="footnote text"/>
    <w:basedOn w:val="Standard"/>
    <w:link w:val="FunotentextZchn"/>
    <w:uiPriority w:val="99"/>
    <w:semiHidden/>
    <w:unhideWhenUsed/>
    <w:rsid w:val="006464CD"/>
    <w:rPr>
      <w:sz w:val="20"/>
      <w:szCs w:val="20"/>
    </w:rPr>
  </w:style>
  <w:style w:type="character" w:customStyle="1" w:styleId="FunotentextZchn">
    <w:name w:val="Fußnotentext Zchn"/>
    <w:basedOn w:val="Absatz-Standardschriftart"/>
    <w:link w:val="Funotentext"/>
    <w:uiPriority w:val="99"/>
    <w:semiHidden/>
    <w:rsid w:val="006464CD"/>
    <w:rPr>
      <w:rFonts w:eastAsia="Times New Roman" w:cs="Times New Roman"/>
      <w:szCs w:val="20"/>
      <w:lang w:val="en-GB" w:bidi="ar-SA"/>
    </w:rPr>
  </w:style>
  <w:style w:type="character" w:styleId="Funotenzeichen">
    <w:name w:val="footnote reference"/>
    <w:basedOn w:val="Absatz-Standardschriftart"/>
    <w:uiPriority w:val="99"/>
    <w:semiHidden/>
    <w:unhideWhenUsed/>
    <w:rsid w:val="006464CD"/>
    <w:rPr>
      <w:vertAlign w:val="superscript"/>
    </w:rPr>
  </w:style>
  <w:style w:type="paragraph" w:styleId="Endnotentext">
    <w:name w:val="endnote text"/>
    <w:basedOn w:val="Standard"/>
    <w:link w:val="EndnotentextZchn"/>
    <w:uiPriority w:val="99"/>
    <w:semiHidden/>
    <w:unhideWhenUsed/>
    <w:rsid w:val="00922DBE"/>
    <w:rPr>
      <w:sz w:val="20"/>
      <w:szCs w:val="20"/>
    </w:rPr>
  </w:style>
  <w:style w:type="character" w:customStyle="1" w:styleId="EndnotentextZchn">
    <w:name w:val="Endnotentext Zchn"/>
    <w:basedOn w:val="Absatz-Standardschriftart"/>
    <w:link w:val="Endnotentext"/>
    <w:uiPriority w:val="99"/>
    <w:semiHidden/>
    <w:rsid w:val="00922DBE"/>
    <w:rPr>
      <w:rFonts w:eastAsia="Times New Roman" w:cs="Times New Roman"/>
      <w:szCs w:val="20"/>
      <w:lang w:val="en-GB" w:bidi="ar-SA"/>
    </w:rPr>
  </w:style>
  <w:style w:type="character" w:styleId="Endnotenzeichen">
    <w:name w:val="endnote reference"/>
    <w:basedOn w:val="Absatz-Standardschriftart"/>
    <w:uiPriority w:val="99"/>
    <w:semiHidden/>
    <w:unhideWhenUsed/>
    <w:rsid w:val="00922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microsoft.com/office/2011/relationships/commentsExtended" Target="commentsExtended.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1214</ap:Words>
  <ap:Characters>7653</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Title goes here…</vt:lpstr>
    </vt:vector>
  </ap:TitlesOfParts>
  <ap:LinksUpToDate>false</ap:LinksUpToDate>
  <ap:CharactersWithSpaces>8850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2012-06-15T08:56:00.0000000Z</lastPrinted>
  <dcterms:created xsi:type="dcterms:W3CDTF">2018-11-05T17:16:00.0000000Z</dcterms:created>
  <dcterms:modified xsi:type="dcterms:W3CDTF">2018-11-05T17:16:00.0000000Z</dcterms:modified>
  <dc:language>en-US</dc:language>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LW_DocType</vt:lpwstr>
  </property>
  <property fmtid="{D5CDD505-2E9C-101B-9397-08002B2CF9AE}" pid="3" name="_NewReviewCycle">
    <vt:lpwstr/>
  </property>
  <property fmtid="{D5CDD505-2E9C-101B-9397-08002B2CF9AE}" pid="4" name="ContentTypeId">
    <vt:lpwstr>0x010100DA450C75FE32AD468589EB7A6E6477EE</vt:lpwstr>
  </property>
</Properties>
</file>