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glossary/fontTable.xml" ContentType="application/vnd.openxmlformats-officedocument.wordprocessingml.fontTable+xml"/>
  <Override PartName="/word/fontTable.xml" ContentType="application/vnd.openxmlformats-officedocument.wordprocessingml.fontTable+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styles.xml" ContentType="application/vnd.openxmlformats-officedocument.wordprocessingml.styles+xml"/>
  <Override PartName="/word/glossary/webSettings.xml" ContentType="application/vnd.openxmlformats-officedocument.wordprocessingml.webSetting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8D796E">
          <w:pPr>
            <w:tabs>
              <w:tab w:val="left" w:pos="3686"/>
            </w:tabs>
          </w:pPr>
          <w:r>
            <w:rPr>
              <w:noProof/>
            </w:rPr>
            <mc:AlternateContent>
              <mc:Choice Requires="wps">
                <w:drawing>
                  <wp:anchor distT="0" distB="0" distL="114300" distR="114300" simplePos="0" relativeHeight="251657728" behindDoc="0" locked="0" layoutInCell="1" allowOverlap="1">
                    <wp:simplePos x="0" y="0"/>
                    <wp:positionH relativeFrom="page">
                      <wp:posOffset>3960495</wp:posOffset>
                    </wp:positionH>
                    <wp:positionV relativeFrom="page">
                      <wp:posOffset>252095</wp:posOffset>
                    </wp:positionV>
                    <wp:extent cx="3429000" cy="208280"/>
                    <wp:effectExtent l="0" t="0" r="0" b="127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00FF6790">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rsidR="00FF6790">
                <w:t>W17.18.0162/IV</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rsidR="00FF6790">
                <w:t>23 augustus 2018</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9F579B" w:rsidRDefault="00A02CA5">
              <w:r>
                <w:t>Bij Kabinetsmissive van 28 juni 2018, no.2018001148, heeft Uwe Majesteit, op voordracht van de Minister van Infrastructuur en Waterstaat, mede namens de Minister voor Rechtsbescherming, bij de Afdeling advisering van de Raad van State ter overweging aanhangig gemaakt het voorstel van wet tot wijziging van Boek 8 van het Burgerlijk Wetboek, Boek 8 van het Burgerlijk Wetboek BES en de Wet bestrijding maritieme ongevallen in verband met de schrapping van de beperking van aansprakelijkheid voor vorderingen inzake wrakopruiming, met memorie van toelichting.</w:t>
              </w:r>
            </w:p>
          </w:sdtContent>
        </w:sdt>
        <w:p w:rsidR="0071031E" w:rsidRDefault="0071031E"/>
        <w:sdt>
          <w:sdtPr>
            <w:alias w:val="VrijeTekst1"/>
            <w:tag w:val="VrijeTekst1"/>
            <w:id w:val="-437221631"/>
            <w:lock w:val="sdtLocked"/>
          </w:sdtPr>
          <w:sdtEndPr/>
          <w:sdtContent>
            <w:p w:rsidR="007A0B37" w:rsidP="007A0B37" w:rsidRDefault="00A02CA5">
              <w:r>
                <w:t xml:space="preserve">Het </w:t>
              </w:r>
              <w:r w:rsidRPr="007A0B37">
                <w:t>wetsvoorste</w:t>
              </w:r>
              <w:r>
                <w:t>l s</w:t>
              </w:r>
              <w:r w:rsidRPr="007A0B37">
                <w:t>trekt tot invoering van volledige aansprakelijkheid van de eigenaar voor de kosten van wrakopruiming van een zeeschip dat gezonken is in de Nederlandse wateren</w:t>
              </w:r>
              <w:r>
                <w:t xml:space="preserve"> door </w:t>
              </w:r>
              <w:r w:rsidRPr="007A0B37">
                <w:t>wijziging van Boek 8 van het Burgerlijk Wetboek, Boek 8 van het Burgerlijk Wetboek BES en de Wet bestrijding maritieme ongevallen. De aanl</w:t>
              </w:r>
              <w:r>
                <w:t xml:space="preserve">eiding voor dit wetsvoorstel is de </w:t>
              </w:r>
              <w:r w:rsidRPr="007A0B37">
                <w:t>opruiming van de op 5</w:t>
              </w:r>
              <w:r>
                <w:t> </w:t>
              </w:r>
              <w:r w:rsidRPr="007A0B37">
                <w:t>december 2012 na een aanvaring gezonken autocarrier Baltic Ace nabij de haven van Rotterdam</w:t>
              </w:r>
              <w:r>
                <w:t>. Deze opruiming leidde tot hoge kosten voor de Nederlandse overheid</w:t>
              </w:r>
              <w:r w:rsidRPr="007A0B37">
                <w:t>.</w:t>
              </w:r>
              <w:r>
                <w:rPr>
                  <w:rStyle w:val="Voetnootmarkering"/>
                </w:rPr>
                <w:footnoteReference w:id="1"/>
              </w:r>
              <w:r w:rsidRPr="007A0B37">
                <w:t xml:space="preserve"> </w:t>
              </w:r>
            </w:p>
            <w:p w:rsidR="007A0B37" w:rsidP="007A0B37" w:rsidRDefault="008D796E"/>
            <w:p w:rsidR="007A0B37" w:rsidP="007A0B37" w:rsidRDefault="00A02CA5">
              <w:r w:rsidRPr="007A0B37">
                <w:t xml:space="preserve">De Afdeling advisering van de Raad van State adviseert het voorstel aan de Tweede Kamer te zenden, maar heeft </w:t>
              </w:r>
              <w:r>
                <w:t xml:space="preserve">een </w:t>
              </w:r>
              <w:r w:rsidRPr="007A0B37">
                <w:t xml:space="preserve">opmerking over de motivering van </w:t>
              </w:r>
              <w:r>
                <w:t xml:space="preserve">het voorstel wat betreft de gelding van het Protocol bij het verdrag van Londen voor </w:t>
              </w:r>
              <w:r w:rsidRPr="007A0B37">
                <w:rPr>
                  <w:szCs w:val="22"/>
                </w:rPr>
                <w:t>Aruba, Curaçao</w:t>
              </w:r>
              <w:r>
                <w:rPr>
                  <w:szCs w:val="22"/>
                </w:rPr>
                <w:t xml:space="preserve"> en Sint Maarten</w:t>
              </w:r>
              <w:r>
                <w:t xml:space="preserve">. </w:t>
              </w:r>
            </w:p>
            <w:p w:rsidR="007A0B37" w:rsidP="007A0B37" w:rsidRDefault="00A02CA5">
              <w:r w:rsidRPr="007A0B37">
                <w:t xml:space="preserve"> </w:t>
              </w:r>
            </w:p>
            <w:p w:rsidRPr="00C85983" w:rsidR="0031089B" w:rsidP="00FF035E" w:rsidRDefault="00A02CA5">
              <w:pPr>
                <w:rPr>
                  <w:szCs w:val="22"/>
                </w:rPr>
              </w:pPr>
              <w:r w:rsidRPr="007A0B37">
                <w:t xml:space="preserve">Het </w:t>
              </w:r>
              <w:r>
                <w:t xml:space="preserve">wetsvoorstel betreft </w:t>
              </w:r>
              <w:r w:rsidRPr="007A0B37">
                <w:t>twee verdragen:</w:t>
              </w:r>
              <w:r>
                <w:t xml:space="preserve"> h</w:t>
              </w:r>
              <w:r w:rsidRPr="007A0B37">
                <w:t>et Ver</w:t>
              </w:r>
              <w:r>
                <w:t xml:space="preserve">drag </w:t>
              </w:r>
              <w:r w:rsidRPr="007F0AB1">
                <w:t>inzake beperking van aansprakelijkheid voor maritieme vorderingen</w:t>
              </w:r>
              <w:r>
                <w:t xml:space="preserve"> en het Protocol bij dat verdrag.</w:t>
              </w:r>
              <w:r w:rsidRPr="007A0B37">
                <w:rPr>
                  <w:vertAlign w:val="superscript"/>
                </w:rPr>
                <w:footnoteReference w:id="2"/>
              </w:r>
              <w:r>
                <w:t xml:space="preserve"> </w:t>
              </w:r>
              <w:r w:rsidRPr="007A0B37">
                <w:t>Het Ver</w:t>
              </w:r>
              <w:r>
                <w:t xml:space="preserve">drag </w:t>
              </w:r>
              <w:r w:rsidRPr="007F0AB1">
                <w:t>inzake beperking van aansprakelijkheid voor maritieme vorderingen</w:t>
              </w:r>
              <w:r>
                <w:t xml:space="preserve"> </w:t>
              </w:r>
              <w:r w:rsidRPr="007A0B37">
                <w:t>beperkt de aansprakelijkheid. Het Protocol wijzigt dat verdrag</w:t>
              </w:r>
              <w:r>
                <w:t>:</w:t>
              </w:r>
              <w:r w:rsidRPr="007A0B37">
                <w:t xml:space="preserve"> het verhoogt de aansprakelijkheidslimieten en geeft de ruimt</w:t>
              </w:r>
              <w:r>
                <w:t>e om alle limieten op te heffen.</w:t>
              </w:r>
              <w:r w:rsidRPr="007A0B37">
                <w:t xml:space="preserve"> </w:t>
              </w:r>
              <w:r>
                <w:t>V</w:t>
              </w:r>
              <w:r w:rsidRPr="007A0B37">
                <w:t xml:space="preserve">olgens de toelichting </w:t>
              </w:r>
              <w:r>
                <w:t xml:space="preserve">op het voorliggende wetsvoorstel </w:t>
              </w:r>
              <w:r w:rsidRPr="007A0B37">
                <w:t>is het</w:t>
              </w:r>
              <w:r>
                <w:t xml:space="preserve"> destijds</w:t>
              </w:r>
              <w:r w:rsidRPr="007A0B37">
                <w:t xml:space="preserve"> de bedoeling geweest het hele Koninkrijk te binden aan het Protocol.</w:t>
              </w:r>
              <w:r>
                <w:rPr>
                  <w:rStyle w:val="Voetnootmarkering"/>
                </w:rPr>
                <w:footnoteReference w:id="3"/>
              </w:r>
              <w:r w:rsidRPr="007A0B37">
                <w:t xml:space="preserve"> </w:t>
              </w:r>
              <w:r>
                <w:t xml:space="preserve">Uit de toelichting op de goedkeuringswet voor het Protocol volgt een genuanceerder beeld: de </w:t>
              </w:r>
              <w:r w:rsidRPr="007A0B37">
                <w:t xml:space="preserve">Nederlandse Antillen </w:t>
              </w:r>
              <w:r>
                <w:t xml:space="preserve">wilden </w:t>
              </w:r>
              <w:r w:rsidRPr="007A0B37">
                <w:t>medegelding</w:t>
              </w:r>
              <w:r>
                <w:t xml:space="preserve"> en </w:t>
              </w:r>
              <w:r w:rsidRPr="007A0B37">
                <w:t xml:space="preserve">Aruba </w:t>
              </w:r>
              <w:r>
                <w:t>beraadde zich nog</w:t>
              </w:r>
              <w:r w:rsidRPr="007A0B37">
                <w:t xml:space="preserve">. In </w:t>
              </w:r>
              <w:r>
                <w:t>het</w:t>
              </w:r>
              <w:r w:rsidRPr="007A0B37">
                <w:t xml:space="preserve"> advies </w:t>
              </w:r>
              <w:r>
                <w:t xml:space="preserve">inzake </w:t>
              </w:r>
              <w:r w:rsidRPr="007A0B37">
                <w:t>het Protocol he</w:t>
              </w:r>
              <w:r>
                <w:t>eft de Raad erop aangedrongen het Protocol</w:t>
              </w:r>
              <w:r w:rsidRPr="007A0B37">
                <w:rPr>
                  <w:szCs w:val="22"/>
                </w:rPr>
                <w:t xml:space="preserve"> te laten gelden voor het hele </w:t>
              </w:r>
              <w:r>
                <w:rPr>
                  <w:szCs w:val="22"/>
                </w:rPr>
                <w:t>Koninkrijk. De regering heeft in het nader rapport dit standpunt onderschreven</w:t>
              </w:r>
              <w:r w:rsidRPr="007A0B37">
                <w:rPr>
                  <w:rFonts w:cs="Univers"/>
                  <w:szCs w:val="22"/>
                </w:rPr>
                <w:t>.</w:t>
              </w:r>
              <w:r w:rsidRPr="007A0B37">
                <w:rPr>
                  <w:rFonts w:cs="Univers"/>
                  <w:szCs w:val="22"/>
                  <w:vertAlign w:val="superscript"/>
                </w:rPr>
                <w:footnoteReference w:id="4"/>
              </w:r>
              <w:r>
                <w:rPr>
                  <w:rFonts w:cs="Univers"/>
                  <w:szCs w:val="22"/>
                </w:rPr>
                <w:t xml:space="preserve"> Deze gelding is </w:t>
              </w:r>
              <w:r>
                <w:rPr>
                  <w:rFonts w:cs="Univers"/>
                  <w:szCs w:val="22"/>
                </w:rPr>
                <w:lastRenderedPageBreak/>
                <w:t>destijds echter niet gerealiseerd: het P</w:t>
              </w:r>
              <w:r w:rsidRPr="007A0B37">
                <w:rPr>
                  <w:rFonts w:cs="Univers"/>
                  <w:szCs w:val="22"/>
                </w:rPr>
                <w:t>rotocol geldt alleen voor het land Nederland.</w:t>
              </w:r>
              <w:r>
                <w:rPr>
                  <w:rFonts w:cs="Univers"/>
                  <w:szCs w:val="22"/>
                </w:rPr>
                <w:t xml:space="preserve"> Niet op voorhand is duidelijk </w:t>
              </w:r>
              <w:r>
                <w:rPr>
                  <w:szCs w:val="22"/>
                </w:rPr>
                <w:t>waarom is nagelaten het intussen ook te ratificeren voor A</w:t>
              </w:r>
              <w:r w:rsidRPr="007A0B37">
                <w:rPr>
                  <w:szCs w:val="22"/>
                </w:rPr>
                <w:t xml:space="preserve">ruba, Curaçao en Sint Maarten. </w:t>
              </w:r>
              <w:r>
                <w:rPr>
                  <w:szCs w:val="22"/>
                </w:rPr>
                <w:t xml:space="preserve">De noodzaak om ook voor deze eilanden een volledige aansprakelijkheid </w:t>
              </w:r>
              <w:r w:rsidRPr="007A0B37">
                <w:t>v</w:t>
              </w:r>
              <w:r>
                <w:t>an</w:t>
              </w:r>
              <w:r w:rsidRPr="007A0B37">
                <w:t xml:space="preserve"> de eigenaar voor de kosten van wrakopruiming van een zeeschip dat gezonken is</w:t>
              </w:r>
              <w:r>
                <w:rPr>
                  <w:szCs w:val="22"/>
                </w:rPr>
                <w:t xml:space="preserve"> in te voeren geldt op eenzelfde wijze als voor het land Nederland. A</w:t>
              </w:r>
              <w:r w:rsidRPr="007A0B37">
                <w:rPr>
                  <w:szCs w:val="22"/>
                </w:rPr>
                <w:t xml:space="preserve">ls zich een geval voordoet van schade door een scheepswrak op de kust van </w:t>
              </w:r>
              <w:r>
                <w:rPr>
                  <w:szCs w:val="22"/>
                </w:rPr>
                <w:t>éé</w:t>
              </w:r>
              <w:r w:rsidRPr="007A0B37">
                <w:rPr>
                  <w:szCs w:val="22"/>
                </w:rPr>
                <w:t>n van de eilanden, kunnen de gevolgen heel groot zijn.</w:t>
              </w:r>
              <w:r>
                <w:rPr>
                  <w:szCs w:val="22"/>
                </w:rPr>
                <w:t xml:space="preserve"> De Afdeling adviseert de toelichting op dit punt aan te vullen.</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9F579B" w:rsidRDefault="00A02CA5">
              <w:r>
                <w:t>De Afdeling advisering van de Raad van State geeft U in overweging het voorstel van wet te zenden aan de Tweede Kamer der Staten-Generaal, nadat aan het vorenstaande aandacht zal zijn geschonken.</w:t>
              </w:r>
              <w:r>
                <w:br/>
              </w:r>
              <w:r>
                <w:br/>
              </w:r>
              <w:r>
                <w:br/>
                <w:t>De vice-president van de Raad van State,</w:t>
              </w:r>
            </w:p>
          </w:sdtContent>
        </w:sdt>
      </w:sdtContent>
    </w:sdt>
    <w:sectPr w:rsidR="009F579B" w:rsidSect="00503044">
      <w:headerReference w:type="defaul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094" w:rsidRDefault="00A02CA5" w:rsidP="005B3E03">
      <w:r>
        <w:separator/>
      </w:r>
    </w:p>
    <w:p w:rsidR="002D0ACF" w:rsidRDefault="008D796E"/>
  </w:endnote>
  <w:endnote w:type="continuationSeparator" w:id="0">
    <w:p w:rsidR="00847094" w:rsidRDefault="00A02CA5" w:rsidP="005B3E03">
      <w:r>
        <w:continuationSeparator/>
      </w:r>
    </w:p>
    <w:p w:rsidR="002D0ACF" w:rsidRDefault="008D79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Voettekst"/>
      <w:tabs>
        <w:tab w:val="clear" w:pos="4536"/>
        <w:tab w:val="clear" w:pos="9072"/>
        <w:tab w:val="left" w:pos="1995"/>
      </w:tabs>
    </w:pPr>
    <w:r>
      <w:tab/>
    </w:r>
    <w:r w:rsidR="008D796E">
      <w:rPr>
        <w:noProof/>
        <w:lang w:val="nl-NL" w:eastAsia="nl-NL"/>
      </w:rPr>
      <mc:AlternateContent>
        <mc:Choice Requires="wps">
          <w:drawing>
            <wp:anchor distT="0" distB="0" distL="114300" distR="114300" simplePos="0" relativeHeight="251659264" behindDoc="0" locked="1" layoutInCell="1" allowOverlap="1">
              <wp:simplePos x="0" y="0"/>
              <wp:positionH relativeFrom="page">
                <wp:posOffset>1260475</wp:posOffset>
              </wp:positionH>
              <wp:positionV relativeFrom="page">
                <wp:posOffset>10189210</wp:posOffset>
              </wp:positionV>
              <wp:extent cx="179705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25pt;margin-top:802.3pt;width:141.5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uC7gA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094" w:rsidRDefault="00A02CA5" w:rsidP="005B3E03">
      <w:r>
        <w:separator/>
      </w:r>
    </w:p>
    <w:p w:rsidR="002D0ACF" w:rsidRDefault="008D796E"/>
  </w:footnote>
  <w:footnote w:type="continuationSeparator" w:id="0">
    <w:p w:rsidR="00847094" w:rsidRDefault="00A02CA5" w:rsidP="005B3E03">
      <w:r>
        <w:continuationSeparator/>
      </w:r>
    </w:p>
    <w:p w:rsidR="002D0ACF" w:rsidRDefault="008D796E"/>
  </w:footnote>
  <w:footnote w:id="1">
    <w:p w:rsidR="00B930B5" w:rsidRDefault="00A02CA5">
      <w:pPr>
        <w:pStyle w:val="Voetnoottekst"/>
      </w:pPr>
      <w:r>
        <w:rPr>
          <w:rStyle w:val="Voetnootmarkering"/>
        </w:rPr>
        <w:footnoteRef/>
      </w:r>
      <w:r>
        <w:t xml:space="preserve"> </w:t>
      </w:r>
      <w:r>
        <w:tab/>
      </w:r>
      <w:r w:rsidRPr="00B930B5">
        <w:t>Kamerstukken II 20</w:t>
      </w:r>
      <w:r>
        <w:t xml:space="preserve">15/16, 31 409, nr. 92, </w:t>
      </w:r>
      <w:r w:rsidRPr="00B930B5">
        <w:t>Rapport “Schrappen mogelijkheid tot limiteren aansprakelijkheid wrakopruiming”, Asser Institute Centre for International &amp; European Law, 5 april 2016.</w:t>
      </w:r>
    </w:p>
  </w:footnote>
  <w:footnote w:id="2">
    <w:p w:rsidR="00B930B5" w:rsidRDefault="00A02CA5" w:rsidP="00B930B5">
      <w:pPr>
        <w:pStyle w:val="Voetnoottekst"/>
      </w:pPr>
      <w:r>
        <w:rPr>
          <w:rStyle w:val="Voetnootmarkering"/>
        </w:rPr>
        <w:footnoteRef/>
      </w:r>
      <w:r>
        <w:t xml:space="preserve">   Het op 19 november 1976 te Londen tot stand gekomen Verdrag inzake beperking van aansprakelijkheid voor maritieme vorderingen (Trb. 1980, 23). </w:t>
      </w:r>
      <w:r w:rsidRPr="00B930B5">
        <w:t>Het op 2 mei 1996 te Londen tot stand gekomen Protocol van 1996 tot wijziging van het Verdrag inzake beperking van aansprakelijkheid voor maritieme vorderingen (Trb. 19</w:t>
      </w:r>
      <w:r>
        <w:t>97, 300</w:t>
      </w:r>
      <w:r w:rsidRPr="00B930B5">
        <w:t>)</w:t>
      </w:r>
      <w:r>
        <w:t xml:space="preserve"> </w:t>
      </w:r>
      <w:r w:rsidRPr="00B930B5">
        <w:t>.</w:t>
      </w:r>
      <w:r>
        <w:t>Het Verdrag van Londen is goedgekeurd voor het hele Koninkrijk, bij Rijkswet van 14 juni 1969, Stb. 240, geciteerd in Trb. 1990, 111.</w:t>
      </w:r>
    </w:p>
  </w:footnote>
  <w:footnote w:id="3">
    <w:p w:rsidR="007A0B37" w:rsidRDefault="00A02CA5">
      <w:pPr>
        <w:pStyle w:val="Voetnoottekst"/>
      </w:pPr>
      <w:r>
        <w:rPr>
          <w:rStyle w:val="Voetnootmarkering"/>
        </w:rPr>
        <w:footnoteRef/>
      </w:r>
      <w:r>
        <w:t xml:space="preserve"> </w:t>
      </w:r>
      <w:r>
        <w:tab/>
        <w:t>Memorie van toelichting, paragraaf 2.7 Inhoud van het voorstel.</w:t>
      </w:r>
    </w:p>
  </w:footnote>
  <w:footnote w:id="4">
    <w:p w:rsidR="007A0B37" w:rsidRDefault="00A02CA5" w:rsidP="007A0B37">
      <w:pPr>
        <w:pStyle w:val="Voetnoottekst"/>
      </w:pPr>
      <w:r>
        <w:rPr>
          <w:rStyle w:val="Voetnootmarkering"/>
        </w:rPr>
        <w:footnoteRef/>
      </w:r>
      <w:r>
        <w:t xml:space="preserve"> </w:t>
      </w:r>
      <w:r>
        <w:tab/>
        <w:t xml:space="preserve">Kamerstukken II </w:t>
      </w:r>
      <w:r>
        <w:rPr>
          <w:rFonts w:cs="Univers"/>
          <w:szCs w:val="22"/>
        </w:rPr>
        <w:t>2008/09, 31 872 (R 1876), nr. 4.</w:t>
      </w:r>
      <w:r w:rsidRPr="0095760C">
        <w:rPr>
          <w:rFonts w:cs="Univers"/>
          <w:szCs w:val="22"/>
        </w:rPr>
        <w:t>“De memorie van toelichting bij het voorstel van rijkswet vermeldt dat de regering van Aruba zich nog beraadt over de wenselijkheid van medegelding van het Protocol. Het belangrijkste onderdeel van het Protocol is de verhoging van de toepasselijke aansprakelijkheidslimieten. De op dit punt bewerkstelligde internationale uniformiteit is van belang voor het Koninkrijk als maritieme en vlaggenstaat. Nu dit belang zich niet beperkt tot Nederland en de Nederlandse Antillen, is het naar het oordeel van de Raad aangewezen dat het Protocol ook op Aruba zal gelden. De Raad adviseert daarom medegelding in alle landen van het Koninkrijk te bevorderen.”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8D796E">
      <w:rPr>
        <w:rStyle w:val="Paginanummer"/>
        <w:noProof/>
      </w:rPr>
      <w:t>2</w:t>
    </w:r>
    <w:r>
      <w:rPr>
        <w:rStyle w:val="Paginanumm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B12BF9"/>
    <w:multiLevelType w:val="hybridMultilevel"/>
    <w:tmpl w:val="3392F438"/>
    <w:lvl w:ilvl="0" w:tplc="7C60154A">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nsid w:val="62286F77"/>
    <w:multiLevelType w:val="hybridMultilevel"/>
    <w:tmpl w:val="0E7AB4CE"/>
    <w:lvl w:ilvl="0" w:tplc="7C60154A">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nsid w:val="665C2249"/>
    <w:multiLevelType w:val="hybridMultilevel"/>
    <w:tmpl w:val="FA4CE7EE"/>
    <w:lvl w:ilvl="0" w:tplc="7C60154A">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C120D"/>
    <w:rsid w:val="00503044"/>
    <w:rsid w:val="006D3E6B"/>
    <w:rsid w:val="0071031E"/>
    <w:rsid w:val="00724C4B"/>
    <w:rsid w:val="00743D19"/>
    <w:rsid w:val="00831756"/>
    <w:rsid w:val="008D796E"/>
    <w:rsid w:val="009E72D2"/>
    <w:rsid w:val="009F579B"/>
    <w:rsid w:val="00A02CA5"/>
    <w:rsid w:val="00A349AF"/>
    <w:rsid w:val="00AA44F3"/>
    <w:rsid w:val="00B03C96"/>
    <w:rsid w:val="00B44919"/>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7A0B3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7A0B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491</ap:Words>
  <ap:Characters>2701</ap:Characters>
  <ap:DocSecurity>4</ap:DocSecurity>
  <ap:Lines>22</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3186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2018-10-17T08:55:00.0000000Z</dcterms:created>
  <dcterms:modified xsi:type="dcterms:W3CDTF">2018-10-17T08:55:00.0000000Z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0x0101009C3553F6C039784A84D912DCD1E7616C</vt:lpwstr>
  </property>
</Properties>
</file>