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2" w:rsidP="009B70C2" w:rsidRDefault="009B70C2">
      <w:pPr>
        <w:rPr>
          <w:rFonts w:asciiTheme="minorHAnsi" w:hAnsiTheme="minorHAnsi"/>
          <w:b/>
          <w:sz w:val="20"/>
          <w:szCs w:val="20"/>
        </w:rPr>
      </w:pPr>
      <w:bookmarkStart w:name="_GoBack" w:id="0"/>
      <w:bookmarkEnd w:id="0"/>
      <w:r w:rsidRPr="00DB45B6">
        <w:rPr>
          <w:rFonts w:asciiTheme="minorHAnsi" w:hAnsiTheme="minorHAnsi"/>
          <w:b/>
          <w:sz w:val="20"/>
          <w:szCs w:val="20"/>
        </w:rPr>
        <w:t xml:space="preserve">Overzicht nieuw gepubliceerde EU-voorstellen </w:t>
      </w:r>
    </w:p>
    <w:p w:rsidRPr="00DB45B6" w:rsidR="009B70C2" w:rsidP="009B70C2" w:rsidRDefault="009B70C2">
      <w:pPr>
        <w:rPr>
          <w:rFonts w:asciiTheme="minorHAnsi" w:hAnsiTheme="minorHAnsi"/>
          <w:b/>
          <w:sz w:val="20"/>
          <w:szCs w:val="20"/>
        </w:rPr>
      </w:pPr>
    </w:p>
    <w:p w:rsidR="009B70C2" w:rsidP="009B70C2" w:rsidRDefault="009B70C2">
      <w:pPr>
        <w:rPr>
          <w:rFonts w:asciiTheme="minorHAnsi" w:hAnsiTheme="minorHAnsi"/>
          <w:sz w:val="20"/>
          <w:szCs w:val="20"/>
          <w:u w:val="single"/>
        </w:rPr>
      </w:pPr>
      <w:r w:rsidRPr="00DB45B6">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4 oktober tot 25 oktober </w:t>
      </w:r>
      <w:r w:rsidRPr="00DB45B6">
        <w:rPr>
          <w:rFonts w:asciiTheme="minorHAnsi" w:hAnsiTheme="minorHAnsi"/>
          <w:sz w:val="20"/>
          <w:szCs w:val="20"/>
          <w:u w:val="single"/>
        </w:rPr>
        <w:t xml:space="preserve">- d.d. </w:t>
      </w:r>
      <w:r>
        <w:rPr>
          <w:rFonts w:asciiTheme="minorHAnsi" w:hAnsiTheme="minorHAnsi"/>
          <w:sz w:val="20"/>
          <w:szCs w:val="20"/>
          <w:u w:val="single"/>
        </w:rPr>
        <w:t xml:space="preserve">25 oktober </w:t>
      </w:r>
      <w:r w:rsidRPr="00DB45B6">
        <w:rPr>
          <w:rFonts w:asciiTheme="minorHAnsi" w:hAnsiTheme="minorHAnsi"/>
          <w:sz w:val="20"/>
          <w:szCs w:val="20"/>
          <w:u w:val="single"/>
        </w:rPr>
        <w:t>2018</w:t>
      </w:r>
    </w:p>
    <w:p w:rsidR="009B70C2" w:rsidP="009B70C2" w:rsidRDefault="009B70C2">
      <w:pPr>
        <w:rPr>
          <w:rFonts w:asciiTheme="minorHAnsi" w:hAnsiTheme="minorHAnsi"/>
          <w:sz w:val="20"/>
          <w:szCs w:val="20"/>
          <w:u w:val="single"/>
        </w:rPr>
      </w:pPr>
    </w:p>
    <w:p w:rsidR="009B70C2" w:rsidP="009B70C2" w:rsidRDefault="009B70C2">
      <w:pPr>
        <w:rPr>
          <w:rFonts w:asciiTheme="minorHAnsi" w:hAnsiTheme="minorHAnsi"/>
          <w:sz w:val="20"/>
          <w:szCs w:val="20"/>
          <w:u w:val="single"/>
        </w:rPr>
      </w:pPr>
    </w:p>
    <w:p w:rsidRPr="00DB45B6" w:rsidR="009B70C2" w:rsidP="009B70C2" w:rsidRDefault="009B70C2">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DB45B6" w:rsidR="009B70C2" w:rsidTr="007056B8">
        <w:trPr>
          <w:trHeight w:val="1550"/>
        </w:trPr>
        <w:tc>
          <w:tcPr>
            <w:tcW w:w="1433"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Publicatie-</w:t>
            </w:r>
          </w:p>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datum</w:t>
            </w:r>
          </w:p>
        </w:tc>
        <w:tc>
          <w:tcPr>
            <w:tcW w:w="709"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Voortouw</w:t>
            </w:r>
          </w:p>
        </w:tc>
        <w:tc>
          <w:tcPr>
            <w:tcW w:w="1559"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Soort</w:t>
            </w:r>
          </w:p>
        </w:tc>
        <w:tc>
          <w:tcPr>
            <w:tcW w:w="5386"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Titel</w:t>
            </w:r>
          </w:p>
        </w:tc>
        <w:tc>
          <w:tcPr>
            <w:tcW w:w="709"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COM-nummer</w:t>
            </w:r>
          </w:p>
        </w:tc>
        <w:tc>
          <w:tcPr>
            <w:tcW w:w="992" w:type="dxa"/>
            <w:textDirection w:val="btLr"/>
          </w:tcPr>
          <w:p w:rsidRPr="00DB45B6" w:rsidR="009B70C2" w:rsidP="007056B8" w:rsidRDefault="009B70C2">
            <w:pPr>
              <w:rPr>
                <w:rFonts w:asciiTheme="minorHAnsi" w:hAnsiTheme="minorHAnsi"/>
                <w:b/>
                <w:bCs/>
                <w:color w:val="000000"/>
                <w:sz w:val="20"/>
                <w:szCs w:val="20"/>
              </w:rPr>
            </w:pPr>
          </w:p>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Deadline</w:t>
            </w:r>
          </w:p>
          <w:p w:rsidRPr="00DB45B6" w:rsidR="009B70C2" w:rsidP="007056B8" w:rsidRDefault="009B70C2">
            <w:pPr>
              <w:rPr>
                <w:rFonts w:asciiTheme="minorHAnsi" w:hAnsiTheme="minorHAnsi"/>
                <w:b/>
                <w:bCs/>
                <w:color w:val="000000"/>
                <w:sz w:val="20"/>
                <w:szCs w:val="20"/>
              </w:rPr>
            </w:pPr>
            <w:proofErr w:type="spellStart"/>
            <w:r w:rsidRPr="00DB45B6">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Opmerking</w:t>
            </w:r>
          </w:p>
        </w:tc>
      </w:tr>
      <w:tr w:rsidRPr="00DB45B6" w:rsidR="009B70C2" w:rsidTr="007056B8">
        <w:trPr>
          <w:trHeight w:val="300"/>
        </w:trPr>
        <w:tc>
          <w:tcPr>
            <w:tcW w:w="1433" w:type="dxa"/>
            <w:tcBorders>
              <w:bottom w:val="single" w:color="auto" w:sz="4" w:space="0"/>
            </w:tcBorders>
            <w:shd w:val="clear" w:color="000000" w:fill="538DD5"/>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DB45B6" w:rsidR="009B70C2" w:rsidP="007056B8" w:rsidRDefault="009B70C2">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DB45B6" w:rsidR="009B70C2" w:rsidP="007056B8" w:rsidRDefault="009B70C2">
            <w:pPr>
              <w:rPr>
                <w:rFonts w:asciiTheme="minorHAnsi" w:hAnsiTheme="minorHAnsi"/>
                <w:b/>
                <w:bCs/>
                <w:color w:val="000000"/>
                <w:sz w:val="20"/>
                <w:szCs w:val="20"/>
              </w:rPr>
            </w:pPr>
            <w:r w:rsidRPr="00DB45B6">
              <w:rPr>
                <w:rFonts w:asciiTheme="minorHAnsi" w:hAnsiTheme="minorHAnsi"/>
                <w:b/>
                <w:bCs/>
                <w:color w:val="000000"/>
                <w:sz w:val="20"/>
                <w:szCs w:val="20"/>
              </w:rPr>
              <w:t> </w:t>
            </w:r>
          </w:p>
        </w:tc>
      </w:tr>
      <w:tr w:rsidRPr="00DB45B6" w:rsidR="009B70C2" w:rsidTr="0070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B70C2" w:rsidR="009B70C2" w:rsidP="009B70C2" w:rsidRDefault="009B70C2">
            <w:pPr>
              <w:rPr>
                <w:rFonts w:asciiTheme="minorHAnsi" w:hAnsiTheme="minorHAnsi"/>
                <w:color w:val="000000"/>
                <w:sz w:val="20"/>
                <w:szCs w:val="20"/>
              </w:rPr>
            </w:pPr>
            <w:r w:rsidRPr="009B70C2">
              <w:rPr>
                <w:rFonts w:asciiTheme="minorHAnsi" w:hAnsiTheme="minorHAnsi"/>
                <w:color w:val="000000"/>
                <w:sz w:val="20"/>
                <w:szCs w:val="20"/>
              </w:rPr>
              <w:t>11-okt-18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B70C2" w:rsidR="009B70C2" w:rsidP="007056B8" w:rsidRDefault="009B70C2">
            <w:pPr>
              <w:rPr>
                <w:rFonts w:asciiTheme="minorHAnsi" w:hAnsiTheme="minorHAnsi"/>
                <w:color w:val="000000"/>
                <w:sz w:val="20"/>
                <w:szCs w:val="20"/>
              </w:rPr>
            </w:pPr>
            <w:r w:rsidRPr="009B70C2">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B70C2" w:rsidR="009B70C2" w:rsidP="009B70C2" w:rsidRDefault="009B70C2">
            <w:pPr>
              <w:rPr>
                <w:rFonts w:asciiTheme="minorHAnsi" w:hAnsiTheme="minorHAnsi"/>
                <w:color w:val="000000"/>
                <w:sz w:val="20"/>
                <w:szCs w:val="20"/>
              </w:rPr>
            </w:pPr>
            <w:r w:rsidRPr="009B70C2">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9B70C2" w:rsidR="009B70C2" w:rsidP="007056B8" w:rsidRDefault="009B70C2">
            <w:pPr>
              <w:rPr>
                <w:rFonts w:asciiTheme="minorHAnsi" w:hAnsiTheme="minorHAnsi"/>
                <w:color w:val="000000"/>
                <w:sz w:val="20"/>
                <w:szCs w:val="20"/>
              </w:rPr>
            </w:pPr>
            <w:r w:rsidRPr="009B70C2">
              <w:rPr>
                <w:rFonts w:asciiTheme="minorHAnsi" w:hAnsiTheme="minorHAnsi"/>
                <w:color w:val="000000"/>
                <w:sz w:val="20"/>
                <w:szCs w:val="20"/>
              </w:rPr>
              <w:t>MEDEDELING VAN DE COMMISSIE AAN HET EUROPEES PARLEMENT, DE RAAD, HET EUROPEES ECONOMISCH EN SOCIAAL COMITÉ EN HET COMITÉ VAN DE REGIO'S Het jaarlijkse werkprogramma van de Unie voor Europese normalisatie voor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B70C2" w:rsidR="009B70C2" w:rsidP="007056B8" w:rsidRDefault="00845F76">
            <w:pPr>
              <w:rPr>
                <w:rFonts w:asciiTheme="minorHAnsi" w:hAnsiTheme="minorHAnsi"/>
                <w:color w:val="0000FF"/>
                <w:sz w:val="20"/>
                <w:szCs w:val="20"/>
                <w:u w:val="single"/>
              </w:rPr>
            </w:pPr>
            <w:hyperlink w:history="1" r:id="rId9">
              <w:r w:rsidRPr="009B70C2" w:rsidR="009B70C2">
                <w:rPr>
                  <w:rStyle w:val="Hyperlink"/>
                  <w:rFonts w:asciiTheme="minorHAnsi" w:hAnsiTheme="minorHAnsi"/>
                  <w:sz w:val="20"/>
                  <w:szCs w:val="20"/>
                </w:rPr>
                <w:t>COM (2018) 686</w:t>
              </w:r>
            </w:hyperlink>
            <w:hyperlink w:history="1" r:id="rId10"/>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F85EB0" w:rsidR="009B70C2" w:rsidP="007056B8" w:rsidRDefault="00F85EB0">
            <w:pPr>
              <w:rPr>
                <w:rFonts w:cs="Arial" w:asciiTheme="minorHAnsi" w:hAnsiTheme="minorHAnsi"/>
                <w:sz w:val="20"/>
                <w:szCs w:val="20"/>
              </w:rPr>
            </w:pPr>
            <w:r w:rsidRPr="00F85EB0">
              <w:rPr>
                <w:rFonts w:cs="Arial" w:asciiTheme="minorHAnsi" w:hAnsiTheme="minorHAnsi"/>
                <w:sz w:val="20"/>
                <w:szCs w:val="20"/>
              </w:rPr>
              <w:t>N.v.t.</w:t>
            </w:r>
            <w:r>
              <w:rPr>
                <w:rFonts w:cs="Arial" w:asciiTheme="minorHAnsi" w:hAnsiTheme="minorHAnsi"/>
                <w:sz w:val="20"/>
                <w:szCs w:val="20"/>
              </w:rPr>
              <w:t xml:space="preserve">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B70C2" w:rsidR="009B70C2" w:rsidP="007056B8" w:rsidRDefault="009B70C2">
            <w:pPr>
              <w:rPr>
                <w:rFonts w:asciiTheme="minorHAnsi" w:hAnsiTheme="minorHAnsi"/>
                <w:sz w:val="20"/>
                <w:szCs w:val="20"/>
              </w:rPr>
            </w:pPr>
            <w:r w:rsidRPr="009B70C2">
              <w:rPr>
                <w:rFonts w:asciiTheme="minorHAnsi" w:hAnsiTheme="minorHAnsi"/>
                <w:sz w:val="20"/>
                <w:szCs w:val="20"/>
                <w:u w:val="single"/>
              </w:rPr>
              <w:t>Voorstel:</w:t>
            </w:r>
            <w:r w:rsidR="00F85EB0">
              <w:rPr>
                <w:rFonts w:asciiTheme="minorHAnsi" w:hAnsiTheme="minorHAnsi"/>
                <w:sz w:val="20"/>
                <w:szCs w:val="20"/>
                <w:u w:val="single"/>
              </w:rPr>
              <w:t xml:space="preserve"> </w:t>
            </w:r>
            <w:r w:rsidR="00F85EB0">
              <w:rPr>
                <w:rFonts w:asciiTheme="minorHAnsi" w:hAnsiTheme="minorHAnsi"/>
                <w:sz w:val="20"/>
                <w:szCs w:val="20"/>
              </w:rPr>
              <w:t xml:space="preserve">Voor kennisgeving aannemen.  </w:t>
            </w:r>
            <w:r w:rsidRPr="009B70C2">
              <w:rPr>
                <w:rFonts w:asciiTheme="minorHAnsi" w:hAnsiTheme="minorHAnsi"/>
                <w:sz w:val="20"/>
                <w:szCs w:val="20"/>
              </w:rPr>
              <w:t xml:space="preserve"> </w:t>
            </w:r>
          </w:p>
          <w:p w:rsidRPr="009B70C2" w:rsidR="009B70C2" w:rsidP="00F85EB0" w:rsidRDefault="009B70C2">
            <w:pPr>
              <w:rPr>
                <w:rFonts w:asciiTheme="minorHAnsi" w:hAnsiTheme="minorHAnsi"/>
                <w:iCs/>
                <w:sz w:val="20"/>
                <w:szCs w:val="20"/>
              </w:rPr>
            </w:pPr>
            <w:r w:rsidRPr="009B70C2">
              <w:rPr>
                <w:rFonts w:asciiTheme="minorHAnsi" w:hAnsiTheme="minorHAnsi"/>
                <w:iCs/>
                <w:sz w:val="20"/>
                <w:szCs w:val="20"/>
                <w:u w:val="single"/>
              </w:rPr>
              <w:t>Noot:</w:t>
            </w:r>
            <w:r w:rsidRPr="009B70C2">
              <w:rPr>
                <w:rFonts w:asciiTheme="minorHAnsi" w:hAnsiTheme="minorHAnsi"/>
                <w:sz w:val="20"/>
                <w:szCs w:val="20"/>
              </w:rPr>
              <w:t xml:space="preserve"> </w:t>
            </w:r>
            <w:r w:rsidR="00F85EB0">
              <w:rPr>
                <w:rFonts w:asciiTheme="minorHAnsi" w:hAnsiTheme="minorHAnsi"/>
                <w:sz w:val="20"/>
                <w:szCs w:val="20"/>
              </w:rPr>
              <w:t xml:space="preserve">In het jaarlijkse EU-werkprogramma voor Europese normalisatie  zijn een aantal van de belangrijkste beleidsterreinen vastgesteld die vanuit dit oogpunt relevant zijn: energie, circulaire economie, defensie, veiligheid, interne markt en digitale eengemaakte markt.   </w:t>
            </w:r>
          </w:p>
        </w:tc>
      </w:tr>
    </w:tbl>
    <w:p w:rsidRPr="00DB45B6" w:rsidR="009B70C2" w:rsidP="009B70C2" w:rsidRDefault="009B70C2">
      <w:pPr>
        <w:autoSpaceDE w:val="0"/>
        <w:autoSpaceDN w:val="0"/>
        <w:rPr>
          <w:rFonts w:asciiTheme="minorHAnsi" w:hAnsiTheme="minorHAnsi"/>
          <w:b/>
          <w:sz w:val="22"/>
          <w:szCs w:val="22"/>
        </w:rPr>
      </w:pPr>
    </w:p>
    <w:p w:rsidR="009B70C2" w:rsidP="009B70C2" w:rsidRDefault="009B70C2">
      <w:pPr>
        <w:rPr>
          <w:rFonts w:asciiTheme="minorHAnsi" w:hAnsiTheme="minorHAnsi"/>
          <w:sz w:val="20"/>
          <w:szCs w:val="20"/>
        </w:rPr>
      </w:pPr>
      <w:r>
        <w:rPr>
          <w:rFonts w:asciiTheme="minorHAnsi" w:hAnsiTheme="minorHAnsi"/>
          <w:sz w:val="20"/>
          <w:szCs w:val="20"/>
        </w:rPr>
        <w:br w:type="page"/>
      </w:r>
    </w:p>
    <w:p w:rsidRPr="00DB45B6" w:rsidR="009B70C2" w:rsidP="009B70C2" w:rsidRDefault="009B70C2">
      <w:pPr>
        <w:rPr>
          <w:rFonts w:asciiTheme="minorHAnsi" w:hAnsiTheme="minorHAnsi"/>
          <w:sz w:val="20"/>
          <w:szCs w:val="20"/>
        </w:rPr>
      </w:pPr>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DB45B6" w:rsidR="009B70C2" w:rsidP="009B70C2" w:rsidRDefault="009B70C2">
      <w:pPr>
        <w:rPr>
          <w:rFonts w:asciiTheme="minorHAnsi" w:hAnsiTheme="minorHAnsi"/>
          <w:sz w:val="20"/>
          <w:szCs w:val="20"/>
        </w:rPr>
      </w:pPr>
      <w:r w:rsidRPr="00DB45B6">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DB45B6" w:rsidR="009B70C2" w:rsidP="009B70C2" w:rsidRDefault="009B70C2">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9B70C2" w:rsidTr="007056B8">
        <w:tc>
          <w:tcPr>
            <w:tcW w:w="2093" w:type="dxa"/>
          </w:tcPr>
          <w:p w:rsidRPr="00DB45B6" w:rsidR="009B70C2" w:rsidP="007056B8" w:rsidRDefault="009B70C2">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9B70C2" w:rsidP="007056B8" w:rsidRDefault="009B70C2">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9B70C2" w:rsidP="007056B8" w:rsidRDefault="009B70C2">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9B70C2" w:rsidTr="007056B8">
        <w:tc>
          <w:tcPr>
            <w:tcW w:w="14142" w:type="dxa"/>
            <w:gridSpan w:val="3"/>
          </w:tcPr>
          <w:p w:rsidRPr="00DB45B6" w:rsidR="009B70C2" w:rsidP="007056B8" w:rsidRDefault="009B70C2">
            <w:pPr>
              <w:rPr>
                <w:rFonts w:asciiTheme="minorHAnsi" w:hAnsiTheme="minorHAnsi"/>
                <w:i/>
                <w:sz w:val="20"/>
                <w:szCs w:val="20"/>
              </w:rPr>
            </w:pPr>
          </w:p>
          <w:p w:rsidRPr="00DB45B6" w:rsidR="009B70C2" w:rsidP="007056B8" w:rsidRDefault="009B70C2">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subsidiariteitstoets overwegen: let op termijn (zie hieronder).</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behandelvoorbehoud overwegen: let op termijn (zie hieronder).</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9B70C2" w:rsidP="007056B8" w:rsidRDefault="009B70C2">
            <w:pPr>
              <w:numPr>
                <w:ilvl w:val="0"/>
                <w:numId w:val="2"/>
              </w:numPr>
              <w:ind w:left="317" w:hanging="283"/>
              <w:rPr>
                <w:rFonts w:asciiTheme="minorHAnsi" w:hAnsiTheme="minorHAnsi"/>
                <w:sz w:val="20"/>
                <w:szCs w:val="20"/>
              </w:rPr>
            </w:pP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9B70C2" w:rsidP="007056B8" w:rsidRDefault="009B70C2">
            <w:pPr>
              <w:numPr>
                <w:ilvl w:val="0"/>
                <w:numId w:val="2"/>
              </w:numPr>
              <w:ind w:left="317" w:hanging="283"/>
              <w:rPr>
                <w:rFonts w:asciiTheme="minorHAnsi" w:hAnsiTheme="minorHAnsi"/>
                <w:sz w:val="20"/>
                <w:szCs w:val="20"/>
              </w:rPr>
            </w:pPr>
          </w:p>
        </w:tc>
      </w:tr>
      <w:tr w:rsidRPr="00DB45B6" w:rsidR="009B70C2" w:rsidTr="007056B8">
        <w:tc>
          <w:tcPr>
            <w:tcW w:w="14142" w:type="dxa"/>
            <w:gridSpan w:val="3"/>
          </w:tcPr>
          <w:p w:rsidRPr="00DB45B6" w:rsidR="009B70C2" w:rsidP="007056B8" w:rsidRDefault="009B70C2">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B45B6" w:rsidR="009B70C2" w:rsidP="007056B8" w:rsidRDefault="009B70C2">
            <w:pPr>
              <w:ind w:left="360"/>
              <w:rPr>
                <w:rFonts w:asciiTheme="minorHAnsi" w:hAnsiTheme="minorHAnsi"/>
                <w:sz w:val="20"/>
                <w:szCs w:val="20"/>
              </w:rPr>
            </w:pP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per brief of tijdens algemeen overleg/debat bevragen over stand van zaken en appreciatie EU onderhandelingen en NL inzet.</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1">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Handelingen vastgesteld volgens de regelgevingsprocedure met toetsing</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per brief of tijdens overleg bevragen over stand van zaken en appreciatie EU onderhandelingen en NL inzet, inclusief het voornemen van NL of andere lidstaten om binnen de Raad een bezwaarprocedure te initiëren.</w:t>
            </w:r>
          </w:p>
          <w:p w:rsidRPr="00DB45B6" w:rsidR="009B70C2" w:rsidP="007056B8" w:rsidRDefault="009B70C2">
            <w:pPr>
              <w:numPr>
                <w:ilvl w:val="0"/>
                <w:numId w:val="1"/>
              </w:numPr>
              <w:rPr>
                <w:rFonts w:asciiTheme="minorHAnsi" w:hAnsiTheme="minorHAnsi"/>
                <w:sz w:val="20"/>
                <w:szCs w:val="20"/>
              </w:rPr>
            </w:pP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Bijzondere rechtshandelingen</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9B70C2" w:rsidP="007056B8" w:rsidRDefault="009B70C2">
            <w:pPr>
              <w:rPr>
                <w:rFonts w:asciiTheme="minorHAnsi" w:hAnsiTheme="minorHAnsi"/>
                <w:sz w:val="20"/>
                <w:szCs w:val="20"/>
              </w:rPr>
            </w:pP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9B70C2" w:rsidP="007056B8" w:rsidRDefault="009B70C2">
            <w:pPr>
              <w:ind w:left="360"/>
              <w:rPr>
                <w:rFonts w:asciiTheme="minorHAnsi" w:hAnsiTheme="minorHAnsi"/>
                <w:sz w:val="20"/>
                <w:szCs w:val="20"/>
              </w:rPr>
            </w:pPr>
            <w:r w:rsidRPr="00DB45B6">
              <w:rPr>
                <w:rFonts w:asciiTheme="minorHAnsi" w:hAnsiTheme="minorHAnsi"/>
                <w:sz w:val="20"/>
                <w:szCs w:val="20"/>
              </w:rPr>
              <w:t>nationale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9B70C2" w:rsidTr="007056B8">
        <w:tc>
          <w:tcPr>
            <w:tcW w:w="14142" w:type="dxa"/>
            <w:gridSpan w:val="3"/>
          </w:tcPr>
          <w:p w:rsidRPr="00DB45B6" w:rsidR="009B70C2" w:rsidP="007056B8" w:rsidRDefault="009B70C2">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Advies, aanbeveling, mededeling</w:t>
            </w:r>
          </w:p>
          <w:p w:rsidRPr="00DB45B6" w:rsidR="009B70C2" w:rsidP="007056B8" w:rsidRDefault="009B70C2">
            <w:pPr>
              <w:jc w:val="right"/>
              <w:rPr>
                <w:rFonts w:asciiTheme="minorHAnsi" w:hAnsiTheme="minorHAnsi"/>
                <w:sz w:val="20"/>
                <w:szCs w:val="20"/>
              </w:rPr>
            </w:pPr>
          </w:p>
          <w:p w:rsidRPr="00DB45B6" w:rsidR="009B70C2" w:rsidP="007056B8" w:rsidRDefault="009B70C2">
            <w:pPr>
              <w:jc w:val="right"/>
              <w:rPr>
                <w:rFonts w:asciiTheme="minorHAnsi" w:hAnsiTheme="minorHAnsi"/>
                <w:sz w:val="20"/>
                <w:szCs w:val="20"/>
              </w:rPr>
            </w:pPr>
          </w:p>
          <w:p w:rsidRPr="00DB45B6" w:rsidR="009B70C2" w:rsidP="007056B8" w:rsidRDefault="009B70C2">
            <w:pPr>
              <w:jc w:val="right"/>
              <w:rPr>
                <w:rFonts w:asciiTheme="minorHAnsi" w:hAnsiTheme="minorHAnsi"/>
                <w:sz w:val="20"/>
                <w:szCs w:val="20"/>
              </w:rPr>
            </w:pPr>
          </w:p>
          <w:p w:rsidRPr="00DB45B6" w:rsidR="009B70C2" w:rsidP="007056B8" w:rsidRDefault="009B70C2">
            <w:pPr>
              <w:jc w:val="right"/>
              <w:rPr>
                <w:rFonts w:asciiTheme="minorHAnsi" w:hAnsiTheme="minorHAnsi"/>
                <w:sz w:val="20"/>
                <w:szCs w:val="20"/>
              </w:rPr>
            </w:pPr>
          </w:p>
          <w:p w:rsidRPr="00DB45B6" w:rsidR="009B70C2" w:rsidP="007056B8" w:rsidRDefault="009B70C2">
            <w:pPr>
              <w:jc w:val="right"/>
              <w:rPr>
                <w:rFonts w:asciiTheme="minorHAnsi" w:hAnsiTheme="minorHAnsi"/>
                <w:sz w:val="20"/>
                <w:szCs w:val="20"/>
              </w:rPr>
            </w:pPr>
          </w:p>
        </w:tc>
        <w:tc>
          <w:tcPr>
            <w:tcW w:w="6946" w:type="dxa"/>
          </w:tcPr>
          <w:p w:rsidRPr="00DB45B6" w:rsidR="009B70C2" w:rsidP="007056B8" w:rsidRDefault="009B70C2">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De EU kent een grote hoeveelheid uiteenlopende typen beleid (‘soft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9B70C2" w:rsidP="007056B8" w:rsidRDefault="009B70C2">
            <w:pPr>
              <w:rPr>
                <w:rFonts w:asciiTheme="minorHAnsi" w:hAnsiTheme="minorHAnsi"/>
                <w:sz w:val="20"/>
                <w:szCs w:val="20"/>
              </w:rPr>
            </w:pPr>
          </w:p>
          <w:p w:rsidRPr="00DB45B6" w:rsidR="009B70C2" w:rsidP="007056B8" w:rsidRDefault="009B70C2">
            <w:pPr>
              <w:rPr>
                <w:rFonts w:asciiTheme="minorHAnsi" w:hAnsiTheme="minorHAnsi"/>
                <w:sz w:val="20"/>
                <w:szCs w:val="20"/>
              </w:rPr>
            </w:pPr>
          </w:p>
          <w:p w:rsidRPr="00DB45B6" w:rsidR="009B70C2" w:rsidP="007056B8" w:rsidRDefault="009B70C2">
            <w:pPr>
              <w:rPr>
                <w:rFonts w:asciiTheme="minorHAnsi" w:hAnsiTheme="minorHAnsi"/>
                <w:sz w:val="20"/>
                <w:szCs w:val="20"/>
              </w:rPr>
            </w:pPr>
          </w:p>
          <w:p w:rsidRPr="00DB45B6" w:rsidR="009B70C2" w:rsidP="007056B8" w:rsidRDefault="009B70C2">
            <w:pPr>
              <w:rPr>
                <w:rFonts w:asciiTheme="minorHAnsi" w:hAnsiTheme="minorHAnsi"/>
                <w:sz w:val="20"/>
                <w:szCs w:val="20"/>
              </w:rPr>
            </w:pPr>
          </w:p>
          <w:p w:rsidRPr="00DB45B6" w:rsidR="009B70C2" w:rsidP="007056B8" w:rsidRDefault="009B70C2">
            <w:pPr>
              <w:rPr>
                <w:rFonts w:asciiTheme="minorHAnsi" w:hAnsiTheme="minorHAnsi"/>
                <w:sz w:val="20"/>
                <w:szCs w:val="20"/>
              </w:rPr>
            </w:pPr>
          </w:p>
        </w:tc>
      </w:tr>
      <w:tr w:rsidRPr="00DB45B6" w:rsidR="009B70C2" w:rsidTr="007056B8">
        <w:tc>
          <w:tcPr>
            <w:tcW w:w="14142" w:type="dxa"/>
            <w:gridSpan w:val="3"/>
          </w:tcPr>
          <w:p w:rsidRPr="00DB45B6" w:rsidR="009B70C2" w:rsidP="007056B8" w:rsidRDefault="009B70C2">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9B70C2" w:rsidP="007056B8" w:rsidRDefault="009B70C2">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omtrent een onderwerp. Ook doet ze aanbevelingen voor nieuw beleid. </w:t>
            </w:r>
          </w:p>
          <w:p w:rsidRPr="00DB45B6" w:rsidR="009B70C2" w:rsidP="007056B8" w:rsidRDefault="009B70C2">
            <w:pPr>
              <w:rPr>
                <w:rFonts w:asciiTheme="minorHAnsi" w:hAnsiTheme="minorHAnsi"/>
                <w:sz w:val="20"/>
                <w:szCs w:val="20"/>
              </w:rPr>
            </w:pPr>
          </w:p>
          <w:p w:rsidRPr="00DB45B6" w:rsidR="009B70C2" w:rsidP="007056B8" w:rsidRDefault="009B70C2">
            <w:pPr>
              <w:rPr>
                <w:rFonts w:asciiTheme="minorHAnsi" w:hAnsiTheme="minorHAnsi"/>
                <w:sz w:val="20"/>
                <w:szCs w:val="20"/>
              </w:rPr>
            </w:pPr>
            <w:r w:rsidRPr="00DB45B6">
              <w:rPr>
                <w:rFonts w:asciiTheme="minorHAnsi" w:hAnsiTheme="minorHAnsi"/>
                <w:sz w:val="20"/>
                <w:szCs w:val="20"/>
              </w:rPr>
              <w:t>Witboek: hierin zet de Europese Commissie uiteen hoe zij bepaalde doelen wil bereiken. Vaak worden in een witboek al concrete voorstellen uitgewerkt en toegelicht.</w:t>
            </w:r>
          </w:p>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desgewenst ambtenaren EC of Europees Commissaris uitnodigen voor een toelichting.</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in commissieverband (via schriftelijke inbreng in de vorm van een politieke dialoog) of als lid, burger of via fracties een reactie sturen aan de Europese Commissie.</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Openbare raadpleging (consultatie)</w:t>
            </w:r>
          </w:p>
        </w:tc>
        <w:tc>
          <w:tcPr>
            <w:tcW w:w="6946" w:type="dxa"/>
          </w:tcPr>
          <w:p w:rsidRPr="00DB45B6" w:rsidR="009B70C2" w:rsidP="007056B8" w:rsidRDefault="009B70C2">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9B70C2" w:rsidP="007056B8" w:rsidRDefault="009B70C2">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9B70C2" w:rsidP="007056B8" w:rsidRDefault="009B70C2">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kabinet verzoeken om de concept-kabinetsreactie naar de Kamer te sturen voordat de definitieve versie naar de Europese Commissie wordt gestuurd, teneinde desgewenst hierover met de bewindspersoon in gesprek te treden.</w:t>
            </w:r>
          </w:p>
          <w:p w:rsidRPr="00DB45B6" w:rsidR="009B70C2" w:rsidP="007056B8" w:rsidRDefault="009B70C2">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de Kamer ontvangt krachtens de standaard-informatieafspraken de definitieve kabinetsreactie op alle consultaties van de Europese Commissie waarop het kabinet reageert.</w:t>
            </w:r>
          </w:p>
        </w:tc>
      </w:tr>
      <w:tr w:rsidRPr="00DB45B6" w:rsidR="009B70C2" w:rsidTr="007056B8">
        <w:tc>
          <w:tcPr>
            <w:tcW w:w="14142" w:type="dxa"/>
            <w:gridSpan w:val="3"/>
          </w:tcPr>
          <w:p w:rsidRPr="00DB45B6" w:rsidR="009B70C2" w:rsidP="007056B8" w:rsidRDefault="009B70C2">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9B70C2" w:rsidP="007056B8" w:rsidRDefault="009B70C2">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9B70C2" w:rsidP="007056B8" w:rsidRDefault="009B70C2">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 xml:space="preserve">met andere parlementen in overleg treden t.b.v. behalen meerderheid voor ’gele kaart’ (1/3 stemmen) via parlementaire vertegenwoordiging en/of fractielijnen. </w:t>
            </w:r>
          </w:p>
        </w:tc>
      </w:tr>
      <w:tr w:rsidRPr="00DB45B6" w:rsidR="009B70C2" w:rsidTr="007056B8">
        <w:tc>
          <w:tcPr>
            <w:tcW w:w="2093" w:type="dxa"/>
          </w:tcPr>
          <w:p w:rsidRPr="00DB45B6" w:rsidR="009B70C2" w:rsidP="007056B8" w:rsidRDefault="009B70C2">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9B70C2" w:rsidP="007056B8" w:rsidRDefault="009B70C2">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commissie besluiten tot het uitvoeren van een zgn. ‘behandelvoorbehoud’. Over deze brief moet plenair gestemd worden (let op de termijnen).</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9B70C2" w:rsidP="007056B8" w:rsidRDefault="009B70C2">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9B70C2" w:rsidP="007056B8" w:rsidRDefault="009B70C2">
            <w:pPr>
              <w:rPr>
                <w:rFonts w:asciiTheme="minorHAnsi" w:hAnsiTheme="minorHAnsi"/>
                <w:sz w:val="20"/>
                <w:szCs w:val="20"/>
              </w:rPr>
            </w:pPr>
          </w:p>
        </w:tc>
      </w:tr>
    </w:tbl>
    <w:p w:rsidR="009B70C2" w:rsidP="009B70C2" w:rsidRDefault="009B70C2"/>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C2" w:rsidRDefault="009B70C2" w:rsidP="009B70C2">
      <w:r>
        <w:separator/>
      </w:r>
    </w:p>
  </w:endnote>
  <w:endnote w:type="continuationSeparator" w:id="0">
    <w:p w:rsidR="009B70C2" w:rsidRDefault="009B70C2" w:rsidP="009B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C2" w:rsidRDefault="009B70C2" w:rsidP="009B70C2">
      <w:r>
        <w:separator/>
      </w:r>
    </w:p>
  </w:footnote>
  <w:footnote w:type="continuationSeparator" w:id="0">
    <w:p w:rsidR="009B70C2" w:rsidRDefault="009B70C2" w:rsidP="009B70C2">
      <w:r>
        <w:continuationSeparator/>
      </w:r>
    </w:p>
  </w:footnote>
  <w:footnote w:id="1">
    <w:p w:rsidR="009B70C2" w:rsidRDefault="009B70C2" w:rsidP="009B70C2">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B70C2" w:rsidRPr="00B45904" w:rsidRDefault="009B70C2" w:rsidP="009B70C2">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C2"/>
    <w:rsid w:val="00433D6E"/>
    <w:rsid w:val="00845F76"/>
    <w:rsid w:val="009B70C2"/>
    <w:rsid w:val="00F618A7"/>
    <w:rsid w:val="00F85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0C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70C2"/>
    <w:rPr>
      <w:color w:val="0000FF"/>
      <w:u w:val="single"/>
    </w:rPr>
  </w:style>
  <w:style w:type="paragraph" w:styleId="Voetnoottekst">
    <w:name w:val="footnote text"/>
    <w:basedOn w:val="Standaard"/>
    <w:link w:val="VoetnoottekstChar"/>
    <w:rsid w:val="009B70C2"/>
    <w:rPr>
      <w:sz w:val="20"/>
      <w:szCs w:val="20"/>
    </w:rPr>
  </w:style>
  <w:style w:type="character" w:customStyle="1" w:styleId="VoetnoottekstChar">
    <w:name w:val="Voetnoottekst Char"/>
    <w:basedOn w:val="Standaardalinea-lettertype"/>
    <w:link w:val="Voetnoottekst"/>
    <w:rsid w:val="009B70C2"/>
  </w:style>
  <w:style w:type="table" w:styleId="Tabelraster">
    <w:name w:val="Table Grid"/>
    <w:basedOn w:val="Standaardtabel"/>
    <w:rsid w:val="009B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9B7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0C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70C2"/>
    <w:rPr>
      <w:color w:val="0000FF"/>
      <w:u w:val="single"/>
    </w:rPr>
  </w:style>
  <w:style w:type="paragraph" w:styleId="Voetnoottekst">
    <w:name w:val="footnote text"/>
    <w:basedOn w:val="Standaard"/>
    <w:link w:val="VoetnoottekstChar"/>
    <w:rsid w:val="009B70C2"/>
    <w:rPr>
      <w:sz w:val="20"/>
      <w:szCs w:val="20"/>
    </w:rPr>
  </w:style>
  <w:style w:type="character" w:customStyle="1" w:styleId="VoetnoottekstChar">
    <w:name w:val="Voetnoottekst Char"/>
    <w:basedOn w:val="Standaardalinea-lettertype"/>
    <w:link w:val="Voetnoottekst"/>
    <w:rsid w:val="009B70C2"/>
  </w:style>
  <w:style w:type="table" w:styleId="Tabelraster">
    <w:name w:val="Table Grid"/>
    <w:basedOn w:val="Standaardtabel"/>
    <w:rsid w:val="009B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9B7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80320.do" TargetMode="External" Id="rId10" /><Relationship Type="http://schemas.microsoft.com/office/2007/relationships/stylesWithEffects" Target="stylesWithEffects.xml" Id="rId4" /><Relationship Type="http://schemas.openxmlformats.org/officeDocument/2006/relationships/hyperlink" Target="http://www.ipex.eu/IPEXL-WEB/dossier/document/COM20180686.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2403</ap:Words>
  <ap:Characters>13217</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2018-10-25T09:59:00.0000000Z</dcterms:created>
  <dcterms:modified xsi:type="dcterms:W3CDTF">2018-10-25T09:59:00.0000000Z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0x010100A8C234EA7B703342BD3311F34F8AE36A</vt:lpwstr>
  </property>
</Properties>
</file>