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W04.18.0189/I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 augustus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F0760" w:rsidRDefault="00C502EE">
              <w:r>
                <w:t>Bij Kabinetsmissive van 12 juli 2018, no.2018001277, heeft Uwe Majesteit, op voordracht van de Minister van Binnenlandse Zaken en Koninkrijksrelaties, bij de Afdeling advisering van de Raad van State ter overweging aanhangig gemaakt het voorstel van wet tot wijziging van de Huisvestingswet 2014 ter verduidelijking van woonruimteverdeling van middenhuurwoningen en van de Woningwet ter vereenvoudiging van de goedkeuringsprocedure voor werkzaamheden die niet behoren tot diensten van algemeen economisch belang (Wet maatregelen middenhuur), met memorie van toelichting.</w:t>
              </w:r>
            </w:p>
          </w:sdtContent>
        </w:sdt>
        <w:p w:rsidR="0071031E" w:rsidRDefault="0071031E"/>
        <w:sdt>
          <w:sdtPr>
            <w:alias w:val="VrijeTekst1"/>
            <w:tag w:val="VrijeTekst1"/>
            <w:id w:val="-437221631"/>
            <w:lock w:val="sdtLocked"/>
          </w:sdtPr>
          <w:sdtEndPr/>
          <w:sdtContent>
            <w:p w:rsidR="000C0F7B" w:rsidP="00FF035E" w:rsidRDefault="00C502EE">
              <w:r>
                <w:t xml:space="preserve">Het voorstel beoogt door middel van wijzigingen van de Huisvestingswet 2014 en van de Woningwet belemmeringen weg te nemen met het oog op het vergroten van het aanbod huurwoningen met een </w:t>
              </w:r>
              <w:proofErr w:type="spellStart"/>
              <w:r>
                <w:t>middenhuur</w:t>
              </w:r>
              <w:proofErr w:type="spellEnd"/>
              <w:r>
                <w:t xml:space="preserve">. </w:t>
              </w:r>
            </w:p>
            <w:p w:rsidR="00FD05F2" w:rsidP="00FD05F2" w:rsidRDefault="00580221"/>
            <w:p w:rsidR="00FD05F2" w:rsidP="00FD05F2" w:rsidRDefault="00C502EE">
              <w:r w:rsidRPr="00FD05F2">
                <w:t>De Afdeling advisering van de Raad van State</w:t>
              </w:r>
              <w:r>
                <w:t xml:space="preserve"> concludeert dat de voorgestelde wijziging van de Huisvestingswet 2014 overbodig is en bovendien de reikwijdte van die wet op ongewenste wijze verruimt. Voorts merkt zij op dat de versoepeling van de regels voor de activiteiten van woningcorporaties die niet samenhangen met diensten van algemeen economisch belang (niet-DAEB-activiteiten) vergt dat inzichtelijk wordt gemaakt welke waarborgen een transparante en eerlijke mededinging tussen corporaties en marktpartijen verzekeren. In verband met deze opmerkingen </w:t>
              </w:r>
              <w:r w:rsidRPr="00FD05F2">
                <w:t xml:space="preserve">adviseert </w:t>
              </w:r>
              <w:r>
                <w:t xml:space="preserve">de Afdeling </w:t>
              </w:r>
              <w:r w:rsidRPr="00FD05F2">
                <w:t xml:space="preserve">het voorstel aan de Tweede Kamer te zenden, maar acht </w:t>
              </w:r>
              <w:r>
                <w:t xml:space="preserve">zij </w:t>
              </w:r>
              <w:r w:rsidRPr="00FD05F2">
                <w:t xml:space="preserve">aanpassing van het voorstel </w:t>
              </w:r>
              <w:r>
                <w:t xml:space="preserve">op deze punten </w:t>
              </w:r>
              <w:r w:rsidRPr="00FD05F2">
                <w:t>aangewezen.</w:t>
              </w:r>
            </w:p>
            <w:p w:rsidR="00FD05F2" w:rsidP="00FF035E" w:rsidRDefault="00580221"/>
            <w:p w:rsidR="00B3430A" w:rsidP="00FF035E" w:rsidRDefault="00C502EE">
              <w:r>
                <w:t>1.</w:t>
              </w:r>
              <w:r>
                <w:tab/>
              </w:r>
              <w:r w:rsidRPr="00B11303">
                <w:rPr>
                  <w:u w:val="single"/>
                </w:rPr>
                <w:t>Huisvestingswet 2014</w:t>
              </w:r>
            </w:p>
            <w:p w:rsidR="00B11303" w:rsidP="00FF035E" w:rsidRDefault="00580221"/>
            <w:p w:rsidR="00E9586F" w:rsidP="00120FA4" w:rsidRDefault="00C502EE">
              <w:r>
                <w:t>De Huisvestingswet 2014 biedt gemeenten instrumenten om in te grijpen in de woonruimteverdeling voor het bestrijden van onevenwichtige en onrechtvaardige effecten van schaarste aan goedkope woonruimte. Het kan daarbij zowel om huur- als om koopwoningen gaan. In de Huisvestingswet 2014 is bewust gekozen voor een beperking van de reikwijdte van de wet tot goedkope woonruimte. Vanwege de inbreuk die wordt gemaakt op de vrijheid van vestiging, zoals die voortvloeit uit onder andere het EVRM,</w:t>
              </w:r>
              <w:r>
                <w:rPr>
                  <w:rStyle w:val="Voetnootmarkering"/>
                </w:rPr>
                <w:footnoteReference w:id="1"/>
              </w:r>
              <w:r>
                <w:t xml:space="preserve"> werd overheidsbemoeienis met de woonruimteverdeling pas rechtvaardig geacht:</w:t>
              </w:r>
            </w:p>
            <w:p w:rsidR="00E9586F" w:rsidRDefault="00C502EE">
              <w:pPr>
                <w:pStyle w:val="Lijstalinea"/>
                <w:numPr>
                  <w:ilvl w:val="0"/>
                  <w:numId w:val="1"/>
                </w:numPr>
                <w:ind w:left="426" w:hanging="426"/>
              </w:pPr>
              <w:r>
                <w:t xml:space="preserve">wanneer er sprake is van schaarste of dreigende schaarste aan in het bijzonder goedkope woonruimte, </w:t>
              </w:r>
            </w:p>
            <w:p w:rsidR="00E9586F" w:rsidRDefault="00C502EE">
              <w:pPr>
                <w:pStyle w:val="Lijstalinea"/>
                <w:numPr>
                  <w:ilvl w:val="0"/>
                  <w:numId w:val="1"/>
                </w:numPr>
                <w:ind w:left="426" w:hanging="426"/>
              </w:pPr>
              <w:r>
                <w:t xml:space="preserve">als gevolg waarvan de huisvesting van bepaalde groepen woningzoekenden met een verhoudingsgewijs zwakke positie op de woningmarkt in gevaar komt en </w:t>
              </w:r>
            </w:p>
            <w:p w:rsidR="00885127" w:rsidRDefault="00C502EE">
              <w:pPr>
                <w:pStyle w:val="Lijstalinea"/>
                <w:numPr>
                  <w:ilvl w:val="0"/>
                  <w:numId w:val="1"/>
                </w:numPr>
                <w:ind w:left="426" w:hanging="426"/>
              </w:pPr>
              <w:r>
                <w:t xml:space="preserve">zonder overheidsingrijpen een onaanvaardbare situatie ontstaat.  </w:t>
              </w:r>
            </w:p>
            <w:p w:rsidR="00120FA4" w:rsidP="00120FA4" w:rsidRDefault="00580221"/>
            <w:p w:rsidR="00885127" w:rsidRDefault="00C502EE">
              <w:r>
                <w:t xml:space="preserve">In de Huisvestingswet 2014 is gemeentelijk ingrijpen in de woningmarkt dan ook beperkt tot de situatie waarin schaarste bestaat aan goedkope woningen. Daarbij is echter geen absolute grens gesteld aan de ‘goedkope’ woningvoorraad, omdat deze per gemeente kan verschillen. De grens kan, bijvoorbeeld, in de Randstad hoger liggen </w:t>
              </w:r>
              <w:r>
                <w:lastRenderedPageBreak/>
                <w:t>dan in Groningen of Limburg.</w:t>
              </w:r>
              <w:r>
                <w:rPr>
                  <w:rStyle w:val="Voetnootmarkering"/>
                </w:rPr>
                <w:footnoteReference w:id="2"/>
              </w:r>
              <w:r>
                <w:t xml:space="preserve"> De lokale situatie op de woningmarkt (huur en koop) kan er dan ook toe leiden dat het stellen van een hogere grens in de rede ligt. Hierbij dienen principes van noodzakelijkheid en proportionaliteit, die uit internationale verdragen en het Europese recht voortvloeien, in acht te worden genomen. </w:t>
              </w:r>
            </w:p>
            <w:p w:rsidR="00A8519F" w:rsidP="005F748D" w:rsidRDefault="00580221"/>
            <w:p w:rsidR="000C6BE7" w:rsidP="00FF035E" w:rsidRDefault="00C502EE">
              <w:r>
                <w:t xml:space="preserve">In de praktijk blijkt dat ‘goedkoop’ door gemeenten wordt geïnterpreteerd als ‘onder de huurtoeslaggrens’. Aansluiten bij de huurtoeslaggrens zal veelal in de rede liggen. De wet biedt gemeenten evenwel de ruimte om een andere grens te stellen, afhankelijk van de lokale omstandigheden. In de Samenwerkingstafel </w:t>
              </w:r>
              <w:proofErr w:type="spellStart"/>
              <w:r>
                <w:t>middenhuur</w:t>
              </w:r>
              <w:proofErr w:type="spellEnd"/>
              <w:r>
                <w:t xml:space="preserve"> is gebleken dat echter bij gemeenten onduidelijkheid bestaat over de vraag of de Huisvestingswet 2014 ook voor huurwoningen boven de huurtoeslaggrens de mogelijkheid biedt om de toewijzing te reguleren. Hierdoor is voor gemeenten onduidelijk welke mogelijkheden de Huisvestingswet 2014 biedt voor het sturen op toewijzing van huurwoningen aan middeninkomens.</w:t>
              </w:r>
              <w:r>
                <w:rPr>
                  <w:rStyle w:val="Voetnootmarkering"/>
                </w:rPr>
                <w:footnoteReference w:id="3"/>
              </w:r>
              <w:r>
                <w:t xml:space="preserve"> Om de kennelijk gerezen twijfels op dit punt weg te nemen wordt een wijziging van de Huisvestingswet 2014 voorgesteld waarbij in de wet ‘goedkope woningen’ wordt vervangen door ‘schaarse woningen’.</w:t>
              </w:r>
            </w:p>
            <w:p w:rsidR="000C6BE7" w:rsidDel="00120FA4" w:rsidP="00FF035E" w:rsidRDefault="00580221"/>
            <w:p w:rsidR="00885127" w:rsidRDefault="00C502EE">
              <w:r>
                <w:t xml:space="preserve">De Afdeling onderschrijft, gelet op de hiervoor gegeven schets van het stelsel, dat ook </w:t>
              </w:r>
              <w:proofErr w:type="spellStart"/>
              <w:r>
                <w:t>middenhuurwoningen</w:t>
              </w:r>
              <w:proofErr w:type="spellEnd"/>
              <w:r>
                <w:t xml:space="preserve"> in het huidige stelsel onder omstandigheden onder het instrumentarium van de Huisvestingswet 2014 kunnen worden gebracht. Er is geen grens gesteld aan de goedkope woningvoorraad, omdat deze per gemeente kan verschillen. Dit brengt mee, zoals bij de totstandkoming uitdrukkelijk is onderkend, dat de lokale situatie op de woningmarkt (huur en koop) ertoe kan leiden dat het stellen van een hogere grens in de rede ligt. </w:t>
              </w:r>
            </w:p>
            <w:p w:rsidR="00A8519F" w:rsidP="00A8519F" w:rsidRDefault="00C502EE">
              <w:r>
                <w:t xml:space="preserve">Indien kennelijk vanuit de praktijk blijkt dat hierover misverstanden of twijfels leven, onderschrijft de Afdeling de wens om deze weg te nemen en de bedoeling van de bestaande wettekst te verduidelijken. Daartoe zouden wellicht ook andere instrumenten dan wetgeving kunnen worden ingezet. In ieder geval dient ervoor te worden gewaakt dat aanpassingen méér inhouden dan een verduidelijking van de bestaande wettekst. Daaraan voldoet het voorliggende voorstel echter niet. </w:t>
              </w:r>
            </w:p>
            <w:p w:rsidR="00A8519F" w:rsidP="002C6092" w:rsidRDefault="00580221"/>
            <w:p w:rsidR="00B3430A" w:rsidP="00FF035E" w:rsidRDefault="00C502EE">
              <w:r>
                <w:t xml:space="preserve">Met de voorgestelde wijziging geldt ‘schaarste aan woonruimte’ voortaan nog als enige criterium voor de inzet van het gemeentelijke instrumentarium. Dit betekent, gelet op vorenstaande schets van het stelsel, een aanzienlijke uitbreiding van de reikwijdte van de Huisvestingswet 2014. Met de voorgestelde wijzigingen krijgen gemeenten immers de mogelijkheid dit instrumentarium in te zetten in álle segmenten van de woningmarkt zodra sprake is van schaarste. De huidige gespannen situatie op de woningmarkt – in sommige gemeenten, ook, in de hoogste segmenten – illustreert het potentiële gevolg hiervan. Het huidige uitgangspunt dat de Huisvestingswet 2014 zich richt op de huisvesting van bepaalde groepen woningzoekenden met een verhoudingsgewijs zwakke positie op de woningmarkt wordt daarmee verlaten. Dit vergt opnieuw doordenking van de verhouding tussen de opportuniteit van de inzet van dit instrumentarium en de inbreuk die daarmee op (ook in verdragen neergelegde) vrijheden wordt gemaakt. De voorgestelde wijziging gaat daarmee ook het bestek van wat er blijkens de toelichting mee wordt beoogd (verduidelijking huidig stelsel in relatie tot </w:t>
              </w:r>
              <w:proofErr w:type="spellStart"/>
              <w:r>
                <w:t>middenhuur</w:t>
              </w:r>
              <w:proofErr w:type="spellEnd"/>
              <w:r>
                <w:t xml:space="preserve">) ver te buiten. </w:t>
              </w:r>
            </w:p>
            <w:p w:rsidR="002836BD" w:rsidP="00FF035E" w:rsidRDefault="00580221"/>
            <w:p w:rsidR="00B95252" w:rsidP="00FF035E" w:rsidRDefault="00C502EE">
              <w:r>
                <w:lastRenderedPageBreak/>
                <w:t>Gelet op het vorenstaande adviseert de Afdeling de voorgestelde wijzigingen van de Huisvestingswet 2014 te schrappen. Indien een wijziging van de Huisvestingswet 2014 wenselijk wordt geacht om te verduidelijken dat onder omstandigheden ook woningen boven de huurtoeslaggrenzen binnen de reikwijdte van de wet kunnen worden gebracht, dient zeker te worden gesteld dat zo’n wijziging daartoe beperkt blijft.</w:t>
              </w:r>
            </w:p>
            <w:p w:rsidR="005A2CFD" w:rsidP="00FF035E" w:rsidRDefault="00580221"/>
            <w:p w:rsidR="005A2CFD" w:rsidP="00FF035E" w:rsidRDefault="00C502EE">
              <w:r>
                <w:t>2.</w:t>
              </w:r>
              <w:r>
                <w:tab/>
              </w:r>
              <w:r w:rsidRPr="001E567C">
                <w:rPr>
                  <w:u w:val="single"/>
                </w:rPr>
                <w:t>Woningwet</w:t>
              </w:r>
            </w:p>
            <w:p w:rsidR="00B95252" w:rsidP="00FF035E" w:rsidRDefault="00580221"/>
            <w:p w:rsidR="008D14E6" w:rsidP="00FF035E" w:rsidRDefault="00C502EE">
              <w:r>
                <w:t>In de Woningwet is het werkdomein van woningcorporaties (‘toegelaten instellingen’) bepaald. De kerntaak is het bouwen, verhuren en beheren van gereguleerde huurwoningen voor mensen met een laag inkomen en specifieke doelgroepen die om andere redenen moeilijk passende huisvesting kunnen vinden.</w:t>
              </w:r>
              <w:r>
                <w:rPr>
                  <w:rStyle w:val="Voetnootmarkering"/>
                </w:rPr>
                <w:footnoteReference w:id="4"/>
              </w:r>
              <w:r>
                <w:t xml:space="preserve"> De werkzaamheden van corporaties die samenhangen met de kerntaak zijn benoemd als zgn. ‘dienst van algemeen economisch belang’ (DAEB). Daarnaast is het corporaties beperkt toegestaan om andere werkzaamheden te verrichten, zolang deze ten dienste staan aan de kerntaak. Voor dergelijke werkzaamheden, die worden aangemerkt als niet-DAEB-activiteit, heeft de corporatie in principe goedkeuring nodig van de minister.</w:t>
              </w:r>
              <w:r>
                <w:rPr>
                  <w:rStyle w:val="Voetnootmarkering"/>
                </w:rPr>
                <w:footnoteReference w:id="5"/>
              </w:r>
              <w:r>
                <w:t xml:space="preserve"> Hiermee is beoogd de werkzaamheden van de corporaties terug te brengen naar hun kernactiviteiten. </w:t>
              </w:r>
            </w:p>
            <w:p w:rsidR="008D14E6" w:rsidP="00FF035E" w:rsidRDefault="00580221"/>
            <w:p w:rsidR="001D1698" w:rsidP="00FF035E" w:rsidRDefault="00C502EE">
              <w:r>
                <w:t xml:space="preserve">De voorgestelde wijziging van artikel 44c van de Woningwet strekt ertoe de goedkeuringsprocedure voor werkzaamheden die niet behoren tot de kerntaken van woningcorporaties, zoals de realisatie van huurwoningen in het middensegment, te vereenvoudigen. </w:t>
              </w:r>
            </w:p>
            <w:p w:rsidR="001D1698" w:rsidP="00FF035E" w:rsidRDefault="00580221"/>
            <w:p w:rsidR="002500E8" w:rsidP="00FF035E" w:rsidRDefault="00C502EE">
              <w:r>
                <w:t xml:space="preserve">De Afdeling begrijpt de voorgestelde vereenvoudiging waar het gaat om gevallen waar de markttoets geen of beperkte waarde zal hebben omdat op voorhand te verwachten is dat marktpartijen geen interesse zullen hebben. Dat is bijvoorbeeld het geval, zoals geschetst in het rapport van de voorzitter van Samenwerkingstafel </w:t>
              </w:r>
              <w:proofErr w:type="spellStart"/>
              <w:r>
                <w:t>middenhuur</w:t>
              </w:r>
              <w:proofErr w:type="spellEnd"/>
              <w:r>
                <w:t>, wanneer het gaat om herstructurering op grond die in erfpacht is gegeven aan een corporatie.</w:t>
              </w:r>
              <w:r>
                <w:rPr>
                  <w:rStyle w:val="Voetnootmarkering"/>
                </w:rPr>
                <w:footnoteReference w:id="6"/>
              </w:r>
              <w:r>
                <w:t xml:space="preserve"> </w:t>
              </w:r>
            </w:p>
            <w:p w:rsidR="002500E8" w:rsidP="00FF035E" w:rsidRDefault="00580221"/>
            <w:p w:rsidR="007633B1" w:rsidP="00BE7B4A" w:rsidRDefault="00C502EE">
              <w:r>
                <w:t>De voorgestelde wijziging ziet echter niet enkel op het vereenvoudigen en versnellen van de procedure, maar maakt het mogelijk dat het de niet-DAEB-tak van corporaties wordt toegestaan om vanaf het begin van de marktverkenning op gelijke voet met marktpartijen mee te dingen. Vanaf 1 januari 2018 dienen de niet-DAEB-werkzaamheden van een corporatie te worden verricht binnen een zelfstandig levensvatbare en financierbare tak. Daarom is, voor niet-DAEB-activiteiten, een achtergestelde positie van corporaties niet meer nodig om een gelijk speelveld te creëren met marktpartijen, aldus de toelichting.</w:t>
              </w:r>
              <w:r>
                <w:rPr>
                  <w:rStyle w:val="Voetnootmarkering"/>
                </w:rPr>
                <w:footnoteReference w:id="7"/>
              </w:r>
              <w:r>
                <w:t xml:space="preserve"> </w:t>
              </w:r>
            </w:p>
            <w:p w:rsidR="007633B1" w:rsidP="00BE7B4A" w:rsidRDefault="00580221"/>
            <w:p w:rsidR="007633B1" w:rsidP="00BE7B4A" w:rsidRDefault="00C502EE">
              <w:r>
                <w:t xml:space="preserve">Een dergelijke versoepeling is alleen dan verantwoord indien is verzekerd dat het stelsel als geheel voldoende waarborgen bevat om een transparante en eerlijke mededinging tussen corporaties en marktpartijen te bewerkstelligen. Het is op </w:t>
              </w:r>
              <w:r>
                <w:lastRenderedPageBreak/>
                <w:t>voorhand niet duidelijk dat in alle gevallen hieraan wordt voldaan. Zo zullen corporaties, vanuit de contacten die zij onderhouden met gemeenten vanuit hun kerntaak, immers vaak eerder en beter op de hoogte zijn van lokale projecten dan marktpartijen. Uit de Samenwerkingstafel bleek dat investeerders de publicatie van gemeentelijke voornemens voor projecten niet goed kunnen vinden, bijvoorbeeld omdat het gaat om kleinere projecten en gemeenten.</w:t>
              </w:r>
              <w:r>
                <w:rPr>
                  <w:rStyle w:val="Voetnootmarkering"/>
                </w:rPr>
                <w:footnoteReference w:id="8"/>
              </w:r>
              <w:r>
                <w:t xml:space="preserve"> Het voornemen om in het Besluit toegelaten instellingen volkshuisvesting 2015 (</w:t>
              </w:r>
              <w:proofErr w:type="spellStart"/>
              <w:r>
                <w:t>Btiv</w:t>
              </w:r>
              <w:proofErr w:type="spellEnd"/>
              <w:r>
                <w:t xml:space="preserve"> 2015) voor te schrijven dat corporaties geen toestemming zullen krijgen voor nieuwe niet-DAEB-werkzaamheden indien de gemeente dergelijke projecten niet heeft gepubliceerd via een digitaal platform met landelijk bereik, </w:t>
              </w:r>
              <w:r w:rsidRPr="007633B1">
                <w:t>zal hieraan slechts deels tegemoet kunnen komen</w:t>
              </w:r>
              <w:r>
                <w:t xml:space="preserve">. </w:t>
              </w:r>
            </w:p>
            <w:p w:rsidR="00604B8E" w:rsidP="00BE7B4A" w:rsidRDefault="00580221"/>
            <w:p w:rsidR="00D12CB9" w:rsidRDefault="00C502EE">
              <w:r>
                <w:t xml:space="preserve">Gelet op het vorenstaande is de Afdeling van oordeel dat de voorgestelde versoepeling van artikel 44c van de Woningwet vergt </w:t>
              </w:r>
              <w:r w:rsidRPr="00604B8E">
                <w:t>dat</w:t>
              </w:r>
              <w:r>
                <w:t xml:space="preserve"> </w:t>
              </w:r>
              <w:r w:rsidRPr="00604B8E">
                <w:t xml:space="preserve">inzichtelijk wordt gemaakt welke </w:t>
              </w:r>
              <w:r>
                <w:t xml:space="preserve">verschillende waarborgen een transparante en eerlijke mededinging tussen corporaties en marktpartijen in het totale traject, van bekendmaking tot selectie en toewijzing, verzekeren. De Afdeling adviseert hierop in de toelichting nader in te gaan en zo nodig het voorstel aan te vullen.  </w:t>
              </w:r>
            </w:p>
            <w:p w:rsidR="00D12CB9" w:rsidRDefault="00580221"/>
            <w:p w:rsidR="00D12CB9" w:rsidRDefault="00580221"/>
            <w:p w:rsidR="00D12CB9" w:rsidRDefault="00580221"/>
            <w:p w:rsidR="00D12CB9" w:rsidRDefault="00580221"/>
            <w:p w:rsidR="00D12CB9" w:rsidRDefault="00580221"/>
            <w:p w:rsidR="00885127" w:rsidRDefault="00580221"/>
          </w:sdtContent>
        </w:sdt>
        <w:p w:rsidR="003A1FC7" w:rsidRDefault="003A1FC7"/>
        <w:sdt>
          <w:sdtPr>
            <w:alias w:val="Dictum"/>
            <w:tag w:val="Dictum"/>
            <w:id w:val="1621489950"/>
            <w:lock w:val="sdtContentLocked"/>
            <w:placeholder>
              <w:docPart w:val="DefaultPlaceholder_1082065158"/>
            </w:placeholder>
            <w:text w:multiLine="1"/>
          </w:sdtPr>
          <w:sdtEndPr/>
          <w:sdtContent>
            <w:p w:rsidR="006F0760" w:rsidRDefault="00C502EE">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6F0760"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C502EE" w:rsidP="005B3E03">
      <w:r>
        <w:separator/>
      </w:r>
    </w:p>
    <w:p w:rsidR="002D0ACF" w:rsidRDefault="00580221"/>
  </w:endnote>
  <w:endnote w:type="continuationSeparator" w:id="0">
    <w:p w:rsidR="00847094" w:rsidRDefault="00C502EE" w:rsidP="005B3E03">
      <w:r>
        <w:continuationSeparator/>
      </w:r>
    </w:p>
    <w:p w:rsidR="002D0ACF" w:rsidRDefault="00580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C502EE" w:rsidP="005B3E03">
      <w:r>
        <w:separator/>
      </w:r>
    </w:p>
    <w:p w:rsidR="002D0ACF" w:rsidRDefault="00580221"/>
  </w:footnote>
  <w:footnote w:type="continuationSeparator" w:id="0">
    <w:p w:rsidR="00847094" w:rsidRDefault="00C502EE" w:rsidP="005B3E03">
      <w:r>
        <w:continuationSeparator/>
      </w:r>
    </w:p>
    <w:p w:rsidR="002D0ACF" w:rsidRDefault="00580221"/>
  </w:footnote>
  <w:footnote w:id="1">
    <w:p w:rsidR="004071FD" w:rsidRDefault="00C502EE" w:rsidP="004071FD">
      <w:pPr>
        <w:pStyle w:val="Voetnoottekst"/>
      </w:pPr>
      <w:r>
        <w:rPr>
          <w:rStyle w:val="Voetnootmarkering"/>
        </w:rPr>
        <w:footnoteRef/>
      </w:r>
      <w:r>
        <w:tab/>
        <w:t>Memorie van toelichting bij het voorstel voor de Huisvestingswet 2014 (Kamerstukken II 2009/10, 32 271, nr. 3, blz. 4 en 15).</w:t>
      </w:r>
    </w:p>
  </w:footnote>
  <w:footnote w:id="2">
    <w:p w:rsidR="005F748D" w:rsidRDefault="00C502EE" w:rsidP="005F748D">
      <w:pPr>
        <w:pStyle w:val="Voetnoottekst"/>
      </w:pPr>
      <w:r>
        <w:rPr>
          <w:rStyle w:val="Voetnootmarkering"/>
        </w:rPr>
        <w:footnoteRef/>
      </w:r>
      <w:r>
        <w:tab/>
        <w:t>Kamerstukken II 2009/10, 32 271, nr. 3, p. 21.</w:t>
      </w:r>
    </w:p>
  </w:footnote>
  <w:footnote w:id="3">
    <w:p w:rsidR="00A8519F" w:rsidRDefault="00C502EE" w:rsidP="00A8519F">
      <w:pPr>
        <w:pStyle w:val="Voetnoottekst"/>
      </w:pPr>
      <w:r>
        <w:rPr>
          <w:rStyle w:val="Voetnootmarkering"/>
        </w:rPr>
        <w:footnoteRef/>
      </w:r>
      <w:r>
        <w:t xml:space="preserve"> </w:t>
      </w:r>
      <w:r>
        <w:tab/>
        <w:t>Toelichting, paragraaf 3.1.</w:t>
      </w:r>
    </w:p>
  </w:footnote>
  <w:footnote w:id="4">
    <w:p w:rsidR="00ED32F2" w:rsidRDefault="00C502EE">
      <w:pPr>
        <w:pStyle w:val="Voetnoottekst"/>
      </w:pPr>
      <w:r>
        <w:rPr>
          <w:rStyle w:val="Voetnootmarkering"/>
        </w:rPr>
        <w:footnoteRef/>
      </w:r>
      <w:r>
        <w:t xml:space="preserve"> </w:t>
      </w:r>
      <w:r>
        <w:tab/>
        <w:t>Toelichting, paragraaf 3.2.</w:t>
      </w:r>
    </w:p>
  </w:footnote>
  <w:footnote w:id="5">
    <w:p w:rsidR="00D95339" w:rsidRDefault="00C502EE">
      <w:pPr>
        <w:pStyle w:val="Voetnoottekst"/>
      </w:pPr>
      <w:r>
        <w:rPr>
          <w:rStyle w:val="Voetnootmarkering"/>
        </w:rPr>
        <w:footnoteRef/>
      </w:r>
      <w:r>
        <w:t xml:space="preserve"> </w:t>
      </w:r>
      <w:r>
        <w:tab/>
        <w:t>Artikel 44c Woningwet.</w:t>
      </w:r>
    </w:p>
  </w:footnote>
  <w:footnote w:id="6">
    <w:p w:rsidR="008D14E6" w:rsidRDefault="00C502EE">
      <w:pPr>
        <w:pStyle w:val="Voetnoottekst"/>
      </w:pPr>
      <w:r>
        <w:rPr>
          <w:rStyle w:val="Voetnootmarkering"/>
        </w:rPr>
        <w:footnoteRef/>
      </w:r>
      <w:r>
        <w:t xml:space="preserve"> </w:t>
      </w:r>
      <w:r>
        <w:tab/>
        <w:t xml:space="preserve">R. van Gijzel, Samen bouwen aan </w:t>
      </w:r>
      <w:proofErr w:type="spellStart"/>
      <w:r>
        <w:t>middenhuur</w:t>
      </w:r>
      <w:proofErr w:type="spellEnd"/>
      <w:r>
        <w:t xml:space="preserve">, Ervaringen van één jaar Samenwerkingstafel </w:t>
      </w:r>
      <w:proofErr w:type="spellStart"/>
      <w:r>
        <w:t>middenhuur</w:t>
      </w:r>
      <w:proofErr w:type="spellEnd"/>
      <w:r>
        <w:t>, januari 2018, p. 26.</w:t>
      </w:r>
    </w:p>
  </w:footnote>
  <w:footnote w:id="7">
    <w:p w:rsidR="007E2A59" w:rsidRDefault="00C502EE">
      <w:pPr>
        <w:pStyle w:val="Voetnoottekst"/>
      </w:pPr>
      <w:r>
        <w:rPr>
          <w:rStyle w:val="Voetnootmarkering"/>
        </w:rPr>
        <w:footnoteRef/>
      </w:r>
      <w:r>
        <w:t xml:space="preserve"> </w:t>
      </w:r>
      <w:r>
        <w:tab/>
        <w:t>Toelichting, paragraaf 3.2.2.</w:t>
      </w:r>
    </w:p>
  </w:footnote>
  <w:footnote w:id="8">
    <w:p w:rsidR="00346CAF" w:rsidRDefault="00C502EE">
      <w:pPr>
        <w:pStyle w:val="Voetnoottekst"/>
      </w:pPr>
      <w:r>
        <w:rPr>
          <w:rStyle w:val="Voetnootmarkering"/>
        </w:rPr>
        <w:footnoteRef/>
      </w:r>
      <w:r>
        <w:t xml:space="preserve"> </w:t>
      </w:r>
      <w:r>
        <w:tab/>
      </w:r>
      <w:r w:rsidRPr="00346CAF">
        <w:t xml:space="preserve">R. van Gijzel, Samen bouwen aan </w:t>
      </w:r>
      <w:proofErr w:type="spellStart"/>
      <w:r w:rsidRPr="00346CAF">
        <w:t>middenhuur</w:t>
      </w:r>
      <w:proofErr w:type="spellEnd"/>
      <w:r w:rsidRPr="00346CAF">
        <w:t xml:space="preserve">, Ervaringen van één jaar Samenwerkingstafel </w:t>
      </w:r>
      <w:proofErr w:type="spellStart"/>
      <w:r w:rsidRPr="00346CAF">
        <w:t>middenhuur</w:t>
      </w:r>
      <w:proofErr w:type="spellEnd"/>
      <w:r w:rsidRPr="00346CAF">
        <w:t xml:space="preserve">, januari 2018, </w:t>
      </w:r>
      <w:r>
        <w:t>p</w:t>
      </w:r>
      <w:r w:rsidRPr="00346CAF">
        <w:t>. 2</w:t>
      </w:r>
      <w:r>
        <w:t>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80221">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1D72"/>
    <w:multiLevelType w:val="hybridMultilevel"/>
    <w:tmpl w:val="0448828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80221"/>
    <w:rsid w:val="006D3E6B"/>
    <w:rsid w:val="006F0760"/>
    <w:rsid w:val="0071031E"/>
    <w:rsid w:val="00724C4B"/>
    <w:rsid w:val="00743D19"/>
    <w:rsid w:val="00831756"/>
    <w:rsid w:val="009E72D2"/>
    <w:rsid w:val="00A349AF"/>
    <w:rsid w:val="00AA44F3"/>
    <w:rsid w:val="00B03C96"/>
    <w:rsid w:val="00B44919"/>
    <w:rsid w:val="00C02F92"/>
    <w:rsid w:val="00C502EE"/>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B11303"/>
    <w:rPr>
      <w:vertAlign w:val="superscript"/>
    </w:rPr>
  </w:style>
  <w:style w:type="character" w:styleId="Hyperlink">
    <w:name w:val="Hyperlink"/>
    <w:basedOn w:val="Standaardalinea-lettertype"/>
    <w:rsid w:val="00D565D7"/>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B11303"/>
    <w:rPr>
      <w:vertAlign w:val="superscript"/>
    </w:rPr>
  </w:style>
  <w:style w:type="character" w:styleId="Hyperlink">
    <w:name w:val="Hyperlink"/>
    <w:basedOn w:val="Standaardalinea-lettertype"/>
    <w:rsid w:val="00D565D7"/>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1604</ap:Words>
  <ap:Characters>8822</ap:Characters>
  <ap:DocSecurity>4</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2018-08-03T10:35:00.0000000Z</lastPrinted>
  <dcterms:created xsi:type="dcterms:W3CDTF">2018-09-13T14:15:00.0000000Z</dcterms:created>
  <dcterms:modified xsi:type="dcterms:W3CDTF">2018-09-13T14:15:00.0000000Z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0x010100EDA777E8BEFF284FBC4929E201634CAF</vt:lpwstr>
  </property>
</Properties>
</file>