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355BB" w:rsidR="005355BB" w:rsidP="005355BB" w:rsidRDefault="005355BB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5355BB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5355BB" w:rsidR="005355BB" w:rsidP="005355BB" w:rsidRDefault="005355BB">
      <w:pPr>
        <w:rPr>
          <w:rFonts w:ascii="Arial" w:hAnsi="Arial" w:cs="Arial"/>
          <w:sz w:val="22"/>
          <w:szCs w:val="22"/>
        </w:rPr>
      </w:pPr>
      <w:r w:rsidRPr="005355BB">
        <w:rPr>
          <w:rFonts w:ascii="Arial" w:hAnsi="Arial" w:cs="Arial"/>
          <w:sz w:val="22"/>
          <w:szCs w:val="22"/>
        </w:rPr>
        <w:br/>
        <w:t>Aan de orde is de behandeling van:</w:t>
      </w:r>
    </w:p>
    <w:p w:rsidRPr="005355BB" w:rsidR="005355BB" w:rsidP="005355BB" w:rsidRDefault="005355B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355BB">
        <w:rPr>
          <w:rFonts w:ascii="Arial" w:hAnsi="Arial" w:cs="Arial"/>
          <w:b/>
          <w:bCs/>
          <w:sz w:val="22"/>
          <w:szCs w:val="22"/>
        </w:rPr>
        <w:t>het wetsvoorstel Wijziging van de Wet uitkeringen burger-oorlogsslachtoffers 1940-1945 en de Wet uitkeringen vervolgingsslachtoffers 1940-1945 in verband met een wijziging in de berekening van het voordeel uit sparen en beleggen in de Wet inkomstenbelasting 2001 per 1 januari 2017 (34879).</w:t>
      </w:r>
    </w:p>
    <w:p w:rsidR="005355BB" w:rsidP="005355BB" w:rsidRDefault="005355BB">
      <w:bookmarkStart w:name="_GoBack" w:id="0"/>
      <w:bookmarkEnd w:id="0"/>
      <w:r w:rsidRPr="005355BB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</w:t>
      </w:r>
    </w:p>
    <w:p w:rsidRPr="005355BB" w:rsidR="005355BB" w:rsidP="005355BB" w:rsidRDefault="005355B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4B53"/>
    <w:multiLevelType w:val="multilevel"/>
    <w:tmpl w:val="03A4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BB"/>
    <w:rsid w:val="0043607C"/>
    <w:rsid w:val="005355BB"/>
    <w:rsid w:val="009450A4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5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2018-09-14T07:07:00.0000000Z</dcterms:created>
  <dcterms:modified xsi:type="dcterms:W3CDTF">2018-09-14T07:07:00.0000000Z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0x0101004814F264DD103D4F81EF13DED33E7049</vt:lpwstr>
  </property>
</Properties>
</file>