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221383" w:rsidR="009D0028" w:rsidP="009D0028" w:rsidRDefault="009D0028" w14:paraId="4F07ED1F" w14:textId="77777777">
      <w:pPr>
        <w:rPr>
          <w:rFonts w:asciiTheme="minorHAnsi" w:hAnsiTheme="minorHAnsi"/>
          <w:b/>
          <w:sz w:val="20"/>
          <w:szCs w:val="20"/>
        </w:rPr>
      </w:pPr>
      <w:bookmarkStart w:name="_GoBack" w:id="0"/>
      <w:bookmarkEnd w:id="0"/>
      <w:r w:rsidRPr="00221383">
        <w:rPr>
          <w:rFonts w:asciiTheme="minorHAnsi" w:hAnsiTheme="minorHAnsi"/>
          <w:b/>
          <w:sz w:val="20"/>
          <w:szCs w:val="20"/>
        </w:rPr>
        <w:t xml:space="preserve">Overzicht nieuw gepubliceerde EU-voorstellen </w:t>
      </w:r>
    </w:p>
    <w:p w:rsidRPr="00221383" w:rsidR="009D0028" w:rsidP="009D0028" w:rsidRDefault="009D0028" w14:paraId="7E20AF06" w14:textId="77777777">
      <w:pPr>
        <w:rPr>
          <w:rFonts w:asciiTheme="minorHAnsi" w:hAnsiTheme="minorHAnsi"/>
          <w:sz w:val="20"/>
          <w:szCs w:val="20"/>
        </w:rPr>
      </w:pPr>
    </w:p>
    <w:p w:rsidRPr="00221383" w:rsidR="009D0028" w:rsidP="009D0028" w:rsidRDefault="009D0028" w14:paraId="46E7878B" w14:textId="4E089AF2">
      <w:pPr>
        <w:rPr>
          <w:rFonts w:asciiTheme="minorHAnsi" w:hAnsiTheme="minorHAnsi"/>
          <w:sz w:val="20"/>
          <w:szCs w:val="20"/>
          <w:u w:val="single"/>
        </w:rPr>
      </w:pPr>
      <w:r w:rsidRPr="00221383">
        <w:rPr>
          <w:rFonts w:asciiTheme="minorHAnsi" w:hAnsiTheme="minorHAnsi"/>
          <w:sz w:val="20"/>
          <w:szCs w:val="20"/>
          <w:u w:val="single"/>
        </w:rPr>
        <w:t xml:space="preserve">Integraal overzicht met nieuw gepubliceerde EU-voorstellen van </w:t>
      </w:r>
      <w:r w:rsidR="00103ACC">
        <w:rPr>
          <w:rFonts w:asciiTheme="minorHAnsi" w:hAnsiTheme="minorHAnsi"/>
          <w:sz w:val="20"/>
          <w:szCs w:val="20"/>
          <w:u w:val="single"/>
        </w:rPr>
        <w:t xml:space="preserve">29 augustus </w:t>
      </w:r>
      <w:r w:rsidRPr="00221383" w:rsidR="00242218">
        <w:rPr>
          <w:rFonts w:asciiTheme="minorHAnsi" w:hAnsiTheme="minorHAnsi"/>
          <w:sz w:val="20"/>
          <w:szCs w:val="20"/>
          <w:u w:val="single"/>
        </w:rPr>
        <w:t xml:space="preserve"> 2018 </w:t>
      </w:r>
      <w:r w:rsidRPr="00221383">
        <w:rPr>
          <w:rFonts w:asciiTheme="minorHAnsi" w:hAnsiTheme="minorHAnsi"/>
          <w:sz w:val="20"/>
          <w:szCs w:val="20"/>
          <w:u w:val="single"/>
        </w:rPr>
        <w:t xml:space="preserve">tot </w:t>
      </w:r>
      <w:r w:rsidR="00103ACC">
        <w:rPr>
          <w:rFonts w:asciiTheme="minorHAnsi" w:hAnsiTheme="minorHAnsi"/>
          <w:sz w:val="20"/>
          <w:szCs w:val="20"/>
          <w:u w:val="single"/>
        </w:rPr>
        <w:t>10 september</w:t>
      </w:r>
      <w:r w:rsidRPr="00221383">
        <w:rPr>
          <w:rFonts w:asciiTheme="minorHAnsi" w:hAnsiTheme="minorHAnsi"/>
          <w:sz w:val="20"/>
          <w:szCs w:val="20"/>
          <w:u w:val="single"/>
        </w:rPr>
        <w:t xml:space="preserve"> 201</w:t>
      </w:r>
      <w:r w:rsidRPr="00221383" w:rsidR="00C870AD">
        <w:rPr>
          <w:rFonts w:asciiTheme="minorHAnsi" w:hAnsiTheme="minorHAnsi"/>
          <w:sz w:val="20"/>
          <w:szCs w:val="20"/>
          <w:u w:val="single"/>
        </w:rPr>
        <w:t>8</w:t>
      </w:r>
      <w:r w:rsidRPr="00221383">
        <w:rPr>
          <w:rFonts w:asciiTheme="minorHAnsi" w:hAnsiTheme="minorHAnsi"/>
          <w:sz w:val="20"/>
          <w:szCs w:val="20"/>
          <w:u w:val="single"/>
        </w:rPr>
        <w:t xml:space="preserve"> - d.d. </w:t>
      </w:r>
      <w:r w:rsidR="00103ACC">
        <w:rPr>
          <w:rFonts w:asciiTheme="minorHAnsi" w:hAnsiTheme="minorHAnsi"/>
          <w:sz w:val="20"/>
          <w:szCs w:val="20"/>
          <w:u w:val="single"/>
        </w:rPr>
        <w:t>10 september</w:t>
      </w:r>
      <w:r w:rsidRPr="00221383" w:rsidR="00242218">
        <w:rPr>
          <w:rFonts w:asciiTheme="minorHAnsi" w:hAnsiTheme="minorHAnsi"/>
          <w:sz w:val="20"/>
          <w:szCs w:val="20"/>
          <w:u w:val="single"/>
        </w:rPr>
        <w:t xml:space="preserve"> 2018</w:t>
      </w:r>
      <w:r w:rsidRPr="00221383" w:rsidR="00150630">
        <w:rPr>
          <w:rFonts w:asciiTheme="minorHAnsi" w:hAnsiTheme="minorHAnsi"/>
          <w:sz w:val="20"/>
          <w:szCs w:val="20"/>
          <w:u w:val="single"/>
        </w:rPr>
        <w:t xml:space="preserve">. </w:t>
      </w:r>
    </w:p>
    <w:p w:rsidRPr="00221383" w:rsidR="009D0028" w:rsidP="009D0028" w:rsidRDefault="009D0028" w14:paraId="3B47BDD5" w14:textId="77777777">
      <w:pPr>
        <w:rPr>
          <w:rFonts w:asciiTheme="minorHAnsi" w:hAnsiTheme="minorHAnsi"/>
          <w:sz w:val="20"/>
          <w:szCs w:val="20"/>
        </w:rPr>
      </w:pPr>
    </w:p>
    <w:tbl>
      <w:tblPr>
        <w:tblW w:w="14474"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1149"/>
        <w:gridCol w:w="567"/>
        <w:gridCol w:w="1418"/>
        <w:gridCol w:w="5103"/>
        <w:gridCol w:w="1134"/>
        <w:gridCol w:w="709"/>
        <w:gridCol w:w="4394"/>
      </w:tblGrid>
      <w:tr w:rsidRPr="00A63116" w:rsidR="009D0028" w:rsidTr="00AF48D8" w14:paraId="4DBEADD1" w14:textId="77777777">
        <w:trPr>
          <w:trHeight w:val="1550"/>
        </w:trPr>
        <w:tc>
          <w:tcPr>
            <w:tcW w:w="1149" w:type="dxa"/>
            <w:shd w:val="clear" w:color="auto" w:fill="auto"/>
            <w:textDirection w:val="btLr"/>
            <w:vAlign w:val="bottom"/>
            <w:hideMark/>
          </w:tcPr>
          <w:p w:rsidRPr="00A63116" w:rsidR="009D0028" w:rsidP="00512762" w:rsidRDefault="009D0028" w14:paraId="4A4A6227" w14:textId="77777777">
            <w:pPr>
              <w:rPr>
                <w:rFonts w:asciiTheme="minorHAnsi" w:hAnsiTheme="minorHAnsi"/>
                <w:b/>
                <w:bCs/>
                <w:color w:val="000000"/>
                <w:sz w:val="20"/>
                <w:szCs w:val="20"/>
              </w:rPr>
            </w:pPr>
            <w:r w:rsidRPr="00A63116">
              <w:rPr>
                <w:rFonts w:asciiTheme="minorHAnsi" w:hAnsiTheme="minorHAnsi"/>
                <w:b/>
                <w:bCs/>
                <w:color w:val="000000"/>
                <w:sz w:val="20"/>
                <w:szCs w:val="20"/>
              </w:rPr>
              <w:t>Publicatie-</w:t>
            </w:r>
          </w:p>
          <w:p w:rsidRPr="00A63116" w:rsidR="009D0028" w:rsidP="00512762" w:rsidRDefault="009D0028" w14:paraId="22A460D7" w14:textId="77777777">
            <w:pPr>
              <w:rPr>
                <w:rFonts w:asciiTheme="minorHAnsi" w:hAnsiTheme="minorHAnsi"/>
                <w:b/>
                <w:bCs/>
                <w:color w:val="000000"/>
                <w:sz w:val="20"/>
                <w:szCs w:val="20"/>
              </w:rPr>
            </w:pPr>
            <w:r w:rsidRPr="00A63116">
              <w:rPr>
                <w:rFonts w:asciiTheme="minorHAnsi" w:hAnsiTheme="minorHAnsi"/>
                <w:b/>
                <w:bCs/>
                <w:color w:val="000000"/>
                <w:sz w:val="20"/>
                <w:szCs w:val="20"/>
              </w:rPr>
              <w:t>datum</w:t>
            </w:r>
          </w:p>
        </w:tc>
        <w:tc>
          <w:tcPr>
            <w:tcW w:w="567" w:type="dxa"/>
            <w:shd w:val="clear" w:color="auto" w:fill="auto"/>
            <w:textDirection w:val="btLr"/>
            <w:vAlign w:val="bottom"/>
            <w:hideMark/>
          </w:tcPr>
          <w:p w:rsidRPr="00A63116" w:rsidR="009D0028" w:rsidP="00512762" w:rsidRDefault="009D0028" w14:paraId="1723D673" w14:textId="77777777">
            <w:pPr>
              <w:rPr>
                <w:rFonts w:asciiTheme="minorHAnsi" w:hAnsiTheme="minorHAnsi"/>
                <w:b/>
                <w:bCs/>
                <w:color w:val="000000"/>
                <w:sz w:val="20"/>
                <w:szCs w:val="20"/>
              </w:rPr>
            </w:pPr>
            <w:r w:rsidRPr="00A63116">
              <w:rPr>
                <w:rFonts w:asciiTheme="minorHAnsi" w:hAnsiTheme="minorHAnsi"/>
                <w:b/>
                <w:bCs/>
                <w:color w:val="000000"/>
                <w:sz w:val="20"/>
                <w:szCs w:val="20"/>
              </w:rPr>
              <w:t>Voortouw</w:t>
            </w:r>
          </w:p>
        </w:tc>
        <w:tc>
          <w:tcPr>
            <w:tcW w:w="1418" w:type="dxa"/>
            <w:shd w:val="clear" w:color="auto" w:fill="auto"/>
            <w:textDirection w:val="btLr"/>
            <w:vAlign w:val="bottom"/>
            <w:hideMark/>
          </w:tcPr>
          <w:p w:rsidRPr="00A63116" w:rsidR="009D0028" w:rsidP="00512762" w:rsidRDefault="009D0028" w14:paraId="54E6B20C" w14:textId="77777777">
            <w:pPr>
              <w:rPr>
                <w:rFonts w:asciiTheme="minorHAnsi" w:hAnsiTheme="minorHAnsi"/>
                <w:b/>
                <w:bCs/>
                <w:color w:val="000000"/>
                <w:sz w:val="20"/>
                <w:szCs w:val="20"/>
              </w:rPr>
            </w:pPr>
            <w:r w:rsidRPr="00A63116">
              <w:rPr>
                <w:rFonts w:asciiTheme="minorHAnsi" w:hAnsiTheme="minorHAnsi"/>
                <w:b/>
                <w:bCs/>
                <w:color w:val="000000"/>
                <w:sz w:val="20"/>
                <w:szCs w:val="20"/>
              </w:rPr>
              <w:t>Soort</w:t>
            </w:r>
          </w:p>
        </w:tc>
        <w:tc>
          <w:tcPr>
            <w:tcW w:w="5103" w:type="dxa"/>
            <w:shd w:val="clear" w:color="auto" w:fill="auto"/>
            <w:textDirection w:val="btLr"/>
            <w:vAlign w:val="bottom"/>
            <w:hideMark/>
          </w:tcPr>
          <w:p w:rsidRPr="00A63116" w:rsidR="009D0028" w:rsidP="00512762" w:rsidRDefault="009D0028" w14:paraId="31496002" w14:textId="77777777">
            <w:pPr>
              <w:rPr>
                <w:rFonts w:asciiTheme="minorHAnsi" w:hAnsiTheme="minorHAnsi"/>
                <w:b/>
                <w:bCs/>
                <w:color w:val="000000"/>
                <w:sz w:val="20"/>
                <w:szCs w:val="20"/>
              </w:rPr>
            </w:pPr>
            <w:r w:rsidRPr="00A63116">
              <w:rPr>
                <w:rFonts w:asciiTheme="minorHAnsi" w:hAnsiTheme="minorHAnsi"/>
                <w:b/>
                <w:bCs/>
                <w:color w:val="000000"/>
                <w:sz w:val="20"/>
                <w:szCs w:val="20"/>
              </w:rPr>
              <w:t>Titel</w:t>
            </w:r>
          </w:p>
        </w:tc>
        <w:tc>
          <w:tcPr>
            <w:tcW w:w="1134" w:type="dxa"/>
            <w:shd w:val="clear" w:color="auto" w:fill="auto"/>
            <w:textDirection w:val="btLr"/>
            <w:vAlign w:val="bottom"/>
            <w:hideMark/>
          </w:tcPr>
          <w:p w:rsidRPr="00A63116" w:rsidR="009D0028" w:rsidP="00512762" w:rsidRDefault="009D0028" w14:paraId="66F50AE9" w14:textId="77777777">
            <w:pPr>
              <w:rPr>
                <w:rFonts w:asciiTheme="minorHAnsi" w:hAnsiTheme="minorHAnsi"/>
                <w:b/>
                <w:bCs/>
                <w:color w:val="000000"/>
                <w:sz w:val="20"/>
                <w:szCs w:val="20"/>
              </w:rPr>
            </w:pPr>
            <w:r w:rsidRPr="00A63116">
              <w:rPr>
                <w:rFonts w:asciiTheme="minorHAnsi" w:hAnsiTheme="minorHAnsi"/>
                <w:b/>
                <w:bCs/>
                <w:color w:val="000000"/>
                <w:sz w:val="20"/>
                <w:szCs w:val="20"/>
              </w:rPr>
              <w:t>COM-nummer</w:t>
            </w:r>
          </w:p>
        </w:tc>
        <w:tc>
          <w:tcPr>
            <w:tcW w:w="709" w:type="dxa"/>
            <w:textDirection w:val="btLr"/>
          </w:tcPr>
          <w:p w:rsidRPr="00A63116" w:rsidR="009D0028" w:rsidP="00512762" w:rsidRDefault="009D0028" w14:paraId="4932BF61" w14:textId="77777777">
            <w:pPr>
              <w:rPr>
                <w:rFonts w:asciiTheme="minorHAnsi" w:hAnsiTheme="minorHAnsi"/>
                <w:b/>
                <w:bCs/>
                <w:color w:val="000000"/>
                <w:sz w:val="20"/>
                <w:szCs w:val="20"/>
              </w:rPr>
            </w:pPr>
            <w:r w:rsidRPr="00A63116">
              <w:rPr>
                <w:rFonts w:asciiTheme="minorHAnsi" w:hAnsiTheme="minorHAnsi"/>
                <w:b/>
                <w:bCs/>
                <w:color w:val="000000"/>
                <w:sz w:val="20"/>
                <w:szCs w:val="20"/>
              </w:rPr>
              <w:t>Deadline</w:t>
            </w:r>
          </w:p>
          <w:p w:rsidRPr="00A63116" w:rsidR="009D0028" w:rsidP="00512762" w:rsidRDefault="009D0028" w14:paraId="3AE4D031" w14:textId="77777777">
            <w:pPr>
              <w:rPr>
                <w:rFonts w:asciiTheme="minorHAnsi" w:hAnsiTheme="minorHAnsi"/>
                <w:b/>
                <w:bCs/>
                <w:color w:val="000000"/>
                <w:sz w:val="20"/>
                <w:szCs w:val="20"/>
              </w:rPr>
            </w:pPr>
            <w:r w:rsidRPr="00A63116">
              <w:rPr>
                <w:rFonts w:asciiTheme="minorHAnsi" w:hAnsiTheme="minorHAnsi"/>
                <w:b/>
                <w:bCs/>
                <w:color w:val="000000"/>
                <w:sz w:val="20"/>
                <w:szCs w:val="20"/>
              </w:rPr>
              <w:t>Sub.toets</w:t>
            </w:r>
          </w:p>
        </w:tc>
        <w:tc>
          <w:tcPr>
            <w:tcW w:w="4394" w:type="dxa"/>
            <w:shd w:val="clear" w:color="auto" w:fill="auto"/>
            <w:textDirection w:val="btLr"/>
            <w:vAlign w:val="bottom"/>
            <w:hideMark/>
          </w:tcPr>
          <w:p w:rsidRPr="00A63116" w:rsidR="009D0028" w:rsidP="00512762" w:rsidRDefault="009D0028" w14:paraId="7713CD7A" w14:textId="77777777">
            <w:pPr>
              <w:rPr>
                <w:rFonts w:asciiTheme="minorHAnsi" w:hAnsiTheme="minorHAnsi"/>
                <w:b/>
                <w:bCs/>
                <w:color w:val="000000"/>
                <w:sz w:val="20"/>
                <w:szCs w:val="20"/>
              </w:rPr>
            </w:pPr>
            <w:r w:rsidRPr="00A63116">
              <w:rPr>
                <w:rFonts w:asciiTheme="minorHAnsi" w:hAnsiTheme="minorHAnsi"/>
                <w:b/>
                <w:bCs/>
                <w:color w:val="000000"/>
                <w:sz w:val="20"/>
                <w:szCs w:val="20"/>
              </w:rPr>
              <w:t>Opmerking</w:t>
            </w:r>
          </w:p>
        </w:tc>
      </w:tr>
      <w:tr w:rsidRPr="00A63116" w:rsidR="009D0028" w:rsidTr="00AF48D8" w14:paraId="47124C3D" w14:textId="77777777">
        <w:trPr>
          <w:trHeight w:val="300"/>
        </w:trPr>
        <w:tc>
          <w:tcPr>
            <w:tcW w:w="1149" w:type="dxa"/>
            <w:tcBorders>
              <w:bottom w:val="single" w:color="auto" w:sz="4" w:space="0"/>
            </w:tcBorders>
            <w:shd w:val="clear" w:color="000000" w:fill="538DD5"/>
            <w:vAlign w:val="bottom"/>
            <w:hideMark/>
          </w:tcPr>
          <w:p w:rsidRPr="00A63116" w:rsidR="009D0028" w:rsidP="00512762" w:rsidRDefault="009D0028" w14:paraId="271F055E" w14:textId="77777777">
            <w:pPr>
              <w:rPr>
                <w:rFonts w:asciiTheme="minorHAnsi" w:hAnsiTheme="minorHAnsi"/>
                <w:b/>
                <w:bCs/>
                <w:color w:val="000000"/>
                <w:sz w:val="20"/>
                <w:szCs w:val="20"/>
              </w:rPr>
            </w:pPr>
            <w:r w:rsidRPr="00A63116">
              <w:rPr>
                <w:rFonts w:asciiTheme="minorHAnsi" w:hAnsiTheme="minorHAnsi"/>
                <w:b/>
                <w:bCs/>
                <w:color w:val="000000"/>
                <w:sz w:val="20"/>
                <w:szCs w:val="20"/>
              </w:rPr>
              <w:t> </w:t>
            </w:r>
          </w:p>
        </w:tc>
        <w:tc>
          <w:tcPr>
            <w:tcW w:w="567" w:type="dxa"/>
            <w:tcBorders>
              <w:bottom w:val="single" w:color="auto" w:sz="4" w:space="0"/>
            </w:tcBorders>
            <w:shd w:val="clear" w:color="000000" w:fill="538DD5"/>
            <w:vAlign w:val="bottom"/>
            <w:hideMark/>
          </w:tcPr>
          <w:p w:rsidRPr="00A63116" w:rsidR="009D0028" w:rsidP="00512762" w:rsidRDefault="009D0028" w14:paraId="6C1DA3D7" w14:textId="77777777">
            <w:pPr>
              <w:rPr>
                <w:rFonts w:asciiTheme="minorHAnsi" w:hAnsiTheme="minorHAnsi"/>
                <w:b/>
                <w:bCs/>
                <w:color w:val="000000"/>
                <w:sz w:val="20"/>
                <w:szCs w:val="20"/>
              </w:rPr>
            </w:pPr>
            <w:r w:rsidRPr="00A63116">
              <w:rPr>
                <w:rFonts w:asciiTheme="minorHAnsi" w:hAnsiTheme="minorHAnsi"/>
                <w:b/>
                <w:bCs/>
                <w:color w:val="000000"/>
                <w:sz w:val="20"/>
                <w:szCs w:val="20"/>
              </w:rPr>
              <w:t> </w:t>
            </w:r>
          </w:p>
        </w:tc>
        <w:tc>
          <w:tcPr>
            <w:tcW w:w="1418" w:type="dxa"/>
            <w:tcBorders>
              <w:bottom w:val="single" w:color="auto" w:sz="4" w:space="0"/>
            </w:tcBorders>
            <w:shd w:val="clear" w:color="000000" w:fill="538DD5"/>
            <w:vAlign w:val="bottom"/>
            <w:hideMark/>
          </w:tcPr>
          <w:p w:rsidRPr="00A63116" w:rsidR="009D0028" w:rsidP="00512762" w:rsidRDefault="009D0028" w14:paraId="48234DE4" w14:textId="77777777">
            <w:pPr>
              <w:rPr>
                <w:rFonts w:asciiTheme="minorHAnsi" w:hAnsiTheme="minorHAnsi"/>
                <w:b/>
                <w:bCs/>
                <w:color w:val="000000"/>
                <w:sz w:val="20"/>
                <w:szCs w:val="20"/>
              </w:rPr>
            </w:pPr>
            <w:r w:rsidRPr="00A63116">
              <w:rPr>
                <w:rFonts w:asciiTheme="minorHAnsi" w:hAnsiTheme="minorHAnsi"/>
                <w:b/>
                <w:bCs/>
                <w:color w:val="000000"/>
                <w:sz w:val="20"/>
                <w:szCs w:val="20"/>
              </w:rPr>
              <w:t> </w:t>
            </w:r>
          </w:p>
        </w:tc>
        <w:tc>
          <w:tcPr>
            <w:tcW w:w="5103" w:type="dxa"/>
            <w:tcBorders>
              <w:bottom w:val="single" w:color="auto" w:sz="4" w:space="0"/>
            </w:tcBorders>
            <w:shd w:val="clear" w:color="000000" w:fill="538DD5"/>
            <w:vAlign w:val="bottom"/>
            <w:hideMark/>
          </w:tcPr>
          <w:p w:rsidRPr="00A63116" w:rsidR="009D0028" w:rsidP="00512762" w:rsidRDefault="009D0028" w14:paraId="0D6FF521" w14:textId="77777777">
            <w:pPr>
              <w:rPr>
                <w:rFonts w:asciiTheme="minorHAnsi" w:hAnsiTheme="minorHAnsi"/>
                <w:b/>
                <w:bCs/>
                <w:color w:val="000000"/>
                <w:sz w:val="20"/>
                <w:szCs w:val="20"/>
              </w:rPr>
            </w:pPr>
            <w:r w:rsidRPr="00A63116">
              <w:rPr>
                <w:rFonts w:asciiTheme="minorHAnsi" w:hAnsiTheme="minorHAnsi"/>
                <w:b/>
                <w:bCs/>
                <w:color w:val="000000"/>
                <w:sz w:val="20"/>
                <w:szCs w:val="20"/>
              </w:rPr>
              <w:t> </w:t>
            </w:r>
          </w:p>
        </w:tc>
        <w:tc>
          <w:tcPr>
            <w:tcW w:w="1134" w:type="dxa"/>
            <w:tcBorders>
              <w:bottom w:val="single" w:color="auto" w:sz="4" w:space="0"/>
            </w:tcBorders>
            <w:shd w:val="clear" w:color="000000" w:fill="538DD5"/>
            <w:vAlign w:val="bottom"/>
            <w:hideMark/>
          </w:tcPr>
          <w:p w:rsidRPr="00A63116" w:rsidR="009D0028" w:rsidP="00512762" w:rsidRDefault="009D0028" w14:paraId="1B1BA98A" w14:textId="77777777">
            <w:pPr>
              <w:rPr>
                <w:rFonts w:asciiTheme="minorHAnsi" w:hAnsiTheme="minorHAnsi"/>
                <w:b/>
                <w:bCs/>
                <w:color w:val="000000"/>
                <w:sz w:val="20"/>
                <w:szCs w:val="20"/>
              </w:rPr>
            </w:pPr>
            <w:r w:rsidRPr="00A63116">
              <w:rPr>
                <w:rFonts w:asciiTheme="minorHAnsi" w:hAnsiTheme="minorHAnsi"/>
                <w:b/>
                <w:bCs/>
                <w:color w:val="000000"/>
                <w:sz w:val="20"/>
                <w:szCs w:val="20"/>
              </w:rPr>
              <w:t> </w:t>
            </w:r>
          </w:p>
        </w:tc>
        <w:tc>
          <w:tcPr>
            <w:tcW w:w="709" w:type="dxa"/>
            <w:tcBorders>
              <w:bottom w:val="single" w:color="auto" w:sz="4" w:space="0"/>
            </w:tcBorders>
            <w:shd w:val="clear" w:color="000000" w:fill="538DD5"/>
          </w:tcPr>
          <w:p w:rsidRPr="00A63116" w:rsidR="009D0028" w:rsidP="00512762" w:rsidRDefault="009D0028" w14:paraId="0F43CF9A" w14:textId="77777777">
            <w:pPr>
              <w:rPr>
                <w:rFonts w:asciiTheme="minorHAnsi" w:hAnsiTheme="minorHAnsi"/>
                <w:b/>
                <w:bCs/>
                <w:color w:val="000000"/>
                <w:sz w:val="20"/>
                <w:szCs w:val="20"/>
              </w:rPr>
            </w:pPr>
          </w:p>
        </w:tc>
        <w:tc>
          <w:tcPr>
            <w:tcW w:w="4394" w:type="dxa"/>
            <w:tcBorders>
              <w:bottom w:val="single" w:color="auto" w:sz="4" w:space="0"/>
            </w:tcBorders>
            <w:shd w:val="clear" w:color="000000" w:fill="538DD5"/>
            <w:hideMark/>
          </w:tcPr>
          <w:p w:rsidRPr="00A63116" w:rsidR="009D0028" w:rsidP="00512762" w:rsidRDefault="009D0028" w14:paraId="378010D3" w14:textId="77777777">
            <w:pPr>
              <w:rPr>
                <w:rFonts w:asciiTheme="minorHAnsi" w:hAnsiTheme="minorHAnsi"/>
                <w:b/>
                <w:bCs/>
                <w:color w:val="000000"/>
                <w:sz w:val="20"/>
                <w:szCs w:val="20"/>
              </w:rPr>
            </w:pPr>
            <w:r w:rsidRPr="00A63116">
              <w:rPr>
                <w:rFonts w:asciiTheme="minorHAnsi" w:hAnsiTheme="minorHAnsi"/>
                <w:b/>
                <w:bCs/>
                <w:color w:val="000000"/>
                <w:sz w:val="20"/>
                <w:szCs w:val="20"/>
              </w:rPr>
              <w:t> </w:t>
            </w:r>
          </w:p>
        </w:tc>
      </w:tr>
      <w:tr w:rsidRPr="00A63116" w:rsidR="00F86819" w:rsidTr="00A63116" w14:paraId="148C95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33"/>
        </w:trPr>
        <w:tc>
          <w:tcPr>
            <w:tcW w:w="114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8449A1" w:rsidR="00F86819" w:rsidP="00F86819" w:rsidRDefault="002E39AA" w14:paraId="37525578" w14:textId="1441B184">
            <w:pPr>
              <w:rPr>
                <w:rFonts w:asciiTheme="minorHAnsi" w:hAnsiTheme="minorHAnsi"/>
                <w:color w:val="000000"/>
                <w:sz w:val="20"/>
                <w:szCs w:val="20"/>
              </w:rPr>
            </w:pPr>
            <w:r>
              <w:rPr>
                <w:rFonts w:ascii="Calibri" w:hAnsi="Calibri"/>
                <w:color w:val="000000"/>
                <w:sz w:val="22"/>
                <w:szCs w:val="22"/>
              </w:rPr>
              <w:t>31-aug-18</w:t>
            </w:r>
          </w:p>
        </w:tc>
        <w:tc>
          <w:tcPr>
            <w:tcW w:w="567" w:type="dxa"/>
            <w:tcBorders>
              <w:top w:val="single" w:color="auto" w:sz="4" w:space="0"/>
              <w:left w:val="single" w:color="auto" w:sz="4" w:space="0"/>
              <w:bottom w:val="single" w:color="auto" w:sz="4" w:space="0"/>
              <w:right w:val="single" w:color="auto" w:sz="4" w:space="0"/>
            </w:tcBorders>
            <w:shd w:val="clear" w:color="auto" w:fill="FFFFFF" w:themeFill="background1"/>
          </w:tcPr>
          <w:p w:rsidRPr="008449A1" w:rsidR="00F86819" w:rsidP="00F86819" w:rsidRDefault="002E39AA" w14:paraId="6CA5BC93" w14:textId="6DDF0B0C">
            <w:pPr>
              <w:rPr>
                <w:rFonts w:asciiTheme="minorHAnsi" w:hAnsiTheme="minorHAnsi"/>
                <w:color w:val="000000"/>
                <w:sz w:val="20"/>
                <w:szCs w:val="20"/>
              </w:rPr>
            </w:pPr>
            <w:r>
              <w:rPr>
                <w:rFonts w:ascii="Calibri" w:hAnsi="Calibri"/>
                <w:color w:val="000000"/>
                <w:sz w:val="22"/>
                <w:szCs w:val="22"/>
              </w:rPr>
              <w:t>LNV</w:t>
            </w:r>
          </w:p>
        </w:tc>
        <w:tc>
          <w:tcPr>
            <w:tcW w:w="1418" w:type="dxa"/>
            <w:tcBorders>
              <w:top w:val="single" w:color="auto" w:sz="4" w:space="0"/>
              <w:left w:val="nil"/>
              <w:bottom w:val="single" w:color="auto" w:sz="4" w:space="0"/>
              <w:right w:val="single" w:color="auto" w:sz="4" w:space="0"/>
            </w:tcBorders>
            <w:shd w:val="clear" w:color="auto" w:fill="FFFFFF" w:themeFill="background1"/>
            <w:noWrap/>
          </w:tcPr>
          <w:p w:rsidRPr="008449A1" w:rsidR="00F86819" w:rsidP="00F86819" w:rsidRDefault="002E39AA" w14:paraId="2D404765" w14:textId="753FB358">
            <w:pPr>
              <w:rPr>
                <w:rFonts w:asciiTheme="minorHAnsi" w:hAnsiTheme="minorHAnsi"/>
                <w:color w:val="000000"/>
                <w:sz w:val="20"/>
                <w:szCs w:val="20"/>
              </w:rPr>
            </w:pPr>
            <w:r>
              <w:rPr>
                <w:rFonts w:ascii="Calibri" w:hAnsi="Calibri"/>
                <w:color w:val="000000"/>
                <w:sz w:val="22"/>
                <w:szCs w:val="22"/>
              </w:rPr>
              <w:t>verordening</w:t>
            </w:r>
          </w:p>
        </w:tc>
        <w:tc>
          <w:tcPr>
            <w:tcW w:w="5103" w:type="dxa"/>
            <w:tcBorders>
              <w:top w:val="single" w:color="auto" w:sz="4" w:space="0"/>
              <w:left w:val="nil"/>
              <w:bottom w:val="single" w:color="auto" w:sz="4" w:space="0"/>
              <w:right w:val="nil"/>
            </w:tcBorders>
            <w:shd w:val="clear" w:color="auto" w:fill="FFFFFF" w:themeFill="background1"/>
            <w:noWrap/>
          </w:tcPr>
          <w:p w:rsidRPr="008449A1" w:rsidR="00F86819" w:rsidP="00F86819" w:rsidRDefault="002E39AA" w14:paraId="15FFA810" w14:textId="7628D124">
            <w:pPr>
              <w:rPr>
                <w:rFonts w:asciiTheme="minorHAnsi" w:hAnsiTheme="minorHAnsi"/>
                <w:color w:val="000000"/>
                <w:sz w:val="20"/>
                <w:szCs w:val="20"/>
              </w:rPr>
            </w:pPr>
            <w:r>
              <w:rPr>
                <w:rFonts w:ascii="Calibri" w:hAnsi="Calibri"/>
                <w:color w:val="000000"/>
                <w:sz w:val="22"/>
                <w:szCs w:val="22"/>
              </w:rPr>
              <w:t>Voorstel voor een VERORDENING VAN DE RAAD tot vaststelling, voor 2019, van de vangstmogelijkheden voor bepaalde visbestanden en groepen visbestanden in de Oostzee</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8449A1" w:rsidR="00F86819" w:rsidP="00F86819" w:rsidRDefault="003D6415" w14:paraId="0BDF3466" w14:textId="0890C411">
            <w:pPr>
              <w:rPr>
                <w:rFonts w:asciiTheme="minorHAnsi" w:hAnsiTheme="minorHAnsi"/>
                <w:color w:val="0000FF"/>
                <w:sz w:val="20"/>
                <w:szCs w:val="20"/>
                <w:u w:val="single"/>
              </w:rPr>
            </w:pPr>
            <w:hyperlink w:history="1" r:id="rId11">
              <w:r w:rsidR="002E39AA">
                <w:rPr>
                  <w:rStyle w:val="Hyperlink"/>
                  <w:rFonts w:ascii="Calibri" w:hAnsi="Calibri"/>
                  <w:sz w:val="22"/>
                  <w:szCs w:val="22"/>
                </w:rPr>
                <w:t>COM (2018) 608</w:t>
              </w:r>
            </w:hyperlink>
          </w:p>
        </w:tc>
        <w:tc>
          <w:tcPr>
            <w:tcW w:w="709" w:type="dxa"/>
            <w:tcBorders>
              <w:top w:val="single" w:color="auto" w:sz="4" w:space="0"/>
              <w:left w:val="nil"/>
              <w:bottom w:val="single" w:color="auto" w:sz="4" w:space="0"/>
              <w:right w:val="single" w:color="auto" w:sz="4" w:space="0"/>
            </w:tcBorders>
            <w:shd w:val="clear" w:color="auto" w:fill="FFFFFF" w:themeFill="background1"/>
            <w:noWrap/>
          </w:tcPr>
          <w:p w:rsidRPr="008449A1" w:rsidR="00F86819" w:rsidP="00F86819" w:rsidRDefault="00F86819" w14:paraId="0CE9E494" w14:textId="78715912">
            <w:pPr>
              <w:rPr>
                <w:rFonts w:cs="Arial" w:asciiTheme="minorHAnsi" w:hAnsiTheme="minorHAnsi"/>
                <w:sz w:val="20"/>
                <w:szCs w:val="20"/>
              </w:rPr>
            </w:pPr>
          </w:p>
        </w:tc>
        <w:tc>
          <w:tcPr>
            <w:tcW w:w="4394" w:type="dxa"/>
            <w:tcBorders>
              <w:top w:val="single" w:color="auto" w:sz="4" w:space="0"/>
              <w:left w:val="nil"/>
              <w:bottom w:val="single" w:color="auto" w:sz="4" w:space="0"/>
              <w:right w:val="single" w:color="auto" w:sz="4" w:space="0"/>
            </w:tcBorders>
            <w:shd w:val="clear" w:color="auto" w:fill="FFFFFF" w:themeFill="background1"/>
          </w:tcPr>
          <w:p w:rsidR="002E39AA" w:rsidP="002E39AA" w:rsidRDefault="002E39AA" w14:paraId="07F34EB6" w14:textId="77777777">
            <w:pPr>
              <w:pStyle w:val="Voetnoottekst"/>
              <w:autoSpaceDE w:val="0"/>
              <w:autoSpaceDN w:val="0"/>
              <w:rPr>
                <w:rFonts w:asciiTheme="minorHAnsi" w:hAnsiTheme="minorHAnsi"/>
              </w:rPr>
            </w:pPr>
            <w:r>
              <w:rPr>
                <w:rFonts w:asciiTheme="minorHAnsi" w:hAnsiTheme="minorHAnsi"/>
              </w:rPr>
              <w:t>V</w:t>
            </w:r>
            <w:r w:rsidRPr="00C51E84">
              <w:rPr>
                <w:rFonts w:asciiTheme="minorHAnsi" w:hAnsiTheme="minorHAnsi"/>
              </w:rPr>
              <w:t>angstmogelijkheden worden doorgaans meerdere keren gewijzigd gedurende de periode waarin zij van kracht zijn.</w:t>
            </w:r>
          </w:p>
          <w:p w:rsidR="002E39AA" w:rsidP="002E39AA" w:rsidRDefault="002E39AA" w14:paraId="1C1F5CB5" w14:textId="77777777">
            <w:pPr>
              <w:pStyle w:val="Voetnoottekst"/>
              <w:autoSpaceDE w:val="0"/>
              <w:autoSpaceDN w:val="0"/>
              <w:rPr>
                <w:rFonts w:asciiTheme="minorHAnsi" w:hAnsiTheme="minorHAnsi"/>
              </w:rPr>
            </w:pPr>
            <w:r w:rsidRPr="00C51E84">
              <w:rPr>
                <w:rFonts w:asciiTheme="minorHAnsi" w:hAnsiTheme="minorHAnsi"/>
                <w:u w:val="single"/>
              </w:rPr>
              <w:t>Voorstel:</w:t>
            </w:r>
            <w:r>
              <w:rPr>
                <w:rFonts w:asciiTheme="minorHAnsi" w:hAnsiTheme="minorHAnsi"/>
              </w:rPr>
              <w:t xml:space="preserve"> Ter kennisneming </w:t>
            </w:r>
          </w:p>
          <w:p w:rsidRPr="00431395" w:rsidR="00F86819" w:rsidP="00F86819" w:rsidRDefault="00F86819" w14:paraId="03F2CC19" w14:textId="03EDB25D">
            <w:pPr>
              <w:pBdr>
                <w:top w:val="nil"/>
                <w:left w:val="nil"/>
                <w:bottom w:val="nil"/>
                <w:right w:val="nil"/>
                <w:between w:val="nil"/>
                <w:bar w:val="nil"/>
              </w:pBdr>
              <w:spacing w:after="240"/>
              <w:rPr>
                <w:rFonts w:eastAsia="Arial Unicode MS" w:asciiTheme="minorHAnsi" w:hAnsiTheme="minorHAnsi"/>
                <w:noProof/>
                <w:sz w:val="20"/>
                <w:szCs w:val="20"/>
              </w:rPr>
            </w:pPr>
          </w:p>
        </w:tc>
      </w:tr>
      <w:tr w:rsidRPr="00A63116" w:rsidR="008449A1" w:rsidTr="004C2E12" w14:paraId="34F74C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8"/>
        </w:trPr>
        <w:tc>
          <w:tcPr>
            <w:tcW w:w="1149"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8449A1" w:rsidR="008449A1" w:rsidP="00A63116" w:rsidRDefault="002E39AA" w14:paraId="60E47D78" w14:textId="4B3533FE">
            <w:pPr>
              <w:rPr>
                <w:rFonts w:asciiTheme="minorHAnsi" w:hAnsiTheme="minorHAnsi"/>
                <w:color w:val="000000"/>
                <w:sz w:val="20"/>
                <w:szCs w:val="20"/>
              </w:rPr>
            </w:pPr>
            <w:r>
              <w:rPr>
                <w:rFonts w:ascii="Calibri" w:hAnsi="Calibri"/>
                <w:color w:val="000000"/>
                <w:sz w:val="22"/>
                <w:szCs w:val="22"/>
              </w:rPr>
              <w:t>2-aug-18</w:t>
            </w:r>
          </w:p>
        </w:tc>
        <w:tc>
          <w:tcPr>
            <w:tcW w:w="567" w:type="dxa"/>
            <w:tcBorders>
              <w:top w:val="single" w:color="auto" w:sz="4" w:space="0"/>
              <w:left w:val="single" w:color="auto" w:sz="4" w:space="0"/>
              <w:bottom w:val="single" w:color="auto" w:sz="4" w:space="0"/>
              <w:right w:val="single" w:color="auto" w:sz="4" w:space="0"/>
            </w:tcBorders>
            <w:shd w:val="clear" w:color="auto" w:fill="FFFFFF" w:themeFill="background1"/>
          </w:tcPr>
          <w:p w:rsidRPr="008449A1" w:rsidR="008449A1" w:rsidP="00A63116" w:rsidRDefault="002E39AA" w14:paraId="38AE3C56" w14:textId="5318762B">
            <w:pPr>
              <w:rPr>
                <w:rFonts w:asciiTheme="minorHAnsi" w:hAnsiTheme="minorHAnsi"/>
                <w:color w:val="000000"/>
                <w:sz w:val="20"/>
                <w:szCs w:val="20"/>
              </w:rPr>
            </w:pPr>
            <w:r>
              <w:rPr>
                <w:rFonts w:asciiTheme="minorHAnsi" w:hAnsiTheme="minorHAnsi"/>
                <w:color w:val="000000"/>
                <w:sz w:val="20"/>
                <w:szCs w:val="20"/>
              </w:rPr>
              <w:t>LNV</w:t>
            </w:r>
          </w:p>
        </w:tc>
        <w:tc>
          <w:tcPr>
            <w:tcW w:w="1418" w:type="dxa"/>
            <w:tcBorders>
              <w:top w:val="single" w:color="auto" w:sz="4" w:space="0"/>
              <w:left w:val="nil"/>
              <w:bottom w:val="single" w:color="auto" w:sz="4" w:space="0"/>
              <w:right w:val="single" w:color="auto" w:sz="4" w:space="0"/>
            </w:tcBorders>
            <w:shd w:val="clear" w:color="auto" w:fill="FFFFFF" w:themeFill="background1"/>
            <w:noWrap/>
          </w:tcPr>
          <w:p w:rsidRPr="008449A1" w:rsidR="008449A1" w:rsidP="00A63116" w:rsidRDefault="002E39AA" w14:paraId="0F4D7D9F" w14:textId="14B38B53">
            <w:pPr>
              <w:rPr>
                <w:rFonts w:asciiTheme="minorHAnsi" w:hAnsiTheme="minorHAnsi"/>
                <w:color w:val="000000"/>
                <w:sz w:val="20"/>
                <w:szCs w:val="20"/>
              </w:rPr>
            </w:pPr>
            <w:r>
              <w:rPr>
                <w:rFonts w:ascii="Calibri" w:hAnsi="Calibri"/>
                <w:color w:val="000000"/>
                <w:sz w:val="22"/>
                <w:szCs w:val="22"/>
              </w:rPr>
              <w:t>raadpleging</w:t>
            </w:r>
          </w:p>
        </w:tc>
        <w:tc>
          <w:tcPr>
            <w:tcW w:w="5103" w:type="dxa"/>
            <w:tcBorders>
              <w:top w:val="single" w:color="auto" w:sz="4" w:space="0"/>
              <w:left w:val="nil"/>
              <w:bottom w:val="single" w:color="auto" w:sz="4" w:space="0"/>
              <w:right w:val="nil"/>
            </w:tcBorders>
            <w:shd w:val="clear" w:color="auto" w:fill="FFFFFF" w:themeFill="background1"/>
            <w:noWrap/>
          </w:tcPr>
          <w:p w:rsidRPr="008449A1" w:rsidR="008449A1" w:rsidP="00A63116" w:rsidRDefault="002E39AA" w14:paraId="2AD8F017" w14:textId="05D0972A">
            <w:pPr>
              <w:rPr>
                <w:rFonts w:asciiTheme="minorHAnsi" w:hAnsiTheme="minorHAnsi"/>
                <w:color w:val="000000"/>
                <w:sz w:val="20"/>
                <w:szCs w:val="20"/>
              </w:rPr>
            </w:pPr>
            <w:r>
              <w:rPr>
                <w:rFonts w:ascii="Calibri" w:hAnsi="Calibri"/>
                <w:color w:val="000000"/>
                <w:sz w:val="22"/>
                <w:szCs w:val="22"/>
              </w:rPr>
              <w:t>EU peripheral regions – guidelines on state aid for fisheries</w:t>
            </w:r>
          </w:p>
        </w:tc>
        <w:tc>
          <w:tcPr>
            <w:tcW w:w="1134"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8449A1" w:rsidR="008449A1" w:rsidP="00A63116" w:rsidRDefault="003D6415" w14:paraId="5F7F6617" w14:textId="2607E4C5">
            <w:pPr>
              <w:rPr>
                <w:rFonts w:asciiTheme="minorHAnsi" w:hAnsiTheme="minorHAnsi"/>
                <w:sz w:val="20"/>
                <w:szCs w:val="20"/>
              </w:rPr>
            </w:pPr>
            <w:hyperlink w:history="1" r:id="rId12">
              <w:r w:rsidR="002E39AA">
                <w:rPr>
                  <w:rStyle w:val="Hyperlink"/>
                  <w:rFonts w:ascii="Calibri" w:hAnsi="Calibri"/>
                  <w:sz w:val="22"/>
                  <w:szCs w:val="22"/>
                </w:rPr>
                <w:t>OR</w:t>
              </w:r>
            </w:hyperlink>
          </w:p>
        </w:tc>
        <w:tc>
          <w:tcPr>
            <w:tcW w:w="709" w:type="dxa"/>
            <w:tcBorders>
              <w:top w:val="single" w:color="auto" w:sz="4" w:space="0"/>
              <w:left w:val="nil"/>
              <w:bottom w:val="single" w:color="auto" w:sz="4" w:space="0"/>
              <w:right w:val="single" w:color="auto" w:sz="4" w:space="0"/>
            </w:tcBorders>
            <w:shd w:val="clear" w:color="auto" w:fill="FFFFFF" w:themeFill="background1"/>
            <w:noWrap/>
          </w:tcPr>
          <w:p w:rsidRPr="008449A1" w:rsidR="008449A1" w:rsidP="00A63116" w:rsidRDefault="008449A1" w14:paraId="357C61FD" w14:textId="3A9AB236">
            <w:pPr>
              <w:rPr>
                <w:rFonts w:cs="Arial" w:asciiTheme="minorHAnsi" w:hAnsiTheme="minorHAnsi"/>
                <w:sz w:val="20"/>
                <w:szCs w:val="20"/>
              </w:rPr>
            </w:pPr>
          </w:p>
        </w:tc>
        <w:tc>
          <w:tcPr>
            <w:tcW w:w="4394" w:type="dxa"/>
            <w:tcBorders>
              <w:top w:val="single" w:color="auto" w:sz="4" w:space="0"/>
              <w:left w:val="nil"/>
              <w:bottom w:val="single" w:color="auto" w:sz="4" w:space="0"/>
              <w:right w:val="single" w:color="auto" w:sz="4" w:space="0"/>
            </w:tcBorders>
            <w:shd w:val="clear" w:color="auto" w:fill="FFFFFF" w:themeFill="background1"/>
          </w:tcPr>
          <w:p w:rsidR="008449A1" w:rsidP="004C2E12" w:rsidRDefault="002E39AA" w14:paraId="44B7A615" w14:textId="77777777">
            <w:pPr>
              <w:autoSpaceDE w:val="0"/>
              <w:autoSpaceDN w:val="0"/>
              <w:adjustRightInd w:val="0"/>
              <w:rPr>
                <w:rFonts w:asciiTheme="minorHAnsi" w:hAnsiTheme="minorHAnsi"/>
                <w:sz w:val="22"/>
              </w:rPr>
            </w:pPr>
            <w:r w:rsidRPr="002E39AA">
              <w:rPr>
                <w:rFonts w:asciiTheme="minorHAnsi" w:hAnsiTheme="minorHAnsi"/>
                <w:sz w:val="22"/>
              </w:rPr>
              <w:t>De Kamer ontvangt krachtens de standaard-informatieafspraken de definitieve kabinetsreactie op alle consultaties van de Europese Commissie waarop het kabinet reageert.</w:t>
            </w:r>
          </w:p>
          <w:p w:rsidR="002E39AA" w:rsidP="002E39AA" w:rsidRDefault="002E39AA" w14:paraId="546B5D0D" w14:textId="77777777">
            <w:pPr>
              <w:pStyle w:val="Voetnoottekst"/>
              <w:autoSpaceDE w:val="0"/>
              <w:autoSpaceDN w:val="0"/>
              <w:rPr>
                <w:rFonts w:asciiTheme="minorHAnsi" w:hAnsiTheme="minorHAnsi"/>
              </w:rPr>
            </w:pPr>
            <w:r w:rsidRPr="00C51E84">
              <w:rPr>
                <w:rFonts w:asciiTheme="minorHAnsi" w:hAnsiTheme="minorHAnsi"/>
                <w:u w:val="single"/>
              </w:rPr>
              <w:t>Voorstel:</w:t>
            </w:r>
            <w:r>
              <w:rPr>
                <w:rFonts w:asciiTheme="minorHAnsi" w:hAnsiTheme="minorHAnsi"/>
              </w:rPr>
              <w:t xml:space="preserve"> Ter kennisneming </w:t>
            </w:r>
          </w:p>
          <w:p w:rsidRPr="00431395" w:rsidR="002E39AA" w:rsidP="004C2E12" w:rsidRDefault="002E39AA" w14:paraId="7FC7F462" w14:textId="07935442">
            <w:pPr>
              <w:autoSpaceDE w:val="0"/>
              <w:autoSpaceDN w:val="0"/>
              <w:adjustRightInd w:val="0"/>
              <w:rPr>
                <w:rFonts w:eastAsia="Arial Unicode MS" w:asciiTheme="minorHAnsi" w:hAnsiTheme="minorHAnsi"/>
                <w:noProof/>
                <w:sz w:val="20"/>
                <w:szCs w:val="20"/>
              </w:rPr>
            </w:pPr>
          </w:p>
        </w:tc>
      </w:tr>
    </w:tbl>
    <w:p w:rsidRPr="00BA14FC" w:rsidR="008505DB" w:rsidP="009D0028" w:rsidRDefault="008505DB" w14:paraId="2AB3472D" w14:textId="68F9BE02">
      <w:pPr>
        <w:spacing w:after="200" w:line="276" w:lineRule="auto"/>
        <w:rPr>
          <w:rFonts w:asciiTheme="minorHAnsi" w:hAnsiTheme="minorHAnsi"/>
          <w:b/>
          <w:sz w:val="22"/>
          <w:szCs w:val="22"/>
        </w:rPr>
      </w:pPr>
    </w:p>
    <w:p w:rsidRPr="00BA14FC" w:rsidR="008505DB" w:rsidP="009D0028" w:rsidRDefault="008505DB" w14:paraId="3ABE4EBB" w14:textId="77777777">
      <w:pPr>
        <w:spacing w:after="200" w:line="276" w:lineRule="auto"/>
        <w:rPr>
          <w:rFonts w:asciiTheme="minorHAnsi" w:hAnsiTheme="minorHAnsi"/>
          <w:b/>
          <w:sz w:val="22"/>
          <w:szCs w:val="22"/>
        </w:rPr>
      </w:pPr>
    </w:p>
    <w:p w:rsidRPr="00BA14FC" w:rsidR="008505DB" w:rsidP="009D0028" w:rsidRDefault="008505DB" w14:paraId="31DF3D6B" w14:textId="77777777">
      <w:pPr>
        <w:spacing w:after="200" w:line="276" w:lineRule="auto"/>
        <w:rPr>
          <w:rFonts w:asciiTheme="minorHAnsi" w:hAnsiTheme="minorHAnsi"/>
          <w:b/>
          <w:sz w:val="22"/>
          <w:szCs w:val="22"/>
        </w:rPr>
      </w:pPr>
    </w:p>
    <w:p w:rsidRPr="00BA14FC" w:rsidR="008505DB" w:rsidP="009D0028" w:rsidRDefault="008505DB" w14:paraId="5C43F169" w14:textId="77777777">
      <w:pPr>
        <w:spacing w:after="200" w:line="276" w:lineRule="auto"/>
        <w:rPr>
          <w:rFonts w:asciiTheme="minorHAnsi" w:hAnsiTheme="minorHAnsi"/>
          <w:b/>
          <w:sz w:val="22"/>
          <w:szCs w:val="22"/>
        </w:rPr>
      </w:pPr>
    </w:p>
    <w:p w:rsidRPr="00BA14FC" w:rsidR="008505DB" w:rsidP="009D0028" w:rsidRDefault="008505DB" w14:paraId="3591242F" w14:textId="77777777">
      <w:pPr>
        <w:spacing w:after="200" w:line="276" w:lineRule="auto"/>
        <w:rPr>
          <w:rFonts w:asciiTheme="minorHAnsi" w:hAnsiTheme="minorHAnsi"/>
          <w:b/>
          <w:sz w:val="22"/>
          <w:szCs w:val="22"/>
        </w:rPr>
      </w:pPr>
    </w:p>
    <w:p w:rsidRPr="00BA14FC" w:rsidR="008505DB" w:rsidP="009D0028" w:rsidRDefault="008505DB" w14:paraId="1C25ED27" w14:textId="77777777">
      <w:pPr>
        <w:spacing w:after="200" w:line="276" w:lineRule="auto"/>
        <w:rPr>
          <w:rFonts w:asciiTheme="minorHAnsi" w:hAnsiTheme="minorHAnsi"/>
          <w:b/>
          <w:sz w:val="22"/>
          <w:szCs w:val="22"/>
        </w:rPr>
      </w:pPr>
    </w:p>
    <w:p w:rsidRPr="00BA14FC" w:rsidR="008505DB" w:rsidP="009D0028" w:rsidRDefault="008505DB" w14:paraId="7607AEFB" w14:textId="77777777">
      <w:pPr>
        <w:spacing w:after="200" w:line="276" w:lineRule="auto"/>
        <w:rPr>
          <w:rFonts w:asciiTheme="minorHAnsi" w:hAnsiTheme="minorHAnsi"/>
          <w:b/>
          <w:sz w:val="22"/>
          <w:szCs w:val="22"/>
        </w:rPr>
      </w:pPr>
    </w:p>
    <w:p w:rsidRPr="00BA14FC" w:rsidR="008505DB" w:rsidP="009D0028" w:rsidRDefault="008505DB" w14:paraId="1FD0CDC5" w14:textId="77777777">
      <w:pPr>
        <w:spacing w:after="200" w:line="276" w:lineRule="auto"/>
        <w:rPr>
          <w:rFonts w:asciiTheme="minorHAnsi" w:hAnsiTheme="minorHAnsi"/>
          <w:b/>
          <w:sz w:val="22"/>
          <w:szCs w:val="22"/>
        </w:rPr>
      </w:pPr>
    </w:p>
    <w:p w:rsidRPr="00BA14FC" w:rsidR="00423671" w:rsidP="009D0028" w:rsidRDefault="00423671" w14:paraId="49C29471" w14:textId="77777777">
      <w:pPr>
        <w:spacing w:after="200" w:line="276" w:lineRule="auto"/>
        <w:rPr>
          <w:rFonts w:asciiTheme="minorHAnsi" w:hAnsiTheme="minorHAnsi"/>
          <w:b/>
          <w:sz w:val="22"/>
          <w:szCs w:val="22"/>
        </w:rPr>
      </w:pPr>
    </w:p>
    <w:p w:rsidRPr="00BA14FC" w:rsidR="00423671" w:rsidP="009D0028" w:rsidRDefault="00423671" w14:paraId="428437BC" w14:textId="77777777">
      <w:pPr>
        <w:spacing w:after="200" w:line="276" w:lineRule="auto"/>
        <w:rPr>
          <w:rFonts w:asciiTheme="minorHAnsi" w:hAnsiTheme="minorHAnsi"/>
          <w:b/>
          <w:sz w:val="22"/>
          <w:szCs w:val="22"/>
        </w:rPr>
      </w:pPr>
    </w:p>
    <w:p w:rsidRPr="00221383" w:rsidR="009D0028" w:rsidP="009D0028" w:rsidRDefault="00221383" w14:paraId="65DD6726" w14:textId="0D67E0AE">
      <w:pPr>
        <w:spacing w:after="200" w:line="276" w:lineRule="auto"/>
        <w:rPr>
          <w:rFonts w:asciiTheme="minorHAnsi" w:hAnsiTheme="minorHAnsi"/>
          <w:b/>
          <w:sz w:val="22"/>
          <w:szCs w:val="22"/>
        </w:rPr>
      </w:pPr>
      <w:r w:rsidRPr="00221383">
        <w:rPr>
          <w:rFonts w:asciiTheme="minorHAnsi" w:hAnsiTheme="minorHAnsi"/>
          <w:b/>
          <w:sz w:val="22"/>
          <w:szCs w:val="22"/>
        </w:rPr>
        <w:t>B</w:t>
      </w:r>
      <w:r w:rsidRPr="00221383" w:rsidR="009D0028">
        <w:rPr>
          <w:rFonts w:asciiTheme="minorHAnsi" w:hAnsiTheme="minorHAnsi"/>
          <w:b/>
          <w:sz w:val="22"/>
          <w:szCs w:val="22"/>
        </w:rPr>
        <w:t>ijlage: behandelmogelijkheden EU-voorstellen</w:t>
      </w:r>
    </w:p>
    <w:p w:rsidRPr="00221383" w:rsidR="009D0028" w:rsidP="009D0028" w:rsidRDefault="009D0028" w14:paraId="79CB039A" w14:textId="77777777">
      <w:pPr>
        <w:rPr>
          <w:rFonts w:asciiTheme="minorHAnsi" w:hAnsiTheme="minorHAnsi"/>
          <w:sz w:val="20"/>
          <w:szCs w:val="20"/>
        </w:rPr>
      </w:pPr>
      <w:r w:rsidRPr="00221383">
        <w:rPr>
          <w:rFonts w:asciiTheme="minorHAnsi" w:hAnsiTheme="minorHAnsi"/>
          <w:sz w:val="20"/>
          <w:szCs w:val="20"/>
        </w:rPr>
        <w:t xml:space="preserve">Hieronder treft u een overzicht aan van vaak voorkomende EU-instrumenten en een (niet uitputtend) overzicht van momenten waarop u als commissie of als fractie invloed kunt uitoefenen op de vorming van EU beleid: hetzij via het kabinet; hetzij zelf in Brussel. </w:t>
      </w:r>
    </w:p>
    <w:p w:rsidRPr="00221383" w:rsidR="009D0028" w:rsidP="009D0028" w:rsidRDefault="009D0028" w14:paraId="7C56333D" w14:textId="77777777">
      <w:pPr>
        <w:rPr>
          <w:rFonts w:asciiTheme="minorHAnsi" w:hAnsiTheme="minorHAnsi"/>
          <w:sz w:val="20"/>
          <w:szCs w:val="20"/>
        </w:rPr>
      </w:pPr>
      <w:r w:rsidRPr="00221383">
        <w:rPr>
          <w:rFonts w:asciiTheme="minorHAnsi" w:hAnsiTheme="minorHAnsi"/>
          <w:sz w:val="20"/>
          <w:szCs w:val="20"/>
        </w:rPr>
        <w:t xml:space="preserve">Indien de Europese Commissie een als prioritair aangemerkt EU-voorstel publiceert, wordt dit met een behandelvoorstel op de agenda van een procedurevergadering geagendeerd. In EU-notities en EU-signaleringen, bijvoorbeeld ter voorbereiding op bijeenkomsten van Europese Raden, wordt ook ingegaan op parlementaire beïnvloedingsmomenten in het EU-proces. </w:t>
      </w:r>
    </w:p>
    <w:p w:rsidRPr="00221383" w:rsidR="009D0028" w:rsidP="009D0028" w:rsidRDefault="009D0028" w14:paraId="11F89496" w14:textId="77777777">
      <w:pPr>
        <w:pStyle w:val="Voetnoottekst"/>
        <w:rPr>
          <w:rFonts w:asciiTheme="minorHAnsi" w:hAnsiTheme="minorHAnsi"/>
        </w:rPr>
      </w:pPr>
    </w:p>
    <w:tbl>
      <w:tblPr>
        <w:tblStyle w:val="Tabelraster"/>
        <w:tblW w:w="14142" w:type="dxa"/>
        <w:tblLayout w:type="fixed"/>
        <w:tblLook w:val="04A0" w:firstRow="1" w:lastRow="0" w:firstColumn="1" w:lastColumn="0" w:noHBand="0" w:noVBand="1"/>
      </w:tblPr>
      <w:tblGrid>
        <w:gridCol w:w="2093"/>
        <w:gridCol w:w="6946"/>
        <w:gridCol w:w="5103"/>
      </w:tblGrid>
      <w:tr w:rsidRPr="00221383" w:rsidR="009D0028" w:rsidTr="00512762" w14:paraId="4FB730A7" w14:textId="77777777">
        <w:tc>
          <w:tcPr>
            <w:tcW w:w="2093" w:type="dxa"/>
          </w:tcPr>
          <w:p w:rsidRPr="00221383" w:rsidR="009D0028" w:rsidP="00512762" w:rsidRDefault="009D0028" w14:paraId="086907DA" w14:textId="77777777">
            <w:pPr>
              <w:pStyle w:val="Voetnoottekst"/>
              <w:rPr>
                <w:rFonts w:asciiTheme="minorHAnsi" w:hAnsiTheme="minorHAnsi"/>
                <w:b/>
              </w:rPr>
            </w:pPr>
            <w:r w:rsidRPr="00221383">
              <w:rPr>
                <w:rFonts w:asciiTheme="minorHAnsi" w:hAnsiTheme="minorHAnsi"/>
                <w:b/>
              </w:rPr>
              <w:t>Soort Instrument</w:t>
            </w:r>
          </w:p>
        </w:tc>
        <w:tc>
          <w:tcPr>
            <w:tcW w:w="6946" w:type="dxa"/>
          </w:tcPr>
          <w:p w:rsidRPr="00221383" w:rsidR="009D0028" w:rsidP="00512762" w:rsidRDefault="009D0028" w14:paraId="405EE301" w14:textId="77777777">
            <w:pPr>
              <w:pStyle w:val="Voetnoottekst"/>
              <w:rPr>
                <w:rFonts w:asciiTheme="minorHAnsi" w:hAnsiTheme="minorHAnsi"/>
                <w:b/>
              </w:rPr>
            </w:pPr>
            <w:r w:rsidRPr="00221383">
              <w:rPr>
                <w:rFonts w:asciiTheme="minorHAnsi" w:hAnsiTheme="minorHAnsi"/>
                <w:b/>
              </w:rPr>
              <w:t>Toelichting</w:t>
            </w:r>
          </w:p>
        </w:tc>
        <w:tc>
          <w:tcPr>
            <w:tcW w:w="5103" w:type="dxa"/>
          </w:tcPr>
          <w:p w:rsidRPr="00221383" w:rsidR="009D0028" w:rsidP="00512762" w:rsidRDefault="009D0028" w14:paraId="133768AB" w14:textId="77777777">
            <w:pPr>
              <w:pStyle w:val="Voetnoottekst"/>
              <w:rPr>
                <w:rFonts w:asciiTheme="minorHAnsi" w:hAnsiTheme="minorHAnsi"/>
                <w:b/>
              </w:rPr>
            </w:pPr>
            <w:r w:rsidRPr="00221383">
              <w:rPr>
                <w:rFonts w:asciiTheme="minorHAnsi" w:hAnsiTheme="minorHAnsi"/>
                <w:b/>
              </w:rPr>
              <w:t xml:space="preserve">Mogelijke beïnvloedingsmomenten </w:t>
            </w:r>
          </w:p>
        </w:tc>
      </w:tr>
      <w:tr w:rsidRPr="00221383" w:rsidR="009D0028" w:rsidTr="00512762" w14:paraId="7C2F5690" w14:textId="77777777">
        <w:tc>
          <w:tcPr>
            <w:tcW w:w="14142" w:type="dxa"/>
            <w:gridSpan w:val="3"/>
          </w:tcPr>
          <w:p w:rsidRPr="00221383" w:rsidR="009D0028" w:rsidP="00512762" w:rsidRDefault="009D0028" w14:paraId="41D249EA" w14:textId="77777777">
            <w:pPr>
              <w:pStyle w:val="Voetnoottekst"/>
              <w:rPr>
                <w:rFonts w:asciiTheme="minorHAnsi" w:hAnsiTheme="minorHAnsi"/>
                <w:i/>
              </w:rPr>
            </w:pPr>
          </w:p>
          <w:p w:rsidRPr="00221383" w:rsidR="009D0028" w:rsidP="00512762" w:rsidRDefault="009D0028" w14:paraId="3B6A6848" w14:textId="77777777">
            <w:pPr>
              <w:pStyle w:val="Voetnoottekst"/>
              <w:rPr>
                <w:rFonts w:asciiTheme="minorHAnsi" w:hAnsiTheme="minorHAnsi"/>
                <w:i/>
              </w:rPr>
            </w:pPr>
            <w:r w:rsidRPr="00221383">
              <w:rPr>
                <w:rFonts w:asciiTheme="minorHAnsi" w:hAnsiTheme="minorHAnsi"/>
                <w:i/>
              </w:rPr>
              <w:t>Wetgevende, bindende rechtshandelingen</w:t>
            </w:r>
            <w:r w:rsidRPr="00221383">
              <w:rPr>
                <w:rStyle w:val="Voetnootmarkering"/>
                <w:rFonts w:asciiTheme="minorHAnsi" w:hAnsiTheme="minorHAnsi"/>
                <w:i/>
              </w:rPr>
              <w:footnoteReference w:id="2"/>
            </w:r>
            <w:r w:rsidRPr="00221383">
              <w:rPr>
                <w:rFonts w:asciiTheme="minorHAnsi" w:hAnsiTheme="minorHAnsi"/>
                <w:i/>
              </w:rPr>
              <w:t xml:space="preserve"> </w:t>
            </w:r>
          </w:p>
        </w:tc>
      </w:tr>
      <w:tr w:rsidRPr="00221383" w:rsidR="009D0028" w:rsidTr="00512762" w14:paraId="6FF083DF" w14:textId="77777777">
        <w:tc>
          <w:tcPr>
            <w:tcW w:w="2093" w:type="dxa"/>
          </w:tcPr>
          <w:p w:rsidRPr="00221383" w:rsidR="009D0028" w:rsidP="00512762" w:rsidRDefault="009D0028" w14:paraId="3F18CC4C" w14:textId="77777777">
            <w:pPr>
              <w:pStyle w:val="Voetnoottekst"/>
              <w:rPr>
                <w:rFonts w:asciiTheme="minorHAnsi" w:hAnsiTheme="minorHAnsi"/>
              </w:rPr>
            </w:pPr>
            <w:r w:rsidRPr="00221383">
              <w:rPr>
                <w:rFonts w:asciiTheme="minorHAnsi" w:hAnsiTheme="minorHAnsi"/>
              </w:rPr>
              <w:t>Verordening</w:t>
            </w:r>
          </w:p>
        </w:tc>
        <w:tc>
          <w:tcPr>
            <w:tcW w:w="6946" w:type="dxa"/>
          </w:tcPr>
          <w:p w:rsidRPr="00221383" w:rsidR="009D0028" w:rsidP="00512762" w:rsidRDefault="009D0028" w14:paraId="35624E5C" w14:textId="77777777">
            <w:pPr>
              <w:pStyle w:val="Voetnoottekst"/>
              <w:rPr>
                <w:rFonts w:asciiTheme="minorHAnsi" w:hAnsiTheme="minorHAnsi"/>
              </w:rPr>
            </w:pPr>
            <w:r w:rsidRPr="00221383">
              <w:rPr>
                <w:rFonts w:asciiTheme="minorHAnsi" w:hAnsiTheme="minorHAnsi"/>
              </w:rPr>
              <w:t xml:space="preserve">Een verordening heeft een algemene strekking, is verbindend in al haar onderdelen en is rechtstreeks toepasselijk in elke lidstaat. Dit betekent dat een verordening algemene regels stelt die voor een ieder gelden, direct van toepassing zijn in de nationale rechtsorde en voorrang hebben op (eventueel strijdig) nationaal recht. Soms is aanvullende wetgeving nodig om de verordening volledig te operationaliseren (bijvoorbeeld bij het aanwijzen van een nationale toezichthouder). Een door de EU wetgever (Raad en/of Europees Parlement) aangenomen verordening komt niet terug in de Kamer voor behandeling. </w:t>
            </w:r>
          </w:p>
        </w:tc>
        <w:tc>
          <w:tcPr>
            <w:tcW w:w="5103" w:type="dxa"/>
            <w:vMerge w:val="restart"/>
          </w:tcPr>
          <w:p w:rsidRPr="00221383" w:rsidR="009D0028" w:rsidP="00512762" w:rsidRDefault="009D0028" w14:paraId="1764F598" w14:textId="77777777">
            <w:pPr>
              <w:pStyle w:val="Voetnoottekst"/>
              <w:numPr>
                <w:ilvl w:val="0"/>
                <w:numId w:val="1"/>
              </w:numPr>
              <w:rPr>
                <w:rFonts w:asciiTheme="minorHAnsi" w:hAnsiTheme="minorHAnsi"/>
              </w:rPr>
            </w:pPr>
            <w:r w:rsidRPr="00221383">
              <w:rPr>
                <w:rFonts w:asciiTheme="minorHAnsi" w:hAnsiTheme="minorHAnsi"/>
              </w:rPr>
              <w:t>ambtenaren of Commissaris Europese Commissie (de ‘auteurs’) uitnodigen voor briefing/gesprek, evt. via videoconferentie.</w:t>
            </w:r>
          </w:p>
          <w:p w:rsidRPr="00221383" w:rsidR="009D0028" w:rsidP="00512762" w:rsidRDefault="009D0028" w14:paraId="172E775A" w14:textId="77777777">
            <w:pPr>
              <w:pStyle w:val="Voetnoottekst"/>
              <w:numPr>
                <w:ilvl w:val="0"/>
                <w:numId w:val="1"/>
              </w:numPr>
              <w:rPr>
                <w:rFonts w:asciiTheme="minorHAnsi" w:hAnsiTheme="minorHAnsi"/>
              </w:rPr>
            </w:pPr>
            <w:r w:rsidRPr="00221383">
              <w:rPr>
                <w:rFonts w:asciiTheme="minorHAnsi" w:hAnsiTheme="minorHAnsi"/>
              </w:rPr>
              <w:t>subsidiariteitstoets overwegen: let op termijn (zie hieronder).</w:t>
            </w:r>
          </w:p>
          <w:p w:rsidRPr="00221383" w:rsidR="009D0028" w:rsidP="00512762" w:rsidRDefault="009D0028" w14:paraId="6CA574D6" w14:textId="77777777">
            <w:pPr>
              <w:pStyle w:val="Voetnoottekst"/>
              <w:numPr>
                <w:ilvl w:val="0"/>
                <w:numId w:val="1"/>
              </w:numPr>
              <w:rPr>
                <w:rFonts w:asciiTheme="minorHAnsi" w:hAnsiTheme="minorHAnsi"/>
              </w:rPr>
            </w:pPr>
            <w:r w:rsidRPr="00221383">
              <w:rPr>
                <w:rFonts w:asciiTheme="minorHAnsi" w:hAnsiTheme="minorHAnsi"/>
              </w:rPr>
              <w:t>behandelvoorbehoud overwegen: let op termijn (zie hieronder).</w:t>
            </w:r>
          </w:p>
          <w:p w:rsidRPr="00221383" w:rsidR="009D0028" w:rsidP="00512762" w:rsidRDefault="009D0028" w14:paraId="228017FA" w14:textId="77777777">
            <w:pPr>
              <w:pStyle w:val="Voetnoottekst"/>
              <w:numPr>
                <w:ilvl w:val="0"/>
                <w:numId w:val="1"/>
              </w:numPr>
              <w:rPr>
                <w:rFonts w:asciiTheme="minorHAnsi" w:hAnsiTheme="minorHAnsi"/>
              </w:rPr>
            </w:pPr>
            <w:r w:rsidRPr="00221383">
              <w:rPr>
                <w:rFonts w:asciiTheme="minorHAnsi" w:hAnsiTheme="minorHAnsi"/>
              </w:rPr>
              <w:t>ad-hoc rapporteur(s) binnen de commissie(s) benoemen.</w:t>
            </w:r>
          </w:p>
          <w:p w:rsidRPr="00221383" w:rsidR="009D0028" w:rsidP="00512762" w:rsidRDefault="009D0028" w14:paraId="27248A65" w14:textId="77777777">
            <w:pPr>
              <w:pStyle w:val="Voetnoottekst"/>
              <w:numPr>
                <w:ilvl w:val="0"/>
                <w:numId w:val="1"/>
              </w:numPr>
              <w:rPr>
                <w:rFonts w:asciiTheme="minorHAnsi" w:hAnsiTheme="minorHAnsi"/>
              </w:rPr>
            </w:pPr>
            <w:r w:rsidRPr="00221383">
              <w:rPr>
                <w:rFonts w:asciiTheme="minorHAnsi" w:hAnsiTheme="minorHAnsi"/>
              </w:rPr>
              <w:t>tijdens overleg met kabinet NL onderhandelingsinzet aan de orde stellen, evt. aan de hand van het “BNC-</w:t>
            </w:r>
            <w:r w:rsidRPr="00221383">
              <w:rPr>
                <w:rFonts w:asciiTheme="minorHAnsi" w:hAnsiTheme="minorHAnsi"/>
              </w:rPr>
              <w:lastRenderedPageBreak/>
              <w:t>fiche”.</w:t>
            </w:r>
            <w:r w:rsidRPr="00221383">
              <w:rPr>
                <w:rStyle w:val="Voetnootmarkering"/>
                <w:rFonts w:asciiTheme="minorHAnsi" w:hAnsiTheme="minorHAnsi"/>
              </w:rPr>
              <w:footnoteReference w:id="3"/>
            </w:r>
            <w:r w:rsidRPr="00221383">
              <w:rPr>
                <w:rFonts w:asciiTheme="minorHAnsi" w:hAnsiTheme="minorHAnsi"/>
              </w:rPr>
              <w:t xml:space="preserve"> </w:t>
            </w:r>
          </w:p>
          <w:p w:rsidRPr="00221383" w:rsidR="009D0028" w:rsidP="00512762" w:rsidRDefault="009D0028" w14:paraId="3FDDFD7D" w14:textId="77777777">
            <w:pPr>
              <w:pStyle w:val="Voetnoottekst"/>
              <w:numPr>
                <w:ilvl w:val="0"/>
                <w:numId w:val="1"/>
              </w:numPr>
              <w:rPr>
                <w:rFonts w:asciiTheme="minorHAnsi" w:hAnsiTheme="minorHAnsi"/>
              </w:rPr>
            </w:pPr>
            <w:r w:rsidRPr="00221383">
              <w:rPr>
                <w:rFonts w:asciiTheme="minorHAnsi" w:hAnsiTheme="minorHAnsi"/>
              </w:rPr>
              <w:t>EP-rapporteur uitnodigen, evt. via videoconferentie.</w:t>
            </w:r>
            <w:r w:rsidRPr="00221383">
              <w:rPr>
                <w:rFonts w:asciiTheme="minorHAnsi" w:hAnsiTheme="minorHAnsi"/>
              </w:rPr>
              <w:br/>
            </w:r>
            <w:r w:rsidRPr="00221383">
              <w:rPr>
                <w:rFonts w:asciiTheme="minorHAnsi" w:hAnsiTheme="minorHAnsi"/>
              </w:rPr>
              <w:br/>
            </w:r>
          </w:p>
          <w:p w:rsidRPr="00221383" w:rsidR="009D0028" w:rsidP="00512762" w:rsidRDefault="009D0028" w14:paraId="4252721C" w14:textId="77777777">
            <w:pPr>
              <w:pStyle w:val="Voetnoottekst"/>
              <w:numPr>
                <w:ilvl w:val="0"/>
                <w:numId w:val="1"/>
              </w:numPr>
              <w:rPr>
                <w:rFonts w:asciiTheme="minorHAnsi" w:hAnsiTheme="minorHAnsi"/>
              </w:rPr>
            </w:pPr>
            <w:r w:rsidRPr="00221383">
              <w:rPr>
                <w:rFonts w:asciiTheme="minorHAnsi" w:hAnsiTheme="minorHAnsi"/>
              </w:rPr>
              <w:t>NB: Pas na afronding van het onderhandelingstraject: nationale wetgevingstraject monitoren (i.h.k.v. omzetting naar nationale wetgeving).</w:t>
            </w:r>
          </w:p>
        </w:tc>
      </w:tr>
      <w:tr w:rsidRPr="00221383" w:rsidR="009D0028" w:rsidTr="00512762" w14:paraId="0584C92D" w14:textId="77777777">
        <w:tc>
          <w:tcPr>
            <w:tcW w:w="2093" w:type="dxa"/>
          </w:tcPr>
          <w:p w:rsidRPr="00221383" w:rsidR="009D0028" w:rsidP="00512762" w:rsidRDefault="009D0028" w14:paraId="78FFEAD5" w14:textId="77777777">
            <w:pPr>
              <w:pStyle w:val="Voetnoottekst"/>
              <w:rPr>
                <w:rFonts w:asciiTheme="minorHAnsi" w:hAnsiTheme="minorHAnsi"/>
              </w:rPr>
            </w:pPr>
            <w:r w:rsidRPr="00221383">
              <w:rPr>
                <w:rFonts w:asciiTheme="minorHAnsi" w:hAnsiTheme="minorHAnsi"/>
              </w:rPr>
              <w:t xml:space="preserve">Richtlijn </w:t>
            </w:r>
          </w:p>
        </w:tc>
        <w:tc>
          <w:tcPr>
            <w:tcW w:w="6946" w:type="dxa"/>
          </w:tcPr>
          <w:p w:rsidRPr="00221383" w:rsidR="009D0028" w:rsidP="00512762" w:rsidRDefault="009D0028" w14:paraId="0CE0F215" w14:textId="77777777">
            <w:pPr>
              <w:pStyle w:val="Voetnoottekst"/>
              <w:rPr>
                <w:rFonts w:asciiTheme="minorHAnsi" w:hAnsiTheme="minorHAnsi"/>
              </w:rPr>
            </w:pPr>
            <w:r w:rsidRPr="00221383">
              <w:rPr>
                <w:rFonts w:asciiTheme="minorHAnsi" w:hAnsiTheme="minorHAnsi"/>
              </w:rPr>
              <w:t xml:space="preserve">Een richtlijn is verbindend ten aanzien van het te bereiken resultaat - aan de nationale instanties wordt de bevoegdheid gelaten vorm en middelen te kiezen. Lidstaten dienen richtlijnen om te zetten in nationaal recht - pas dan treden de </w:t>
            </w:r>
            <w:r w:rsidRPr="00221383">
              <w:rPr>
                <w:rFonts w:asciiTheme="minorHAnsi" w:hAnsiTheme="minorHAnsi"/>
              </w:rPr>
              <w:lastRenderedPageBreak/>
              <w:t xml:space="preserve">regels in werking. Een richtlijn laat zo ruimte aan lidstaten om zelf invulling te geven aan het verwezenlijken van een gemeenschappelijk vastgesteld doel. In de praktijk kunnen richtlijnen zeer gedetailleerde bepalingen bevatten. Daarnaast bieden richtlijnen geen soms geen enkele ruimte om andere regels te stellen. Een aangenomen richtlijn komt terug in de Kamer indien er implementatiewetgeving wordt voorgesteld. </w:t>
            </w:r>
          </w:p>
        </w:tc>
        <w:tc>
          <w:tcPr>
            <w:tcW w:w="5103" w:type="dxa"/>
            <w:vMerge/>
          </w:tcPr>
          <w:p w:rsidRPr="00221383" w:rsidR="009D0028" w:rsidP="00512762" w:rsidRDefault="009D0028" w14:paraId="2CB3B71E" w14:textId="77777777">
            <w:pPr>
              <w:pStyle w:val="Voetnoottekst"/>
              <w:numPr>
                <w:ilvl w:val="0"/>
                <w:numId w:val="2"/>
              </w:numPr>
              <w:ind w:left="317" w:hanging="283"/>
              <w:rPr>
                <w:rFonts w:asciiTheme="minorHAnsi" w:hAnsiTheme="minorHAnsi"/>
              </w:rPr>
            </w:pPr>
          </w:p>
        </w:tc>
      </w:tr>
      <w:tr w:rsidRPr="00221383" w:rsidR="009D0028" w:rsidTr="00512762" w14:paraId="7A7F97F8" w14:textId="77777777">
        <w:tc>
          <w:tcPr>
            <w:tcW w:w="2093" w:type="dxa"/>
          </w:tcPr>
          <w:p w:rsidRPr="00221383" w:rsidR="009D0028" w:rsidP="00512762" w:rsidRDefault="009D0028" w14:paraId="52267D91" w14:textId="77777777">
            <w:pPr>
              <w:pStyle w:val="Voetnoottekst"/>
              <w:rPr>
                <w:rFonts w:asciiTheme="minorHAnsi" w:hAnsiTheme="minorHAnsi"/>
              </w:rPr>
            </w:pPr>
            <w:r w:rsidRPr="00221383">
              <w:rPr>
                <w:rFonts w:asciiTheme="minorHAnsi" w:hAnsiTheme="minorHAnsi"/>
              </w:rPr>
              <w:lastRenderedPageBreak/>
              <w:t>(Besluit)</w:t>
            </w:r>
          </w:p>
        </w:tc>
        <w:tc>
          <w:tcPr>
            <w:tcW w:w="6946" w:type="dxa"/>
          </w:tcPr>
          <w:p w:rsidRPr="00221383" w:rsidR="009D0028" w:rsidP="00512762" w:rsidRDefault="009D0028" w14:paraId="29AC02B0" w14:textId="77777777">
            <w:pPr>
              <w:pStyle w:val="Voetnoottekst"/>
              <w:rPr>
                <w:rFonts w:asciiTheme="minorHAnsi" w:hAnsiTheme="minorHAnsi"/>
              </w:rPr>
            </w:pPr>
            <w:r w:rsidRPr="00221383">
              <w:rPr>
                <w:rFonts w:asciiTheme="minorHAnsi" w:hAnsiTheme="minorHAnsi"/>
              </w:rPr>
              <w:t xml:space="preserve">Een besluit is verbindend in al zijn onderdelen. Indien de adressanten worden vermeld, is zij alleen voor hen verbindend. Met besluiten kunnen algemeen verbindende voorschriften worden toegepast op een concreet geval. Daarnaast kunnen besluiten ook algemeen verbindende voorschriften bevatten. In dat laatste geval is sprake van een wetgevende handeling, in dat eerste geval niet. </w:t>
            </w:r>
            <w:r w:rsidRPr="00221383">
              <w:rPr>
                <w:rFonts w:asciiTheme="minorHAnsi" w:hAnsiTheme="minorHAnsi"/>
              </w:rPr>
              <w:br/>
              <w:t xml:space="preserve">Voor wetgevende besluiten kan gekozen worden als richtlijnen en verordeningen niet geschikt zijn als instrument. Niet-wetgevende besluiten kunnen gericht zijn tot individuele of alle lidstaten (bv. maatregelen tegen onrechtmatige staatssteun) of individuen (natuurlijke personen en rechtspersonen) (bv in mededingingszaken). Verder is er nog een aantal bijzondere besluiten, zoals direct op de Verdragen gebaseerde uitvoeringsbepalingen; besluiten van de Europese Raad (bv het meerjarenplan op JBZ-gebied); en besluiten op het terrein van het Gemeenschappelijk Buitenlands- en Veiligheidsbeleid  en besluiten tot het sluiten van internationale verdragen. Deze zijn in de regel niet wetgevend. Indien een besluit alleen door de Commissie wordt genomen, is het een niet-wetgevend besluit. Besluiten op voorstel van de Europese Commissie, genomen door de Raad en het Parlement zullen in de regel wetgevend zijn. Dit zal van geval tot geval moeten worden beoordeeld. </w:t>
            </w:r>
          </w:p>
        </w:tc>
        <w:tc>
          <w:tcPr>
            <w:tcW w:w="5103" w:type="dxa"/>
            <w:vMerge/>
          </w:tcPr>
          <w:p w:rsidRPr="00221383" w:rsidR="009D0028" w:rsidP="00512762" w:rsidRDefault="009D0028" w14:paraId="46EFD9B4" w14:textId="77777777">
            <w:pPr>
              <w:pStyle w:val="Voetnoottekst"/>
              <w:numPr>
                <w:ilvl w:val="0"/>
                <w:numId w:val="2"/>
              </w:numPr>
              <w:ind w:left="317" w:hanging="283"/>
              <w:rPr>
                <w:rFonts w:asciiTheme="minorHAnsi" w:hAnsiTheme="minorHAnsi"/>
              </w:rPr>
            </w:pPr>
          </w:p>
        </w:tc>
      </w:tr>
      <w:tr w:rsidRPr="00221383" w:rsidR="009D0028" w:rsidTr="00512762" w14:paraId="74986FFF" w14:textId="77777777">
        <w:tc>
          <w:tcPr>
            <w:tcW w:w="14142" w:type="dxa"/>
            <w:gridSpan w:val="3"/>
          </w:tcPr>
          <w:p w:rsidRPr="00221383" w:rsidR="009D0028" w:rsidP="00512762" w:rsidRDefault="009D0028" w14:paraId="0BF5ED2C" w14:textId="77777777">
            <w:pPr>
              <w:pStyle w:val="Voetnoottekst"/>
              <w:rPr>
                <w:rFonts w:asciiTheme="minorHAnsi" w:hAnsiTheme="minorHAnsi"/>
                <w:i/>
              </w:rPr>
            </w:pPr>
            <w:r w:rsidRPr="00221383">
              <w:rPr>
                <w:rFonts w:asciiTheme="minorHAnsi" w:hAnsiTheme="minorHAnsi"/>
                <w:i/>
              </w:rPr>
              <w:t>Niet-wetgevende bindende rechtshandelingen</w:t>
            </w:r>
          </w:p>
        </w:tc>
      </w:tr>
      <w:tr w:rsidRPr="00221383" w:rsidR="009D0028" w:rsidTr="00512762" w14:paraId="03F59DA9" w14:textId="77777777">
        <w:tc>
          <w:tcPr>
            <w:tcW w:w="2093" w:type="dxa"/>
          </w:tcPr>
          <w:p w:rsidRPr="00221383" w:rsidR="009D0028" w:rsidP="00512762" w:rsidRDefault="009D0028" w14:paraId="170D80A0" w14:textId="77777777">
            <w:pPr>
              <w:pStyle w:val="Voetnoottekst"/>
              <w:rPr>
                <w:rFonts w:asciiTheme="minorHAnsi" w:hAnsiTheme="minorHAnsi"/>
              </w:rPr>
            </w:pPr>
            <w:r w:rsidRPr="00221383">
              <w:rPr>
                <w:rFonts w:asciiTheme="minorHAnsi" w:hAnsiTheme="minorHAnsi"/>
              </w:rPr>
              <w:t>Gedelegeerde handeling</w:t>
            </w:r>
          </w:p>
        </w:tc>
        <w:tc>
          <w:tcPr>
            <w:tcW w:w="6946" w:type="dxa"/>
          </w:tcPr>
          <w:p w:rsidRPr="00221383" w:rsidR="009D0028" w:rsidP="00512762" w:rsidRDefault="009D0028" w14:paraId="7C0C3EAE" w14:textId="77777777">
            <w:pPr>
              <w:pStyle w:val="Voetnoottekst"/>
              <w:rPr>
                <w:rFonts w:asciiTheme="minorHAnsi" w:hAnsiTheme="minorHAnsi"/>
              </w:rPr>
            </w:pPr>
            <w:r w:rsidRPr="00221383">
              <w:rPr>
                <w:rFonts w:asciiTheme="minorHAnsi" w:hAnsiTheme="minorHAnsi"/>
              </w:rPr>
              <w:t xml:space="preserve">In een wetgevingshandeling (richtlijn, verordening) kan aan de Europese Commissie de bevoegdheid worden overgedragen om niet-wetgevingshandelingen van algemene strekking vast te stellen ter aanvulling of wijziging van bepaalde niet-essentiële onderdelen van de wetgevingshandeling. Essentiële onderdelen van een gebied worden uitsluitend bij een wetgevingshandeling geregeld en kunnen derhalve niet het voorwerp zijn van </w:t>
            </w:r>
            <w:r w:rsidRPr="00221383">
              <w:rPr>
                <w:rFonts w:asciiTheme="minorHAnsi" w:hAnsiTheme="minorHAnsi"/>
              </w:rPr>
              <w:lastRenderedPageBreak/>
              <w:t xml:space="preserve">bevoegdheidsdelegatie. Experts, o.a. uit nationale lidstaten geven in een expertgroep advies over een voorstel tot gedelegeerde handeling. De Commissie stelt de handeling vast. Raad en Europees Parlement kunnen bezwaar maken of de bevoegdheid van de Commissie om de gedelegeerde handeling vast te stellen intrekken. </w:t>
            </w:r>
          </w:p>
        </w:tc>
        <w:tc>
          <w:tcPr>
            <w:tcW w:w="5103" w:type="dxa"/>
          </w:tcPr>
          <w:p w:rsidRPr="00221383" w:rsidR="009D0028" w:rsidP="00512762" w:rsidRDefault="009D0028" w14:paraId="7CCDA121" w14:textId="77777777">
            <w:pPr>
              <w:pStyle w:val="Voetnoottekst"/>
              <w:numPr>
                <w:ilvl w:val="0"/>
                <w:numId w:val="1"/>
              </w:numPr>
              <w:rPr>
                <w:rFonts w:asciiTheme="minorHAnsi" w:hAnsiTheme="minorHAnsi"/>
              </w:rPr>
            </w:pPr>
            <w:r w:rsidRPr="00221383">
              <w:rPr>
                <w:rFonts w:asciiTheme="minorHAnsi" w:hAnsiTheme="minorHAnsi"/>
              </w:rPr>
              <w:lastRenderedPageBreak/>
              <w:t>kabinet per brief of tijdens overleg bevragen over stand van zaken en appreciatie EU onderhandelingen en NL inzet, inclusief het voornemen van NL of andere lidstaten om binnen de Raad een bezwaarprocedure te initiëren of een procedure tot intrekking van de delegatie.</w:t>
            </w:r>
          </w:p>
          <w:p w:rsidRPr="00221383" w:rsidR="009D0028" w:rsidP="00512762" w:rsidRDefault="009D0028" w14:paraId="77AB5C02" w14:textId="77777777">
            <w:pPr>
              <w:pStyle w:val="Voetnoottekst"/>
              <w:ind w:left="360"/>
              <w:rPr>
                <w:rFonts w:asciiTheme="minorHAnsi" w:hAnsiTheme="minorHAnsi"/>
              </w:rPr>
            </w:pPr>
          </w:p>
        </w:tc>
      </w:tr>
      <w:tr w:rsidRPr="00221383" w:rsidR="009D0028" w:rsidTr="00512762" w14:paraId="325DE2EA" w14:textId="77777777">
        <w:tc>
          <w:tcPr>
            <w:tcW w:w="2093" w:type="dxa"/>
          </w:tcPr>
          <w:p w:rsidRPr="00221383" w:rsidR="009D0028" w:rsidP="00512762" w:rsidRDefault="009D0028" w14:paraId="00AE0349" w14:textId="77777777">
            <w:pPr>
              <w:pStyle w:val="Voetnoottekst"/>
              <w:rPr>
                <w:rFonts w:asciiTheme="minorHAnsi" w:hAnsiTheme="minorHAnsi"/>
              </w:rPr>
            </w:pPr>
            <w:r w:rsidRPr="00221383">
              <w:rPr>
                <w:rFonts w:asciiTheme="minorHAnsi" w:hAnsiTheme="minorHAnsi"/>
              </w:rPr>
              <w:lastRenderedPageBreak/>
              <w:t>Uitvoerings-handeling</w:t>
            </w:r>
          </w:p>
        </w:tc>
        <w:tc>
          <w:tcPr>
            <w:tcW w:w="6946" w:type="dxa"/>
          </w:tcPr>
          <w:p w:rsidRPr="00221383" w:rsidR="009D0028" w:rsidP="00512762" w:rsidRDefault="009D0028" w14:paraId="2EC0C569" w14:textId="77777777">
            <w:pPr>
              <w:pStyle w:val="Voetnoottekst"/>
              <w:rPr>
                <w:rFonts w:asciiTheme="minorHAnsi" w:hAnsiTheme="minorHAnsi"/>
              </w:rPr>
            </w:pPr>
            <w:r w:rsidRPr="00221383">
              <w:rPr>
                <w:rFonts w:asciiTheme="minorHAnsi" w:hAnsiTheme="minorHAnsi"/>
              </w:rPr>
              <w:t>Indien de implementatie van Unierecht volgens uniforme standaarden van procedurele aard moeten plaatsvinden, kan de Europese Commissie de bevoegdheid worden overgedragen om uitvoeringshandelingen vast te stellen. Uitvoeringshandelingen gaan vaak om een nadere praktische of technische uitwerking van regels die al bestaan, zoals templates, procedures, deadlines, etc. Er wordt over onderhandeld door comités van nationale ambtenaren, voorgezeten door de Europese Commissie. De Commissie stelt de uitvoeringshandeling vast.</w:t>
            </w:r>
          </w:p>
        </w:tc>
        <w:tc>
          <w:tcPr>
            <w:tcW w:w="5103" w:type="dxa"/>
          </w:tcPr>
          <w:p w:rsidRPr="00221383" w:rsidR="009D0028" w:rsidP="00512762" w:rsidRDefault="009D0028" w14:paraId="34622856" w14:textId="77777777">
            <w:pPr>
              <w:pStyle w:val="Voetnoottekst"/>
              <w:numPr>
                <w:ilvl w:val="0"/>
                <w:numId w:val="1"/>
              </w:numPr>
              <w:rPr>
                <w:rFonts w:asciiTheme="minorHAnsi" w:hAnsiTheme="minorHAnsi"/>
              </w:rPr>
            </w:pPr>
            <w:r w:rsidRPr="00221383">
              <w:rPr>
                <w:rFonts w:asciiTheme="minorHAnsi" w:hAnsiTheme="minorHAnsi"/>
              </w:rPr>
              <w:t>kabinet per brief of tijdens algemeen overleg/debat bevragen over stand van zaken en appreciatie EU onderhandelingen en NL inzet.</w:t>
            </w:r>
          </w:p>
          <w:p w:rsidRPr="00221383" w:rsidR="009D0028" w:rsidP="00512762" w:rsidRDefault="009D0028" w14:paraId="34B22C65" w14:textId="77777777">
            <w:pPr>
              <w:numPr>
                <w:ilvl w:val="0"/>
                <w:numId w:val="1"/>
              </w:numPr>
              <w:rPr>
                <w:rFonts w:asciiTheme="minorHAnsi" w:hAnsiTheme="minorHAnsi"/>
                <w:sz w:val="20"/>
                <w:szCs w:val="20"/>
              </w:rPr>
            </w:pPr>
            <w:r w:rsidRPr="00221383">
              <w:rPr>
                <w:rFonts w:asciiTheme="minorHAnsi" w:hAnsiTheme="minorHAnsi"/>
                <w:color w:val="000000"/>
                <w:sz w:val="20"/>
                <w:szCs w:val="20"/>
              </w:rPr>
              <w:t xml:space="preserve">op basis van </w:t>
            </w:r>
            <w:r w:rsidRPr="00221383">
              <w:rPr>
                <w:rFonts w:asciiTheme="minorHAnsi" w:hAnsiTheme="minorHAnsi"/>
                <w:sz w:val="20"/>
                <w:szCs w:val="20"/>
              </w:rPr>
              <w:t xml:space="preserve">de </w:t>
            </w:r>
            <w:hyperlink w:history="1" r:id="rId13">
              <w:r w:rsidRPr="00221383">
                <w:rPr>
                  <w:rFonts w:asciiTheme="minorHAnsi" w:hAnsiTheme="minorHAnsi"/>
                  <w:sz w:val="20"/>
                  <w:szCs w:val="20"/>
                  <w:u w:val="single"/>
                </w:rPr>
                <w:t>(gewijzigde) motie Van Gent</w:t>
              </w:r>
            </w:hyperlink>
            <w:r w:rsidRPr="00221383">
              <w:rPr>
                <w:rFonts w:asciiTheme="minorHAnsi" w:hAnsiTheme="minorHAnsi"/>
                <w:color w:val="000000"/>
                <w:sz w:val="20"/>
                <w:szCs w:val="20"/>
              </w:rPr>
              <w:t xml:space="preserve"> dient het kabinet de Kamer afschriften te sturen van zijn correspondentie met de Europese Commissie over de uitvoering van Europese regelgeving.</w:t>
            </w:r>
          </w:p>
        </w:tc>
      </w:tr>
      <w:tr w:rsidRPr="00221383" w:rsidR="009D0028" w:rsidTr="00512762" w14:paraId="1533B96D" w14:textId="77777777">
        <w:tc>
          <w:tcPr>
            <w:tcW w:w="2093" w:type="dxa"/>
          </w:tcPr>
          <w:p w:rsidRPr="00221383" w:rsidR="009D0028" w:rsidP="00512762" w:rsidRDefault="009D0028" w14:paraId="56D70063" w14:textId="77777777">
            <w:pPr>
              <w:pStyle w:val="Voetnoottekst"/>
              <w:rPr>
                <w:rFonts w:asciiTheme="minorHAnsi" w:hAnsiTheme="minorHAnsi"/>
              </w:rPr>
            </w:pPr>
            <w:r w:rsidRPr="00221383">
              <w:rPr>
                <w:rFonts w:asciiTheme="minorHAnsi" w:hAnsiTheme="minorHAnsi"/>
              </w:rPr>
              <w:t>Handelingen vastgesteld volgens de regelgevingsprocedure met toetsing</w:t>
            </w:r>
          </w:p>
        </w:tc>
        <w:tc>
          <w:tcPr>
            <w:tcW w:w="6946" w:type="dxa"/>
          </w:tcPr>
          <w:p w:rsidRPr="00221383" w:rsidR="009D0028" w:rsidP="00512762" w:rsidRDefault="009D0028" w14:paraId="1136C234" w14:textId="77777777">
            <w:pPr>
              <w:rPr>
                <w:rFonts w:asciiTheme="minorHAnsi" w:hAnsiTheme="minorHAnsi"/>
                <w:sz w:val="20"/>
                <w:szCs w:val="20"/>
              </w:rPr>
            </w:pPr>
            <w:r w:rsidRPr="00221383">
              <w:rPr>
                <w:rFonts w:asciiTheme="minorHAnsi" w:hAnsiTheme="minorHAnsi"/>
                <w:sz w:val="20"/>
                <w:szCs w:val="20"/>
              </w:rPr>
              <w:t>Deze procedure komt nog voor in Europese wetgeving van voor 2009. Bij deze procedure wordt de Europese Commissie geadviseerd  door een zogeheten regelgevend comité met toetsing met  vertegenwoordigers van lidstaten. Dit comité spreekt zich met gekwalificeerde meerderheid van stemmen uit over het voorstel. EP en Raad kunnen bezwaar maken.</w:t>
            </w:r>
          </w:p>
        </w:tc>
        <w:tc>
          <w:tcPr>
            <w:tcW w:w="5103" w:type="dxa"/>
          </w:tcPr>
          <w:p w:rsidRPr="00221383" w:rsidR="009D0028" w:rsidP="00512762" w:rsidRDefault="009D0028" w14:paraId="7CC4F3CB" w14:textId="77777777">
            <w:pPr>
              <w:pStyle w:val="Voetnoottekst"/>
              <w:numPr>
                <w:ilvl w:val="0"/>
                <w:numId w:val="1"/>
              </w:numPr>
              <w:rPr>
                <w:rFonts w:asciiTheme="minorHAnsi" w:hAnsiTheme="minorHAnsi"/>
              </w:rPr>
            </w:pPr>
            <w:r w:rsidRPr="00221383">
              <w:rPr>
                <w:rFonts w:asciiTheme="minorHAnsi" w:hAnsiTheme="minorHAnsi"/>
              </w:rPr>
              <w:t>kabinet per brief of tijdens overleg bevragen over stand van zaken en appreciatie EU onderhandelingen en NL inzet, inclusief het voornemen van NL of andere lidstaten om binnen de Raad een bezwaarprocedure te initiëren.</w:t>
            </w:r>
          </w:p>
          <w:p w:rsidRPr="00221383" w:rsidR="009D0028" w:rsidP="00512762" w:rsidRDefault="009D0028" w14:paraId="2AC9A7B6" w14:textId="77777777">
            <w:pPr>
              <w:pStyle w:val="Voetnoottekst"/>
              <w:numPr>
                <w:ilvl w:val="0"/>
                <w:numId w:val="1"/>
              </w:numPr>
              <w:rPr>
                <w:rFonts w:asciiTheme="minorHAnsi" w:hAnsiTheme="minorHAnsi"/>
              </w:rPr>
            </w:pPr>
          </w:p>
        </w:tc>
      </w:tr>
      <w:tr w:rsidRPr="00221383" w:rsidR="009D0028" w:rsidTr="00512762" w14:paraId="642B58BC" w14:textId="77777777">
        <w:tc>
          <w:tcPr>
            <w:tcW w:w="2093" w:type="dxa"/>
          </w:tcPr>
          <w:p w:rsidRPr="00221383" w:rsidR="009D0028" w:rsidP="00512762" w:rsidRDefault="009D0028" w14:paraId="7C5D48EF" w14:textId="77777777">
            <w:pPr>
              <w:pStyle w:val="Voetnoottekst"/>
              <w:rPr>
                <w:rFonts w:asciiTheme="minorHAnsi" w:hAnsiTheme="minorHAnsi"/>
              </w:rPr>
            </w:pPr>
            <w:r w:rsidRPr="00221383">
              <w:rPr>
                <w:rFonts w:asciiTheme="minorHAnsi" w:hAnsiTheme="minorHAnsi"/>
              </w:rPr>
              <w:t>Bijzondere rechtshandelingen</w:t>
            </w:r>
          </w:p>
        </w:tc>
        <w:tc>
          <w:tcPr>
            <w:tcW w:w="6946" w:type="dxa"/>
          </w:tcPr>
          <w:p w:rsidRPr="00221383" w:rsidR="009D0028" w:rsidP="00512762" w:rsidRDefault="009D0028" w14:paraId="21C3FDD3" w14:textId="77777777">
            <w:pPr>
              <w:pStyle w:val="Voetnoottekst"/>
              <w:rPr>
                <w:rFonts w:asciiTheme="minorHAnsi" w:hAnsiTheme="minorHAnsi"/>
              </w:rPr>
            </w:pPr>
            <w:r w:rsidRPr="00221383">
              <w:rPr>
                <w:rFonts w:asciiTheme="minorHAnsi" w:hAnsiTheme="minorHAnsi"/>
              </w:rPr>
              <w:t>Er bestaan nog andere typen niet-wetgevende rechtshandelingen waarvan op voorhand niet te zeggen zijn of zij bindend zijn of niet. Bijvoorbeeld meerjarige kaderprogramma’s of actieprogramma’s. Deze programma’s worden vastgesteld volgens dezelfde wetgevingsprocedures als richtlijnen en verordeningen. Het is zaak goed in de teksten te bezien wat de voorgestelde rechtskracht is.</w:t>
            </w:r>
          </w:p>
          <w:p w:rsidRPr="00221383" w:rsidR="009D0028" w:rsidP="00512762" w:rsidRDefault="009D0028" w14:paraId="76ED4B03" w14:textId="77777777">
            <w:pPr>
              <w:pStyle w:val="Voetnoottekst"/>
              <w:rPr>
                <w:rFonts w:asciiTheme="minorHAnsi" w:hAnsiTheme="minorHAnsi"/>
              </w:rPr>
            </w:pPr>
          </w:p>
        </w:tc>
        <w:tc>
          <w:tcPr>
            <w:tcW w:w="5103" w:type="dxa"/>
          </w:tcPr>
          <w:p w:rsidRPr="00221383" w:rsidR="009D0028" w:rsidP="00512762" w:rsidRDefault="009D0028" w14:paraId="0863973F" w14:textId="77777777">
            <w:pPr>
              <w:pStyle w:val="Voetnoottekst"/>
              <w:numPr>
                <w:ilvl w:val="0"/>
                <w:numId w:val="1"/>
              </w:numPr>
              <w:rPr>
                <w:rFonts w:asciiTheme="minorHAnsi" w:hAnsiTheme="minorHAnsi"/>
              </w:rPr>
            </w:pPr>
            <w:r w:rsidRPr="00221383">
              <w:rPr>
                <w:rFonts w:asciiTheme="minorHAnsi" w:hAnsiTheme="minorHAnsi"/>
              </w:rPr>
              <w:t>kabinetsappreciatie (‘BNC-fiche’) vragen, bespreken.</w:t>
            </w:r>
          </w:p>
          <w:p w:rsidRPr="00221383" w:rsidR="009D0028" w:rsidP="00512762" w:rsidRDefault="009D0028" w14:paraId="6FAE07C0" w14:textId="77777777">
            <w:pPr>
              <w:pStyle w:val="Voetnoottekst"/>
              <w:numPr>
                <w:ilvl w:val="0"/>
                <w:numId w:val="1"/>
              </w:numPr>
              <w:rPr>
                <w:rFonts w:asciiTheme="minorHAnsi" w:hAnsiTheme="minorHAnsi"/>
              </w:rPr>
            </w:pPr>
            <w:r w:rsidRPr="00221383">
              <w:rPr>
                <w:rFonts w:asciiTheme="minorHAnsi" w:hAnsiTheme="minorHAnsi"/>
              </w:rPr>
              <w:t>ambtenaren of Commissaris van Europese Commissie (de ‘auteurs’) uitnodigen voor briefing/gesprek, evt. via videoconferentie</w:t>
            </w:r>
          </w:p>
          <w:p w:rsidRPr="00221383" w:rsidR="009D0028" w:rsidP="00512762" w:rsidRDefault="009D0028" w14:paraId="026C55FA" w14:textId="77777777">
            <w:pPr>
              <w:pStyle w:val="Voetnoottekst"/>
              <w:numPr>
                <w:ilvl w:val="0"/>
                <w:numId w:val="1"/>
              </w:numPr>
              <w:rPr>
                <w:rFonts w:asciiTheme="minorHAnsi" w:hAnsiTheme="minorHAnsi"/>
              </w:rPr>
            </w:pPr>
            <w:r w:rsidRPr="00221383">
              <w:rPr>
                <w:rFonts w:asciiTheme="minorHAnsi" w:hAnsiTheme="minorHAnsi"/>
              </w:rPr>
              <w:t>indien het Europees Parlement een rapporteur heeft aangesteld kan deze desgewenst worden uitgenodigd voor een gesprek.</w:t>
            </w:r>
          </w:p>
          <w:p w:rsidRPr="00221383" w:rsidR="009D0028" w:rsidP="00512762" w:rsidRDefault="009D0028" w14:paraId="112B09CD" w14:textId="77777777">
            <w:pPr>
              <w:pStyle w:val="Voetnoottekst"/>
              <w:numPr>
                <w:ilvl w:val="0"/>
                <w:numId w:val="1"/>
              </w:numPr>
              <w:rPr>
                <w:rFonts w:asciiTheme="minorHAnsi" w:hAnsiTheme="minorHAnsi"/>
              </w:rPr>
            </w:pPr>
            <w:r w:rsidRPr="00221383">
              <w:rPr>
                <w:rFonts w:asciiTheme="minorHAnsi" w:hAnsiTheme="minorHAnsi"/>
              </w:rPr>
              <w:t>uw commissie kan op dit onderwerp een ad-hoc rapporteur benoemen</w:t>
            </w:r>
          </w:p>
          <w:p w:rsidRPr="00221383" w:rsidR="009D0028" w:rsidP="00512762" w:rsidRDefault="009D0028" w14:paraId="3B23B6DF" w14:textId="77777777">
            <w:pPr>
              <w:pStyle w:val="Voetnoottekst"/>
              <w:ind w:left="360"/>
              <w:rPr>
                <w:rFonts w:asciiTheme="minorHAnsi" w:hAnsiTheme="minorHAnsi"/>
              </w:rPr>
            </w:pPr>
            <w:r w:rsidRPr="00221383">
              <w:rPr>
                <w:rFonts w:asciiTheme="minorHAnsi" w:hAnsiTheme="minorHAnsi"/>
              </w:rPr>
              <w:t>nationale wetgevingstraject (i.h.k.v. omzetting van richtlijn naar nationale wetgeving).</w:t>
            </w:r>
          </w:p>
        </w:tc>
      </w:tr>
      <w:tr w:rsidRPr="00221383" w:rsidR="009D0028" w:rsidTr="00512762" w14:paraId="5F6444CC" w14:textId="77777777">
        <w:tc>
          <w:tcPr>
            <w:tcW w:w="14142" w:type="dxa"/>
            <w:gridSpan w:val="3"/>
          </w:tcPr>
          <w:p w:rsidRPr="00221383" w:rsidR="009D0028" w:rsidP="00512762" w:rsidRDefault="009D0028" w14:paraId="6DF80853" w14:textId="77777777">
            <w:pPr>
              <w:pStyle w:val="Voetnoottekst"/>
              <w:rPr>
                <w:rFonts w:asciiTheme="minorHAnsi" w:hAnsiTheme="minorHAnsi"/>
                <w:i/>
              </w:rPr>
            </w:pPr>
            <w:r w:rsidRPr="00221383">
              <w:rPr>
                <w:rFonts w:asciiTheme="minorHAnsi" w:hAnsiTheme="minorHAnsi"/>
                <w:i/>
              </w:rPr>
              <w:t>Niet-bindende handelingen (soft-law)</w:t>
            </w:r>
          </w:p>
        </w:tc>
      </w:tr>
      <w:tr w:rsidRPr="00221383" w:rsidR="009D0028" w:rsidTr="00512762" w14:paraId="2E0254B1" w14:textId="77777777">
        <w:tc>
          <w:tcPr>
            <w:tcW w:w="2093" w:type="dxa"/>
          </w:tcPr>
          <w:p w:rsidRPr="00221383" w:rsidR="009D0028" w:rsidP="00512762" w:rsidRDefault="009D0028" w14:paraId="24B02EA3" w14:textId="77777777">
            <w:pPr>
              <w:pStyle w:val="Voetnoottekst"/>
              <w:rPr>
                <w:rFonts w:asciiTheme="minorHAnsi" w:hAnsiTheme="minorHAnsi"/>
              </w:rPr>
            </w:pPr>
            <w:r w:rsidRPr="00221383">
              <w:rPr>
                <w:rFonts w:asciiTheme="minorHAnsi" w:hAnsiTheme="minorHAnsi"/>
              </w:rPr>
              <w:t>Advies, aanbeveling, mededeling</w:t>
            </w:r>
          </w:p>
          <w:p w:rsidRPr="00221383" w:rsidR="009D0028" w:rsidP="00512762" w:rsidRDefault="009D0028" w14:paraId="15F9E59B" w14:textId="77777777">
            <w:pPr>
              <w:jc w:val="right"/>
              <w:rPr>
                <w:rFonts w:asciiTheme="minorHAnsi" w:hAnsiTheme="minorHAnsi"/>
                <w:sz w:val="20"/>
                <w:szCs w:val="20"/>
              </w:rPr>
            </w:pPr>
          </w:p>
          <w:p w:rsidRPr="00221383" w:rsidR="009D0028" w:rsidP="00512762" w:rsidRDefault="009D0028" w14:paraId="2EEA1C3D" w14:textId="77777777">
            <w:pPr>
              <w:jc w:val="right"/>
              <w:rPr>
                <w:rFonts w:asciiTheme="minorHAnsi" w:hAnsiTheme="minorHAnsi"/>
                <w:sz w:val="20"/>
                <w:szCs w:val="20"/>
              </w:rPr>
            </w:pPr>
          </w:p>
          <w:p w:rsidRPr="00221383" w:rsidR="009D0028" w:rsidP="00512762" w:rsidRDefault="009D0028" w14:paraId="664A1B16" w14:textId="77777777">
            <w:pPr>
              <w:jc w:val="right"/>
              <w:rPr>
                <w:rFonts w:asciiTheme="minorHAnsi" w:hAnsiTheme="minorHAnsi"/>
                <w:sz w:val="20"/>
                <w:szCs w:val="20"/>
              </w:rPr>
            </w:pPr>
          </w:p>
          <w:p w:rsidRPr="00221383" w:rsidR="009D0028" w:rsidP="00512762" w:rsidRDefault="009D0028" w14:paraId="43FE0D68" w14:textId="77777777">
            <w:pPr>
              <w:jc w:val="right"/>
              <w:rPr>
                <w:rFonts w:asciiTheme="minorHAnsi" w:hAnsiTheme="minorHAnsi"/>
                <w:sz w:val="20"/>
                <w:szCs w:val="20"/>
              </w:rPr>
            </w:pPr>
          </w:p>
          <w:p w:rsidRPr="00221383" w:rsidR="009D0028" w:rsidP="00512762" w:rsidRDefault="009D0028" w14:paraId="045536A3" w14:textId="77777777">
            <w:pPr>
              <w:jc w:val="right"/>
              <w:rPr>
                <w:rFonts w:asciiTheme="minorHAnsi" w:hAnsiTheme="minorHAnsi"/>
                <w:sz w:val="20"/>
                <w:szCs w:val="20"/>
              </w:rPr>
            </w:pPr>
          </w:p>
        </w:tc>
        <w:tc>
          <w:tcPr>
            <w:tcW w:w="6946" w:type="dxa"/>
          </w:tcPr>
          <w:p w:rsidRPr="00221383" w:rsidR="009D0028" w:rsidP="00512762" w:rsidRDefault="009D0028" w14:paraId="541DB540" w14:textId="77777777">
            <w:pPr>
              <w:pStyle w:val="Voetnoottekst"/>
              <w:spacing w:before="100" w:beforeAutospacing="1" w:after="100" w:afterAutospacing="1"/>
              <w:rPr>
                <w:rFonts w:asciiTheme="minorHAnsi" w:hAnsiTheme="minorHAnsi"/>
              </w:rPr>
            </w:pPr>
            <w:r w:rsidRPr="00221383">
              <w:rPr>
                <w:rFonts w:asciiTheme="minorHAnsi" w:hAnsiTheme="minorHAnsi"/>
              </w:rPr>
              <w:lastRenderedPageBreak/>
              <w:t xml:space="preserve">De EU kent een grote hoeveelheid uiteenlopende typen beleid (‘soft law’) zonder bindende rechtskracht, maar soms met juridische effecten, zoals aanbevelingen en adviezen, resoluties, verklaringen, notificaties, mededelingen, handboeken, gedragscodes, etc. Zij kunnen op verschillende manieren toch effect hebben: zo is bijvoorbeeld de Europese Commissie (en soms ook de lidstaten) gebonden aan het eigen beleid. Daarnaast moet bij de toepassing van het ‘harde’ Unierecht gekeken </w:t>
            </w:r>
            <w:r w:rsidRPr="00221383">
              <w:rPr>
                <w:rFonts w:asciiTheme="minorHAnsi" w:hAnsiTheme="minorHAnsi"/>
              </w:rPr>
              <w:lastRenderedPageBreak/>
              <w:t xml:space="preserve">worden naar soft-law. </w:t>
            </w:r>
          </w:p>
        </w:tc>
        <w:tc>
          <w:tcPr>
            <w:tcW w:w="5103" w:type="dxa"/>
          </w:tcPr>
          <w:p w:rsidRPr="00221383" w:rsidR="009D0028" w:rsidP="00512762" w:rsidRDefault="009D0028" w14:paraId="12BF2E45" w14:textId="77777777">
            <w:pPr>
              <w:pStyle w:val="Voetnoottekst"/>
              <w:numPr>
                <w:ilvl w:val="0"/>
                <w:numId w:val="1"/>
              </w:numPr>
              <w:rPr>
                <w:rFonts w:asciiTheme="minorHAnsi" w:hAnsiTheme="minorHAnsi"/>
              </w:rPr>
            </w:pPr>
            <w:r w:rsidRPr="00221383">
              <w:rPr>
                <w:rFonts w:asciiTheme="minorHAnsi" w:hAnsiTheme="minorHAnsi"/>
              </w:rPr>
              <w:lastRenderedPageBreak/>
              <w:t>kabinet om appreciatie in de vorm van BNC-fiche verzoeken aangezien over deze categorie niet standaard een fiche wordt gemaakt.</w:t>
            </w:r>
          </w:p>
          <w:p w:rsidRPr="00221383" w:rsidR="009D0028" w:rsidP="00512762" w:rsidRDefault="009D0028" w14:paraId="4B5ED49F" w14:textId="77777777">
            <w:pPr>
              <w:pStyle w:val="Voetnoottekst"/>
              <w:rPr>
                <w:rFonts w:asciiTheme="minorHAnsi" w:hAnsiTheme="minorHAnsi"/>
              </w:rPr>
            </w:pPr>
          </w:p>
          <w:p w:rsidRPr="00221383" w:rsidR="009D0028" w:rsidP="00512762" w:rsidRDefault="009D0028" w14:paraId="100FC383" w14:textId="77777777">
            <w:pPr>
              <w:pStyle w:val="Voetnoottekst"/>
              <w:rPr>
                <w:rFonts w:asciiTheme="minorHAnsi" w:hAnsiTheme="minorHAnsi"/>
              </w:rPr>
            </w:pPr>
          </w:p>
          <w:p w:rsidRPr="00221383" w:rsidR="009D0028" w:rsidP="00512762" w:rsidRDefault="009D0028" w14:paraId="47CC33B5" w14:textId="77777777">
            <w:pPr>
              <w:pStyle w:val="Voetnoottekst"/>
              <w:rPr>
                <w:rFonts w:asciiTheme="minorHAnsi" w:hAnsiTheme="minorHAnsi"/>
              </w:rPr>
            </w:pPr>
          </w:p>
          <w:p w:rsidRPr="00221383" w:rsidR="009D0028" w:rsidP="00512762" w:rsidRDefault="009D0028" w14:paraId="7FE88CA7" w14:textId="77777777">
            <w:pPr>
              <w:pStyle w:val="Voetnoottekst"/>
              <w:rPr>
                <w:rFonts w:asciiTheme="minorHAnsi" w:hAnsiTheme="minorHAnsi"/>
              </w:rPr>
            </w:pPr>
          </w:p>
          <w:p w:rsidRPr="00221383" w:rsidR="009D0028" w:rsidP="00512762" w:rsidRDefault="009D0028" w14:paraId="1768E412" w14:textId="77777777">
            <w:pPr>
              <w:pStyle w:val="Voetnoottekst"/>
              <w:rPr>
                <w:rFonts w:asciiTheme="minorHAnsi" w:hAnsiTheme="minorHAnsi"/>
              </w:rPr>
            </w:pPr>
          </w:p>
        </w:tc>
      </w:tr>
      <w:tr w:rsidRPr="00221383" w:rsidR="009D0028" w:rsidTr="00512762" w14:paraId="51504F17" w14:textId="77777777">
        <w:tc>
          <w:tcPr>
            <w:tcW w:w="14142" w:type="dxa"/>
            <w:gridSpan w:val="3"/>
          </w:tcPr>
          <w:p w:rsidRPr="00221383" w:rsidR="009D0028" w:rsidP="00512762" w:rsidRDefault="009D0028" w14:paraId="2A77CF16" w14:textId="77777777">
            <w:pPr>
              <w:pStyle w:val="Voetnoottekst"/>
              <w:rPr>
                <w:rFonts w:asciiTheme="minorHAnsi" w:hAnsiTheme="minorHAnsi"/>
                <w:i/>
              </w:rPr>
            </w:pPr>
            <w:r w:rsidRPr="00221383">
              <w:rPr>
                <w:rFonts w:asciiTheme="minorHAnsi" w:hAnsiTheme="minorHAnsi"/>
                <w:i/>
              </w:rPr>
              <w:lastRenderedPageBreak/>
              <w:t xml:space="preserve">Overige handelingen en instrumenten </w:t>
            </w:r>
          </w:p>
        </w:tc>
      </w:tr>
      <w:tr w:rsidRPr="00221383" w:rsidR="009D0028" w:rsidTr="00512762" w14:paraId="57D86419" w14:textId="77777777">
        <w:tc>
          <w:tcPr>
            <w:tcW w:w="2093" w:type="dxa"/>
          </w:tcPr>
          <w:p w:rsidRPr="00221383" w:rsidR="009D0028" w:rsidP="00512762" w:rsidRDefault="009D0028" w14:paraId="10F705DE" w14:textId="77777777">
            <w:pPr>
              <w:pStyle w:val="Voetnoottekst"/>
              <w:rPr>
                <w:rFonts w:asciiTheme="minorHAnsi" w:hAnsiTheme="minorHAnsi"/>
              </w:rPr>
            </w:pPr>
            <w:r w:rsidRPr="00221383">
              <w:rPr>
                <w:rFonts w:asciiTheme="minorHAnsi" w:hAnsiTheme="minorHAnsi"/>
              </w:rPr>
              <w:t xml:space="preserve">Routekaart, actieplannen, strategie, agenda </w:t>
            </w:r>
          </w:p>
        </w:tc>
        <w:tc>
          <w:tcPr>
            <w:tcW w:w="6946" w:type="dxa"/>
          </w:tcPr>
          <w:p w:rsidRPr="00221383" w:rsidR="009D0028" w:rsidP="00512762" w:rsidRDefault="009D0028" w14:paraId="6FA8C753" w14:textId="77777777">
            <w:pPr>
              <w:pStyle w:val="Voetnoottekst"/>
              <w:rPr>
                <w:rFonts w:asciiTheme="minorHAnsi" w:hAnsiTheme="minorHAnsi"/>
              </w:rPr>
            </w:pPr>
            <w:r w:rsidRPr="00221383">
              <w:rPr>
                <w:rFonts w:cs="Arial" w:asciiTheme="minorHAnsi" w:hAnsiTheme="minorHAnsi"/>
              </w:rPr>
              <w:t xml:space="preserve">Via routekaarten, actieplannen, strategieën en agenda’s informeert de Europese Commissie belanghebbenden en burgers over nieuwe initiatieven, evaluaties en geschiktheidscontroles. In deze documenten </w:t>
            </w:r>
            <w:r w:rsidRPr="00221383">
              <w:rPr>
                <w:rStyle w:val="Zwaar"/>
                <w:rFonts w:cs="Arial" w:asciiTheme="minorHAnsi" w:hAnsiTheme="minorHAnsi"/>
                <w:b w:val="0"/>
              </w:rPr>
              <w:t>voor nieuwe initiatieven</w:t>
            </w:r>
            <w:r w:rsidRPr="00221383">
              <w:rPr>
                <w:rFonts w:cs="Arial" w:asciiTheme="minorHAnsi" w:hAnsiTheme="minorHAnsi"/>
              </w:rPr>
              <w:t xml:space="preserve"> wordt uitgelegd wat het probleem is, wat de Commissie wil bereiken, waarom juist de EU maatregelen moet nemen, wat de toegevoegde waarde is en welke alternatieven er zijn. In deze documenten</w:t>
            </w:r>
            <w:r w:rsidRPr="00221383">
              <w:rPr>
                <w:rStyle w:val="Zwaar"/>
                <w:rFonts w:cs="Arial" w:asciiTheme="minorHAnsi" w:hAnsiTheme="minorHAnsi"/>
              </w:rPr>
              <w:t xml:space="preserve"> </w:t>
            </w:r>
            <w:r w:rsidRPr="00221383">
              <w:rPr>
                <w:rStyle w:val="Zwaar"/>
                <w:rFonts w:cs="Arial" w:asciiTheme="minorHAnsi" w:hAnsiTheme="minorHAnsi"/>
                <w:b w:val="0"/>
              </w:rPr>
              <w:t>voor evaluaties en geschiktheidscontroles</w:t>
            </w:r>
            <w:r w:rsidRPr="00221383">
              <w:rPr>
                <w:rFonts w:cs="Arial" w:asciiTheme="minorHAnsi" w:hAnsiTheme="minorHAnsi"/>
              </w:rPr>
              <w:t xml:space="preserve"> wordt bepaald wat er geëvalueerd moet worden en welke aspecten moeten worden onderzocht. </w:t>
            </w:r>
          </w:p>
        </w:tc>
        <w:tc>
          <w:tcPr>
            <w:tcW w:w="5103" w:type="dxa"/>
          </w:tcPr>
          <w:p w:rsidRPr="00221383" w:rsidR="009D0028" w:rsidP="00512762" w:rsidRDefault="009D0028" w14:paraId="38F3A567" w14:textId="77777777">
            <w:pPr>
              <w:pStyle w:val="Voetnoottekst"/>
              <w:numPr>
                <w:ilvl w:val="0"/>
                <w:numId w:val="1"/>
              </w:numPr>
              <w:rPr>
                <w:rFonts w:asciiTheme="minorHAnsi" w:hAnsiTheme="minorHAnsi"/>
              </w:rPr>
            </w:pPr>
            <w:r w:rsidRPr="00221383">
              <w:rPr>
                <w:rFonts w:asciiTheme="minorHAnsi" w:hAnsiTheme="minorHAnsi"/>
              </w:rPr>
              <w:t>kabinet om appreciatie in de vorm van BNC-fiche verzoeken aangezien over deze categorie niet standaard een fiche wordt gemaakt</w:t>
            </w:r>
          </w:p>
          <w:p w:rsidRPr="00221383" w:rsidR="009D0028" w:rsidP="00512762" w:rsidRDefault="009D0028" w14:paraId="761D29C5" w14:textId="77777777">
            <w:pPr>
              <w:pStyle w:val="Voetnoottekst"/>
              <w:numPr>
                <w:ilvl w:val="0"/>
                <w:numId w:val="1"/>
              </w:numPr>
              <w:rPr>
                <w:rFonts w:asciiTheme="minorHAnsi" w:hAnsiTheme="minorHAnsi"/>
              </w:rPr>
            </w:pPr>
            <w:r w:rsidRPr="00221383">
              <w:rPr>
                <w:rFonts w:asciiTheme="minorHAnsi" w:hAnsiTheme="minorHAnsi"/>
              </w:rPr>
              <w:t>en/of kabinet vragen om NL inzet (per commissiebrief of tijdens algemeen overleg/debat).</w:t>
            </w:r>
          </w:p>
        </w:tc>
      </w:tr>
      <w:tr w:rsidRPr="00221383" w:rsidR="009D0028" w:rsidTr="00512762" w14:paraId="52B62427" w14:textId="77777777">
        <w:tc>
          <w:tcPr>
            <w:tcW w:w="2093" w:type="dxa"/>
          </w:tcPr>
          <w:p w:rsidRPr="00221383" w:rsidR="009D0028" w:rsidP="00512762" w:rsidRDefault="009D0028" w14:paraId="238504E6" w14:textId="77777777">
            <w:pPr>
              <w:pStyle w:val="Voetnoottekst"/>
              <w:rPr>
                <w:rFonts w:asciiTheme="minorHAnsi" w:hAnsiTheme="minorHAnsi"/>
              </w:rPr>
            </w:pPr>
            <w:r w:rsidRPr="00221383">
              <w:rPr>
                <w:rFonts w:asciiTheme="minorHAnsi" w:hAnsiTheme="minorHAnsi"/>
              </w:rPr>
              <w:t>Groen- en witboek</w:t>
            </w:r>
          </w:p>
        </w:tc>
        <w:tc>
          <w:tcPr>
            <w:tcW w:w="6946" w:type="dxa"/>
          </w:tcPr>
          <w:p w:rsidRPr="00221383" w:rsidR="009D0028" w:rsidP="00512762" w:rsidRDefault="009D0028" w14:paraId="4119C206" w14:textId="77777777">
            <w:pPr>
              <w:pStyle w:val="Voetnoottekst"/>
              <w:rPr>
                <w:rFonts w:asciiTheme="minorHAnsi" w:hAnsiTheme="minorHAnsi"/>
              </w:rPr>
            </w:pPr>
            <w:r w:rsidRPr="00221383">
              <w:rPr>
                <w:rFonts w:asciiTheme="minorHAnsi" w:hAnsiTheme="minorHAnsi"/>
              </w:rPr>
              <w:t xml:space="preserve">Groenboek: een discussiestuk, waarmee de Europese Commissie de stand van zaken inventariseert omtrent een onderwerp. Ook doet ze aanbevelingen voor nieuw beleid. </w:t>
            </w:r>
          </w:p>
          <w:p w:rsidRPr="00221383" w:rsidR="009D0028" w:rsidP="00512762" w:rsidRDefault="009D0028" w14:paraId="14352B30" w14:textId="77777777">
            <w:pPr>
              <w:pStyle w:val="Voetnoottekst"/>
              <w:rPr>
                <w:rFonts w:asciiTheme="minorHAnsi" w:hAnsiTheme="minorHAnsi"/>
              </w:rPr>
            </w:pPr>
          </w:p>
          <w:p w:rsidRPr="00221383" w:rsidR="009D0028" w:rsidP="00512762" w:rsidRDefault="009D0028" w14:paraId="56C67D18" w14:textId="77777777">
            <w:pPr>
              <w:pStyle w:val="Voetnoottekst"/>
              <w:rPr>
                <w:rFonts w:asciiTheme="minorHAnsi" w:hAnsiTheme="minorHAnsi"/>
              </w:rPr>
            </w:pPr>
            <w:r w:rsidRPr="00221383">
              <w:rPr>
                <w:rFonts w:asciiTheme="minorHAnsi" w:hAnsiTheme="minorHAnsi"/>
              </w:rPr>
              <w:t>Witboek: hierin zet de Europese Commissie uiteen hoe zij bepaalde doelen wil bereiken. Vaak worden in een witboek al concrete voorstellen uitgewerkt en toegelicht.</w:t>
            </w:r>
          </w:p>
          <w:p w:rsidRPr="00221383" w:rsidR="009D0028" w:rsidP="00512762" w:rsidRDefault="009D0028" w14:paraId="17B9E573" w14:textId="77777777">
            <w:pPr>
              <w:pStyle w:val="Voetnoottekst"/>
              <w:rPr>
                <w:rFonts w:asciiTheme="minorHAnsi" w:hAnsiTheme="minorHAnsi"/>
              </w:rPr>
            </w:pPr>
            <w:r w:rsidRPr="00221383">
              <w:rPr>
                <w:rFonts w:asciiTheme="minorHAnsi" w:hAnsiTheme="minorHAnsi"/>
              </w:rPr>
              <w:t xml:space="preserve">De Europese Commissie nodigt overheden, nationale parlementen en andere organisaties uit om binnen een bepaalde termijn op een Groen- of Witboek te reageren. </w:t>
            </w:r>
          </w:p>
        </w:tc>
        <w:tc>
          <w:tcPr>
            <w:tcW w:w="5103" w:type="dxa"/>
          </w:tcPr>
          <w:p w:rsidRPr="00221383" w:rsidR="009D0028" w:rsidP="00512762" w:rsidRDefault="009D0028" w14:paraId="51A43D8D" w14:textId="77777777">
            <w:pPr>
              <w:pStyle w:val="Voetnoottekst"/>
              <w:numPr>
                <w:ilvl w:val="0"/>
                <w:numId w:val="1"/>
              </w:numPr>
              <w:rPr>
                <w:rFonts w:asciiTheme="minorHAnsi" w:hAnsiTheme="minorHAnsi"/>
              </w:rPr>
            </w:pPr>
            <w:r w:rsidRPr="00221383">
              <w:rPr>
                <w:rFonts w:asciiTheme="minorHAnsi" w:hAnsiTheme="minorHAnsi"/>
              </w:rPr>
              <w:t>desgewenst ambtenaren EC of Europees Commissaris uitnodigen voor een toelichting.</w:t>
            </w:r>
          </w:p>
          <w:p w:rsidRPr="00221383" w:rsidR="009D0028" w:rsidP="00512762" w:rsidRDefault="009D0028" w14:paraId="24DA1CB8" w14:textId="77777777">
            <w:pPr>
              <w:pStyle w:val="Voetnoottekst"/>
              <w:numPr>
                <w:ilvl w:val="0"/>
                <w:numId w:val="1"/>
              </w:numPr>
              <w:rPr>
                <w:rFonts w:asciiTheme="minorHAnsi" w:hAnsiTheme="minorHAnsi"/>
              </w:rPr>
            </w:pPr>
            <w:r w:rsidRPr="00221383">
              <w:rPr>
                <w:rFonts w:asciiTheme="minorHAnsi" w:hAnsiTheme="minorHAnsi"/>
              </w:rPr>
              <w:t>in commissieverband (via schriftelijke inbreng in de vorm van een politieke dialoog) of als lid, burger of via fracties een reactie sturen aan de Europese Commissie.</w:t>
            </w:r>
          </w:p>
          <w:p w:rsidRPr="00221383" w:rsidR="009D0028" w:rsidP="00512762" w:rsidRDefault="009D0028" w14:paraId="5E8C9828" w14:textId="77777777">
            <w:pPr>
              <w:pStyle w:val="Voetnoottekst"/>
              <w:numPr>
                <w:ilvl w:val="0"/>
                <w:numId w:val="1"/>
              </w:numPr>
              <w:rPr>
                <w:rFonts w:asciiTheme="minorHAnsi" w:hAnsiTheme="minorHAnsi"/>
              </w:rPr>
            </w:pPr>
            <w:r w:rsidRPr="00221383">
              <w:rPr>
                <w:rFonts w:asciiTheme="minorHAnsi" w:hAnsiTheme="minorHAnsi"/>
              </w:rPr>
              <w:t>kabinet stuurt de Kamer het concept van haar reactie op Groen- en Witboeken tenminste dertig dagen voor het verstrijken van de reactietermijn bij de Europese Commissie. Ook de definitieve reactie wordt in afschrift aan de Kamer gezonden. Deze reactie kan in behandeling worden genomen, bv. door te agenderen voor een algemeen overleg/debat.</w:t>
            </w:r>
          </w:p>
        </w:tc>
      </w:tr>
      <w:tr w:rsidRPr="00221383" w:rsidR="009D0028" w:rsidTr="00512762" w14:paraId="4FA8FA4D" w14:textId="77777777">
        <w:tc>
          <w:tcPr>
            <w:tcW w:w="2093" w:type="dxa"/>
          </w:tcPr>
          <w:p w:rsidRPr="00221383" w:rsidR="009D0028" w:rsidP="00512762" w:rsidRDefault="009D0028" w14:paraId="3095BC0B" w14:textId="77777777">
            <w:pPr>
              <w:pStyle w:val="Voetnoottekst"/>
              <w:rPr>
                <w:rFonts w:asciiTheme="minorHAnsi" w:hAnsiTheme="minorHAnsi"/>
              </w:rPr>
            </w:pPr>
            <w:r w:rsidRPr="00221383">
              <w:rPr>
                <w:rFonts w:asciiTheme="minorHAnsi" w:hAnsiTheme="minorHAnsi"/>
              </w:rPr>
              <w:t>Openbare raadpleging (consultatie)</w:t>
            </w:r>
          </w:p>
        </w:tc>
        <w:tc>
          <w:tcPr>
            <w:tcW w:w="6946" w:type="dxa"/>
          </w:tcPr>
          <w:p w:rsidRPr="00221383" w:rsidR="009D0028" w:rsidP="00512762" w:rsidRDefault="009D0028" w14:paraId="7B5BBD98" w14:textId="77777777">
            <w:pPr>
              <w:pStyle w:val="Voetnoottekst"/>
              <w:spacing w:before="100" w:beforeAutospacing="1" w:after="100" w:afterAutospacing="1"/>
              <w:rPr>
                <w:rFonts w:asciiTheme="minorHAnsi" w:hAnsiTheme="minorHAnsi"/>
              </w:rPr>
            </w:pPr>
            <w:r w:rsidRPr="00221383">
              <w:rPr>
                <w:rFonts w:asciiTheme="minorHAnsi" w:hAnsiTheme="minorHAnsi"/>
              </w:rPr>
              <w:t xml:space="preserve">Als de Europese Commissie nieuw beleid ontwikkelt of bestaande wetgeving herziet, organiseert ze meestal een openbare raadpleging of consultatie. Particulieren, bedrijven en organisaties met belangen of expertise op het betrokken gebied kunnen de Commissie helpen om invulling te geven aan haar voorstellen, voordat ze die ter bespreking en goedkeuring naar de Raad en het Europees Parlement stuurt. </w:t>
            </w:r>
            <w:hyperlink w:history="1" r:id="rId14">
              <w:r w:rsidRPr="00221383">
                <w:rPr>
                  <w:rStyle w:val="Hyperlink"/>
                  <w:rFonts w:asciiTheme="minorHAnsi" w:hAnsiTheme="minorHAnsi"/>
                </w:rPr>
                <w:t>Bekijk alle openbare raadplegingen op "Uw stem in Europa"</w:t>
              </w:r>
            </w:hyperlink>
            <w:r w:rsidRPr="00221383">
              <w:rPr>
                <w:rFonts w:asciiTheme="minorHAnsi" w:hAnsiTheme="minorHAnsi"/>
              </w:rPr>
              <w:t xml:space="preserve"> . </w:t>
            </w:r>
          </w:p>
        </w:tc>
        <w:tc>
          <w:tcPr>
            <w:tcW w:w="5103" w:type="dxa"/>
          </w:tcPr>
          <w:p w:rsidRPr="00221383" w:rsidR="009D0028" w:rsidP="00512762" w:rsidRDefault="009D0028" w14:paraId="09857AFD" w14:textId="77777777">
            <w:pPr>
              <w:pStyle w:val="Voetnoottekst"/>
              <w:numPr>
                <w:ilvl w:val="0"/>
                <w:numId w:val="1"/>
              </w:numPr>
              <w:autoSpaceDE w:val="0"/>
              <w:autoSpaceDN w:val="0"/>
              <w:rPr>
                <w:rFonts w:asciiTheme="minorHAnsi" w:hAnsiTheme="minorHAnsi"/>
              </w:rPr>
            </w:pPr>
            <w:r w:rsidRPr="00221383">
              <w:rPr>
                <w:rFonts w:asciiTheme="minorHAnsi" w:hAnsiTheme="minorHAnsi"/>
              </w:rPr>
              <w:t>als burger, lid, fractie of in commissieverband (via schriftelijke inbreng in de vorm van een politieke dialoog). meedoen aan de openbare raadpleging.</w:t>
            </w:r>
          </w:p>
          <w:p w:rsidRPr="00221383" w:rsidR="009D0028" w:rsidP="00512762" w:rsidRDefault="009D0028" w14:paraId="60CBFEAB" w14:textId="77777777">
            <w:pPr>
              <w:pStyle w:val="Voetnoottekst"/>
              <w:numPr>
                <w:ilvl w:val="0"/>
                <w:numId w:val="1"/>
              </w:numPr>
              <w:autoSpaceDE w:val="0"/>
              <w:autoSpaceDN w:val="0"/>
              <w:rPr>
                <w:rFonts w:asciiTheme="minorHAnsi" w:hAnsiTheme="minorHAnsi"/>
              </w:rPr>
            </w:pPr>
            <w:r w:rsidRPr="00221383">
              <w:rPr>
                <w:rFonts w:asciiTheme="minorHAnsi" w:hAnsiTheme="minorHAnsi"/>
              </w:rPr>
              <w:t>kabinet verzoeken om de concept-kabinetsreactie naar de Kamer te sturen voordat de definitieve versie naar de Europese Commissie wordt gestuurd, teneinde desgewenst hierover met de bewindspersoon in gesprek te treden.</w:t>
            </w:r>
          </w:p>
          <w:p w:rsidRPr="00221383" w:rsidR="009D0028" w:rsidP="00512762" w:rsidRDefault="009D0028" w14:paraId="0CF5E042" w14:textId="77777777">
            <w:pPr>
              <w:pStyle w:val="Voetnoottekst"/>
              <w:numPr>
                <w:ilvl w:val="0"/>
                <w:numId w:val="1"/>
              </w:numPr>
              <w:autoSpaceDE w:val="0"/>
              <w:autoSpaceDN w:val="0"/>
              <w:rPr>
                <w:rFonts w:asciiTheme="minorHAnsi" w:hAnsiTheme="minorHAnsi"/>
              </w:rPr>
            </w:pPr>
            <w:r w:rsidRPr="00221383">
              <w:rPr>
                <w:rFonts w:asciiTheme="minorHAnsi" w:hAnsiTheme="minorHAnsi"/>
              </w:rPr>
              <w:t>de Kamer ontvangt krachtens de standaard-informatieafspraken de definitieve kabinetsreactie op alle consultaties van de Europese Commissie waarop het kabinet reageert.</w:t>
            </w:r>
          </w:p>
        </w:tc>
      </w:tr>
      <w:tr w:rsidRPr="00221383" w:rsidR="009D0028" w:rsidTr="00512762" w14:paraId="622F32CC" w14:textId="77777777">
        <w:tc>
          <w:tcPr>
            <w:tcW w:w="14142" w:type="dxa"/>
            <w:gridSpan w:val="3"/>
          </w:tcPr>
          <w:p w:rsidRPr="00221383" w:rsidR="009D0028" w:rsidP="00512762" w:rsidRDefault="009D0028" w14:paraId="209729E6" w14:textId="77777777">
            <w:pPr>
              <w:pStyle w:val="Voetnoottekst"/>
              <w:rPr>
                <w:rFonts w:asciiTheme="minorHAnsi" w:hAnsiTheme="minorHAnsi"/>
                <w:i/>
              </w:rPr>
            </w:pPr>
            <w:r w:rsidRPr="00221383">
              <w:rPr>
                <w:rFonts w:asciiTheme="minorHAnsi" w:hAnsiTheme="minorHAnsi"/>
                <w:i/>
              </w:rPr>
              <w:t>Uitgelicht: twee specifieke parlementaire instrumenten bij nieuw gepubliceerde EU-voorstellen</w:t>
            </w:r>
          </w:p>
        </w:tc>
      </w:tr>
      <w:tr w:rsidRPr="00221383" w:rsidR="009D0028" w:rsidTr="00512762" w14:paraId="46286DFF" w14:textId="77777777">
        <w:tc>
          <w:tcPr>
            <w:tcW w:w="2093" w:type="dxa"/>
          </w:tcPr>
          <w:p w:rsidRPr="00221383" w:rsidR="009D0028" w:rsidP="00512762" w:rsidRDefault="009D0028" w14:paraId="47BC9892" w14:textId="77777777">
            <w:pPr>
              <w:pStyle w:val="Voetnoottekst"/>
              <w:rPr>
                <w:rFonts w:asciiTheme="minorHAnsi" w:hAnsiTheme="minorHAnsi"/>
              </w:rPr>
            </w:pPr>
            <w:r w:rsidRPr="00221383">
              <w:rPr>
                <w:rFonts w:asciiTheme="minorHAnsi" w:hAnsiTheme="minorHAnsi"/>
              </w:rPr>
              <w:lastRenderedPageBreak/>
              <w:t xml:space="preserve">Subsidiariteitstoets </w:t>
            </w:r>
          </w:p>
          <w:p w:rsidRPr="00221383" w:rsidR="009D0028" w:rsidP="00512762" w:rsidRDefault="009D0028" w14:paraId="2935F86D" w14:textId="77777777">
            <w:pPr>
              <w:pStyle w:val="Voetnoottekst"/>
              <w:rPr>
                <w:rFonts w:asciiTheme="minorHAnsi" w:hAnsiTheme="minorHAnsi"/>
              </w:rPr>
            </w:pPr>
            <w:r w:rsidRPr="00221383">
              <w:rPr>
                <w:rFonts w:asciiTheme="minorHAnsi" w:hAnsiTheme="minorHAnsi"/>
              </w:rPr>
              <w:t>(richting EU)</w:t>
            </w:r>
          </w:p>
        </w:tc>
        <w:tc>
          <w:tcPr>
            <w:tcW w:w="6946" w:type="dxa"/>
          </w:tcPr>
          <w:p w:rsidRPr="00221383" w:rsidR="009D0028" w:rsidP="00512762" w:rsidRDefault="009D0028" w14:paraId="168829D8" w14:textId="77777777">
            <w:pPr>
              <w:pStyle w:val="Lijstalinea"/>
              <w:ind w:left="0"/>
              <w:rPr>
                <w:rFonts w:asciiTheme="minorHAnsi" w:hAnsiTheme="minorHAnsi"/>
                <w:sz w:val="20"/>
                <w:szCs w:val="20"/>
              </w:rPr>
            </w:pPr>
            <w:r w:rsidRPr="00221383">
              <w:rPr>
                <w:rFonts w:asciiTheme="minorHAnsi" w:hAnsiTheme="minorHAnsi"/>
                <w:sz w:val="20"/>
                <w:szCs w:val="20"/>
              </w:rPr>
              <w:t xml:space="preserve">Bij een subsidiariteitstoets toetst een nationale (Kamer van een) Parlement of de EU bevoegd is om hier actie op te nemen, of dat beleid/wetgeving beter op lokaal, regionaal of nationaal niveau kan worden gemaakt. Bij een negatief oordeel wordt een brief met daarin de subsidiariteitsbezwaren (een zogenaamd ‘gemotiveerd advies’) aan de Europese Commissie verzonden. De nationale parlementen kunnen binnen acht weken bezwaar maken uit een oogpunt van subsidiariteit. Een zgn. “gele kaart” is voor de Commissie geldig als 1/3 van de nationale parlementen een voorstel in strijd acht met het subsidiariteitsbeginsel. De Europese Commissie moet dan haar voorstel heroverwegen. In totaal zijn er 28 Parlementen met 41 Kamers in de EU. </w:t>
            </w:r>
            <w:r w:rsidRPr="00221383">
              <w:rPr>
                <w:rFonts w:asciiTheme="minorHAnsi" w:hAnsiTheme="minorHAnsi" w:cstheme="minorHAnsi"/>
                <w:color w:val="000000" w:themeColor="text1"/>
                <w:sz w:val="20"/>
                <w:szCs w:val="20"/>
              </w:rPr>
              <w:t>Elk parlement krijgt 2 stemmen, maar bij een bicameraal stelsel, zoals in Nederland, krijgt elke kamer 1 stem</w:t>
            </w:r>
            <w:r w:rsidRPr="00221383">
              <w:rPr>
                <w:rFonts w:asciiTheme="minorHAnsi" w:hAnsiTheme="minorHAnsi"/>
                <w:sz w:val="20"/>
                <w:szCs w:val="20"/>
              </w:rPr>
              <w:t>.</w:t>
            </w:r>
            <w:r w:rsidRPr="00221383">
              <w:rPr>
                <w:rFonts w:asciiTheme="minorHAnsi" w:hAnsiTheme="minorHAnsi" w:cstheme="minorHAnsi"/>
                <w:color w:val="000000" w:themeColor="text1"/>
                <w:sz w:val="20"/>
                <w:szCs w:val="20"/>
              </w:rPr>
              <w:t xml:space="preserve"> Om een gele kaart te trekken moeten er 19 stemmen worden gehaald.</w:t>
            </w:r>
          </w:p>
        </w:tc>
        <w:tc>
          <w:tcPr>
            <w:tcW w:w="5103" w:type="dxa"/>
          </w:tcPr>
          <w:p w:rsidRPr="00221383" w:rsidR="009D0028" w:rsidP="00512762" w:rsidRDefault="009D0028" w14:paraId="00B9F872" w14:textId="77777777">
            <w:pPr>
              <w:pStyle w:val="Voetnoottekst"/>
              <w:numPr>
                <w:ilvl w:val="0"/>
                <w:numId w:val="1"/>
              </w:numPr>
              <w:rPr>
                <w:rFonts w:asciiTheme="minorHAnsi" w:hAnsiTheme="minorHAnsi"/>
              </w:rPr>
            </w:pPr>
            <w:r w:rsidRPr="00221383">
              <w:rPr>
                <w:rFonts w:asciiTheme="minorHAnsi" w:hAnsiTheme="minorHAnsi"/>
              </w:rPr>
              <w:t>bij wetgevende EU-voorstellen kan een Kamercommissie besluiten tot het uitvoeren van een subsidiariteitstoets. Let op: dit moet binnen acht weken na het uitkomen van alle taalversies van het voorstel.</w:t>
            </w:r>
          </w:p>
          <w:p w:rsidRPr="00221383" w:rsidR="009D0028" w:rsidP="00512762" w:rsidRDefault="009D0028" w14:paraId="797CF0FF" w14:textId="77777777">
            <w:pPr>
              <w:pStyle w:val="Voetnoottekst"/>
              <w:numPr>
                <w:ilvl w:val="0"/>
                <w:numId w:val="1"/>
              </w:numPr>
              <w:rPr>
                <w:rFonts w:asciiTheme="minorHAnsi" w:hAnsiTheme="minorHAnsi"/>
              </w:rPr>
            </w:pPr>
            <w:r w:rsidRPr="00221383">
              <w:rPr>
                <w:rFonts w:asciiTheme="minorHAnsi" w:hAnsiTheme="minorHAnsi"/>
              </w:rPr>
              <w:t>kabinetsappreciatie (‘BNC-fiche’) komt voor aangekondigde subsidiariteitstoetsen binnen drie weken t.b.v. een snelle behandeling.</w:t>
            </w:r>
          </w:p>
          <w:p w:rsidRPr="00221383" w:rsidR="009D0028" w:rsidP="00512762" w:rsidRDefault="009D0028" w14:paraId="493660B2" w14:textId="77777777">
            <w:pPr>
              <w:pStyle w:val="Voetnoottekst"/>
              <w:numPr>
                <w:ilvl w:val="0"/>
                <w:numId w:val="1"/>
              </w:numPr>
              <w:rPr>
                <w:rFonts w:asciiTheme="minorHAnsi" w:hAnsiTheme="minorHAnsi"/>
              </w:rPr>
            </w:pPr>
            <w:r w:rsidRPr="00221383">
              <w:rPr>
                <w:rFonts w:asciiTheme="minorHAnsi" w:hAnsiTheme="minorHAnsi"/>
              </w:rPr>
              <w:t xml:space="preserve">met andere parlementen in overleg treden t.b.v. behalen meerderheid voor ’gele kaart’ (1/3 stemmen) via parlementaire vertegenwoordiging en/of fractielijnen. </w:t>
            </w:r>
          </w:p>
        </w:tc>
      </w:tr>
      <w:tr w:rsidRPr="00221383" w:rsidR="009D0028" w:rsidTr="00512762" w14:paraId="4E81F14C" w14:textId="77777777">
        <w:tc>
          <w:tcPr>
            <w:tcW w:w="2093" w:type="dxa"/>
          </w:tcPr>
          <w:p w:rsidRPr="00221383" w:rsidR="009D0028" w:rsidP="00512762" w:rsidRDefault="009D0028" w14:paraId="1810A79B" w14:textId="77777777">
            <w:pPr>
              <w:pStyle w:val="Voetnoottekst"/>
              <w:rPr>
                <w:rFonts w:asciiTheme="minorHAnsi" w:hAnsiTheme="minorHAnsi"/>
              </w:rPr>
            </w:pPr>
            <w:r w:rsidRPr="00221383">
              <w:rPr>
                <w:rFonts w:asciiTheme="minorHAnsi" w:hAnsiTheme="minorHAnsi"/>
              </w:rPr>
              <w:t>Behandel-voorbehoud (richting regering)</w:t>
            </w:r>
          </w:p>
        </w:tc>
        <w:tc>
          <w:tcPr>
            <w:tcW w:w="6946" w:type="dxa"/>
          </w:tcPr>
          <w:p w:rsidRPr="00221383" w:rsidR="009D0028" w:rsidP="00512762" w:rsidRDefault="009D0028" w14:paraId="51FAA239" w14:textId="77777777">
            <w:pPr>
              <w:pStyle w:val="Lijstalinea"/>
              <w:ind w:left="34"/>
              <w:rPr>
                <w:rFonts w:asciiTheme="minorHAnsi" w:hAnsiTheme="minorHAnsi"/>
                <w:sz w:val="20"/>
                <w:szCs w:val="20"/>
              </w:rPr>
            </w:pPr>
            <w:r w:rsidRPr="00221383">
              <w:rPr>
                <w:rFonts w:asciiTheme="minorHAnsi" w:hAnsiTheme="minorHAnsi"/>
                <w:sz w:val="20"/>
                <w:szCs w:val="20"/>
              </w:rPr>
              <w:t xml:space="preserve">Zodra de Europese Commissie een wetgevend voorstel heeft gepresenteerd, kan de Kamer binnen 8 weken besluiten dat zij het voorstel van dusdanig politiek belang acht, dat de Kamer door de regering op bijzondere wijze geïnformeerd wil blijven worden over de EU onderhandelingen. De Kamer stelt het kabinet hiervan schriftelijk op de hoogte. Binnen vier weken na dit besluit vindt er een overleg plaats met het kabinet - tot aan dit overleg wordt het kabinet geacht op de onderhandelingen inzake dit dossier in de EU geen onomkeerbare beslissingen te nemen. Tijdens dit overleg worden afspraken gemaakt over de informatieverstrekking door het kabinet aan de Kamer, over het verloop van de onderhandelingen en over een eventueel vervolgoverleg. Deze afspraken worden in een brief aan het kabinet vastgelegd. Zodra het nadere overleg heeft plaatsgevonden, wordt het behandelvoorbehoud opgeheven. </w:t>
            </w:r>
          </w:p>
        </w:tc>
        <w:tc>
          <w:tcPr>
            <w:tcW w:w="5103" w:type="dxa"/>
          </w:tcPr>
          <w:p w:rsidRPr="00221383" w:rsidR="009D0028" w:rsidP="00512762" w:rsidRDefault="009D0028" w14:paraId="172E5866" w14:textId="77777777">
            <w:pPr>
              <w:pStyle w:val="Voetnoottekst"/>
              <w:numPr>
                <w:ilvl w:val="0"/>
                <w:numId w:val="1"/>
              </w:numPr>
              <w:rPr>
                <w:rFonts w:asciiTheme="minorHAnsi" w:hAnsiTheme="minorHAnsi"/>
              </w:rPr>
            </w:pPr>
            <w:r w:rsidRPr="00221383">
              <w:rPr>
                <w:rFonts w:asciiTheme="minorHAnsi" w:hAnsiTheme="minorHAnsi"/>
              </w:rPr>
              <w:t>bij wetgevende EU-voorstellen kan een commissie besluiten tot het uitvoeren van een zgn. ‘behandelvoorbehoud’. Over deze brief moet plenair gestemd worden (let op de termijnen).</w:t>
            </w:r>
          </w:p>
          <w:p w:rsidRPr="00221383" w:rsidR="009D0028" w:rsidP="00512762" w:rsidRDefault="009D0028" w14:paraId="680205E9" w14:textId="77777777">
            <w:pPr>
              <w:pStyle w:val="Voetnoottekst"/>
              <w:numPr>
                <w:ilvl w:val="0"/>
                <w:numId w:val="1"/>
              </w:numPr>
              <w:rPr>
                <w:rFonts w:asciiTheme="minorHAnsi" w:hAnsiTheme="minorHAnsi"/>
              </w:rPr>
            </w:pPr>
            <w:r w:rsidRPr="00221383">
              <w:rPr>
                <w:rFonts w:asciiTheme="minorHAnsi" w:hAnsiTheme="minorHAnsi"/>
              </w:rPr>
              <w:t>tijdens een speciaal overleg kan de commissie afspraken maken over informatieverstrekking (bv. in kwartaalrapportages) zolang het desbetreffende dossier in onderhandeling is.</w:t>
            </w:r>
          </w:p>
          <w:p w:rsidRPr="00221383" w:rsidR="009D0028" w:rsidP="00512762" w:rsidRDefault="009D0028" w14:paraId="30A9B913" w14:textId="77777777">
            <w:pPr>
              <w:pStyle w:val="Voetnoottekst"/>
              <w:numPr>
                <w:ilvl w:val="0"/>
                <w:numId w:val="1"/>
              </w:numPr>
              <w:rPr>
                <w:rFonts w:asciiTheme="minorHAnsi" w:hAnsiTheme="minorHAnsi"/>
              </w:rPr>
            </w:pPr>
            <w:r w:rsidRPr="00221383">
              <w:rPr>
                <w:rFonts w:asciiTheme="minorHAnsi" w:hAnsiTheme="minorHAnsi"/>
              </w:rPr>
              <w:t>kabinetsappreciatie (‘BNC-fiche’) komt voor aangekondigde behandelvoorbehouden binnen drie weken t.b.v. een snelle behandeling.</w:t>
            </w:r>
          </w:p>
          <w:p w:rsidRPr="00221383" w:rsidR="009D0028" w:rsidP="00512762" w:rsidRDefault="009D0028" w14:paraId="7A2DEA49" w14:textId="77777777">
            <w:pPr>
              <w:pStyle w:val="Voetnoottekst"/>
              <w:rPr>
                <w:rFonts w:asciiTheme="minorHAnsi" w:hAnsiTheme="minorHAnsi"/>
              </w:rPr>
            </w:pPr>
          </w:p>
        </w:tc>
      </w:tr>
    </w:tbl>
    <w:p w:rsidRPr="00221383" w:rsidR="009D0028" w:rsidP="009D0028" w:rsidRDefault="009D0028" w14:paraId="6A12D755" w14:textId="77777777">
      <w:pPr>
        <w:rPr>
          <w:rFonts w:asciiTheme="minorHAnsi" w:hAnsiTheme="minorHAnsi"/>
          <w:sz w:val="20"/>
          <w:szCs w:val="20"/>
        </w:rPr>
      </w:pPr>
    </w:p>
    <w:p w:rsidRPr="00221383" w:rsidR="003B00CB" w:rsidP="009D0028" w:rsidRDefault="003B00CB" w14:paraId="6FDBD934" w14:textId="77777777">
      <w:pPr>
        <w:rPr>
          <w:rFonts w:asciiTheme="minorHAnsi" w:hAnsiTheme="minorHAnsi"/>
        </w:rPr>
      </w:pPr>
    </w:p>
    <w:sectPr w:rsidRPr="00221383" w:rsidR="003B00CB" w:rsidSect="00C30329">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E99F05" w14:textId="77777777" w:rsidR="002B5BC1" w:rsidRDefault="002B5BC1" w:rsidP="003B00CB">
      <w:r>
        <w:separator/>
      </w:r>
    </w:p>
  </w:endnote>
  <w:endnote w:type="continuationSeparator" w:id="0">
    <w:p w14:paraId="620BAAD9" w14:textId="77777777" w:rsidR="002B5BC1" w:rsidRDefault="002B5BC1" w:rsidP="003B00CB">
      <w:r>
        <w:continuationSeparator/>
      </w:r>
    </w:p>
  </w:endnote>
  <w:endnote w:type="continuationNotice" w:id="1">
    <w:p w14:paraId="25CCE650" w14:textId="77777777" w:rsidR="002B5BC1" w:rsidRDefault="002B5B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019A97" w14:textId="77777777" w:rsidR="002B5BC1" w:rsidRDefault="002B5BC1" w:rsidP="003B00CB">
      <w:r>
        <w:separator/>
      </w:r>
    </w:p>
  </w:footnote>
  <w:footnote w:type="continuationSeparator" w:id="0">
    <w:p w14:paraId="0C682B56" w14:textId="77777777" w:rsidR="002B5BC1" w:rsidRDefault="002B5BC1" w:rsidP="003B00CB">
      <w:r>
        <w:continuationSeparator/>
      </w:r>
    </w:p>
  </w:footnote>
  <w:footnote w:type="continuationNotice" w:id="1">
    <w:p w14:paraId="7D48C298" w14:textId="77777777" w:rsidR="002B5BC1" w:rsidRDefault="002B5BC1"/>
  </w:footnote>
  <w:footnote w:id="2">
    <w:p w14:paraId="1FC4D736" w14:textId="77777777" w:rsidR="002B5BC1" w:rsidRDefault="002B5BC1" w:rsidP="009D0028">
      <w:pPr>
        <w:pStyle w:val="Voetnoottekst"/>
      </w:pPr>
      <w:r>
        <w:rPr>
          <w:rStyle w:val="Voetnootmarkering"/>
        </w:rPr>
        <w:footnoteRef/>
      </w:r>
      <w:r w:rsidRPr="0015137B">
        <w:rPr>
          <w:rFonts w:ascii="Verdana" w:hAnsi="Verdana"/>
          <w:sz w:val="16"/>
        </w:rPr>
        <w:t>Wetgevingshandelingen moeten zijn vastgesteld volgens een zogeheten wetgevingsprocedure</w:t>
      </w:r>
      <w:r>
        <w:rPr>
          <w:rFonts w:ascii="Verdana" w:hAnsi="Verdana"/>
          <w:sz w:val="16"/>
        </w:rPr>
        <w:t>, zoals omschreven</w:t>
      </w:r>
      <w:r w:rsidRPr="0015137B">
        <w:rPr>
          <w:rFonts w:ascii="Verdana" w:hAnsi="Verdana"/>
          <w:sz w:val="16"/>
        </w:rPr>
        <w:t xml:space="preserve"> in de Europese verdragen. Het kan gaan om de gewone wetgevingsprocedure op grond van art. 294 EU-Werkingsverdrag (VWEU) of een bijzondere wetgevingsprocedure. In het verdragsartikel </w:t>
      </w:r>
      <w:r>
        <w:rPr>
          <w:rFonts w:ascii="Verdana" w:hAnsi="Verdana"/>
          <w:sz w:val="16"/>
        </w:rPr>
        <w:t xml:space="preserve">waarin de bevoegdheid om wetgeving op een bepaald terrein te maken </w:t>
      </w:r>
      <w:r w:rsidRPr="0015137B">
        <w:rPr>
          <w:rFonts w:ascii="Verdana" w:hAnsi="Verdana"/>
          <w:sz w:val="16"/>
        </w:rPr>
        <w:t>moet letterlijk het woord ‘wetgevingsprocedure’ staan.</w:t>
      </w:r>
    </w:p>
  </w:footnote>
  <w:footnote w:id="3">
    <w:p w14:paraId="5D810782" w14:textId="77777777" w:rsidR="002B5BC1" w:rsidRPr="00B45904" w:rsidRDefault="002B5BC1" w:rsidP="009D0028">
      <w:pPr>
        <w:pStyle w:val="Voetnoottekst"/>
        <w:rPr>
          <w:rFonts w:ascii="Verdana" w:hAnsi="Verdana"/>
          <w:sz w:val="16"/>
          <w:szCs w:val="16"/>
        </w:rPr>
      </w:pPr>
      <w:r w:rsidRPr="00B45904">
        <w:rPr>
          <w:rStyle w:val="Voetnootmarkering"/>
          <w:rFonts w:ascii="Verdana" w:hAnsi="Verdana"/>
          <w:sz w:val="16"/>
          <w:szCs w:val="16"/>
        </w:rPr>
        <w:footnoteRef/>
      </w:r>
      <w:r>
        <w:rPr>
          <w:rFonts w:ascii="Verdana" w:hAnsi="Verdana"/>
          <w:sz w:val="16"/>
          <w:szCs w:val="16"/>
        </w:rPr>
        <w:t xml:space="preserve"> </w:t>
      </w:r>
      <w:r w:rsidRPr="00B45904">
        <w:rPr>
          <w:rFonts w:ascii="Verdana" w:hAnsi="Verdana"/>
          <w:sz w:val="16"/>
          <w:szCs w:val="16"/>
        </w:rPr>
        <w:t>Krachtens de standaard EU</w:t>
      </w:r>
      <w:r>
        <w:rPr>
          <w:rFonts w:ascii="Verdana" w:hAnsi="Verdana"/>
          <w:sz w:val="16"/>
          <w:szCs w:val="16"/>
        </w:rPr>
        <w:t>-</w:t>
      </w:r>
      <w:r w:rsidRPr="00B45904">
        <w:rPr>
          <w:rFonts w:ascii="Verdana" w:hAnsi="Verdana"/>
          <w:sz w:val="16"/>
          <w:szCs w:val="16"/>
        </w:rPr>
        <w:t>informatieafspraken</w:t>
      </w:r>
      <w:r>
        <w:rPr>
          <w:rFonts w:ascii="Verdana" w:hAnsi="Verdana"/>
          <w:sz w:val="16"/>
          <w:szCs w:val="16"/>
        </w:rPr>
        <w:t xml:space="preserve"> </w:t>
      </w:r>
      <w:r w:rsidRPr="00B45904">
        <w:rPr>
          <w:rFonts w:ascii="Verdana" w:hAnsi="Verdana"/>
          <w:sz w:val="16"/>
          <w:szCs w:val="16"/>
        </w:rPr>
        <w:t xml:space="preserve">(Parlis </w:t>
      </w:r>
      <w:hyperlink r:id="rId1" w:tgtFrame="_blank" w:history="1">
        <w:r w:rsidRPr="00B45904">
          <w:rPr>
            <w:rStyle w:val="Hyperlink"/>
            <w:rFonts w:ascii="Verdana" w:hAnsi="Verdana"/>
            <w:sz w:val="16"/>
            <w:szCs w:val="16"/>
          </w:rPr>
          <w:t>22112-1985</w:t>
        </w:r>
      </w:hyperlink>
      <w:r w:rsidRPr="00B45904">
        <w:rPr>
          <w:rStyle w:val="Hyperlink"/>
          <w:rFonts w:ascii="Verdana" w:hAnsi="Verdana"/>
          <w:sz w:val="16"/>
          <w:szCs w:val="16"/>
        </w:rPr>
        <w:t>)</w:t>
      </w:r>
      <w:r>
        <w:rPr>
          <w:rFonts w:ascii="Verdana" w:hAnsi="Verdana"/>
          <w:sz w:val="16"/>
          <w:szCs w:val="16"/>
        </w:rPr>
        <w:t xml:space="preserve"> </w:t>
      </w:r>
      <w:r w:rsidRPr="00B45904">
        <w:rPr>
          <w:rFonts w:ascii="Verdana" w:hAnsi="Verdana"/>
          <w:sz w:val="16"/>
          <w:szCs w:val="16"/>
        </w:rPr>
        <w:t>ontvangt de Kamer over alle nieuwe wetgevende en niet-wetgevende EU voorstellen een kabinetsappreciatie in de vorm van een zgn. “BNC fiche” (‘Beoordeling nieuwe commissievoorstellen). met daarin onder andere rechtsbasis, subsidiariteits- en proportionaliteitsoordeel, alsook het krachtenveld in Europa.</w:t>
      </w:r>
      <w:r>
        <w:rPr>
          <w:rFonts w:ascii="Verdana" w:hAnsi="Verdana"/>
          <w:sz w:val="16"/>
          <w:szCs w:val="16"/>
        </w:rPr>
        <w:t xml:space="preserve"> </w:t>
      </w:r>
      <w:r w:rsidRPr="00B45904">
        <w:rPr>
          <w:rFonts w:ascii="Verdana" w:hAnsi="Verdana"/>
          <w:sz w:val="16"/>
          <w:szCs w:val="16"/>
        </w:rPr>
        <w:t>De Kamer ontvangt elk fiche binnen zes weken, of binnen drie weken als in de prioriteitenlijst reeds een subsidiariteitstoets of behandelvoorbehoud is voorzien.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535FE"/>
    <w:multiLevelType w:val="hybridMultilevel"/>
    <w:tmpl w:val="0AF01B32"/>
    <w:lvl w:ilvl="0" w:tplc="B6F2ECE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68D919C5"/>
    <w:multiLevelType w:val="hybridMultilevel"/>
    <w:tmpl w:val="A802E5B0"/>
    <w:lvl w:ilvl="0" w:tplc="B6F2ECEC">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0CB"/>
    <w:rsid w:val="000030C3"/>
    <w:rsid w:val="00004EF5"/>
    <w:rsid w:val="000072CE"/>
    <w:rsid w:val="00011166"/>
    <w:rsid w:val="0001331B"/>
    <w:rsid w:val="000167D3"/>
    <w:rsid w:val="000240FB"/>
    <w:rsid w:val="00035922"/>
    <w:rsid w:val="0005004F"/>
    <w:rsid w:val="000516DB"/>
    <w:rsid w:val="000538C6"/>
    <w:rsid w:val="0006278D"/>
    <w:rsid w:val="00087499"/>
    <w:rsid w:val="000A6636"/>
    <w:rsid w:val="000B467B"/>
    <w:rsid w:val="000C3A4A"/>
    <w:rsid w:val="000F13E0"/>
    <w:rsid w:val="00103ACC"/>
    <w:rsid w:val="00111A2B"/>
    <w:rsid w:val="00123CA7"/>
    <w:rsid w:val="001257B9"/>
    <w:rsid w:val="00130225"/>
    <w:rsid w:val="00144569"/>
    <w:rsid w:val="00150630"/>
    <w:rsid w:val="001641B2"/>
    <w:rsid w:val="0016420D"/>
    <w:rsid w:val="00175685"/>
    <w:rsid w:val="001A49AE"/>
    <w:rsid w:val="001A60DF"/>
    <w:rsid w:val="001A7A62"/>
    <w:rsid w:val="001B6C8A"/>
    <w:rsid w:val="001C33E2"/>
    <w:rsid w:val="001C5CB5"/>
    <w:rsid w:val="00221383"/>
    <w:rsid w:val="00225895"/>
    <w:rsid w:val="00242218"/>
    <w:rsid w:val="00246E0C"/>
    <w:rsid w:val="00254069"/>
    <w:rsid w:val="002703E1"/>
    <w:rsid w:val="00271EF3"/>
    <w:rsid w:val="002723CF"/>
    <w:rsid w:val="0027622B"/>
    <w:rsid w:val="00291102"/>
    <w:rsid w:val="00294B44"/>
    <w:rsid w:val="002A4BA8"/>
    <w:rsid w:val="002B5BC1"/>
    <w:rsid w:val="002E1BC4"/>
    <w:rsid w:val="002E39AA"/>
    <w:rsid w:val="002E555E"/>
    <w:rsid w:val="0031357F"/>
    <w:rsid w:val="00324148"/>
    <w:rsid w:val="00326B78"/>
    <w:rsid w:val="0034297B"/>
    <w:rsid w:val="00356600"/>
    <w:rsid w:val="00363547"/>
    <w:rsid w:val="003873B0"/>
    <w:rsid w:val="00394DAC"/>
    <w:rsid w:val="00396DEE"/>
    <w:rsid w:val="003A1BFC"/>
    <w:rsid w:val="003A4D14"/>
    <w:rsid w:val="003B00CB"/>
    <w:rsid w:val="003D6415"/>
    <w:rsid w:val="003F2EE4"/>
    <w:rsid w:val="003F4C3F"/>
    <w:rsid w:val="00404F0F"/>
    <w:rsid w:val="004058AE"/>
    <w:rsid w:val="00421A71"/>
    <w:rsid w:val="00423671"/>
    <w:rsid w:val="00431395"/>
    <w:rsid w:val="00436E4A"/>
    <w:rsid w:val="00451237"/>
    <w:rsid w:val="00456106"/>
    <w:rsid w:val="00467106"/>
    <w:rsid w:val="0047022E"/>
    <w:rsid w:val="00482E2E"/>
    <w:rsid w:val="00486329"/>
    <w:rsid w:val="00497A86"/>
    <w:rsid w:val="004B353F"/>
    <w:rsid w:val="004C2E12"/>
    <w:rsid w:val="004C6BA4"/>
    <w:rsid w:val="004D10ED"/>
    <w:rsid w:val="004E324F"/>
    <w:rsid w:val="004F61E3"/>
    <w:rsid w:val="004F6927"/>
    <w:rsid w:val="0050076E"/>
    <w:rsid w:val="00501C58"/>
    <w:rsid w:val="0050503E"/>
    <w:rsid w:val="005059B0"/>
    <w:rsid w:val="00512762"/>
    <w:rsid w:val="00574F4E"/>
    <w:rsid w:val="005900D0"/>
    <w:rsid w:val="005B0B1B"/>
    <w:rsid w:val="005B10A2"/>
    <w:rsid w:val="005B31C5"/>
    <w:rsid w:val="005B323D"/>
    <w:rsid w:val="005B5311"/>
    <w:rsid w:val="005D308F"/>
    <w:rsid w:val="005D3BFE"/>
    <w:rsid w:val="005E086B"/>
    <w:rsid w:val="005E4AFC"/>
    <w:rsid w:val="0060426E"/>
    <w:rsid w:val="00607433"/>
    <w:rsid w:val="006166DA"/>
    <w:rsid w:val="00624124"/>
    <w:rsid w:val="00625C5F"/>
    <w:rsid w:val="006404DB"/>
    <w:rsid w:val="0064604B"/>
    <w:rsid w:val="0067182E"/>
    <w:rsid w:val="0067641B"/>
    <w:rsid w:val="00680EF4"/>
    <w:rsid w:val="00684DF2"/>
    <w:rsid w:val="0069271C"/>
    <w:rsid w:val="006934BC"/>
    <w:rsid w:val="006943CC"/>
    <w:rsid w:val="006A16F2"/>
    <w:rsid w:val="006A4A8F"/>
    <w:rsid w:val="006B102F"/>
    <w:rsid w:val="006C55D1"/>
    <w:rsid w:val="006E1B67"/>
    <w:rsid w:val="006E239B"/>
    <w:rsid w:val="006E261D"/>
    <w:rsid w:val="006E44A7"/>
    <w:rsid w:val="00730CC3"/>
    <w:rsid w:val="00743AFE"/>
    <w:rsid w:val="00746FC1"/>
    <w:rsid w:val="00755BB0"/>
    <w:rsid w:val="007604EB"/>
    <w:rsid w:val="0077222F"/>
    <w:rsid w:val="00773867"/>
    <w:rsid w:val="00776B77"/>
    <w:rsid w:val="007834AD"/>
    <w:rsid w:val="00792685"/>
    <w:rsid w:val="007B19F4"/>
    <w:rsid w:val="00804B6C"/>
    <w:rsid w:val="00812814"/>
    <w:rsid w:val="008449A1"/>
    <w:rsid w:val="00847390"/>
    <w:rsid w:val="008505DB"/>
    <w:rsid w:val="0086251C"/>
    <w:rsid w:val="008A407E"/>
    <w:rsid w:val="008D788E"/>
    <w:rsid w:val="009306E7"/>
    <w:rsid w:val="009608C8"/>
    <w:rsid w:val="00962F1E"/>
    <w:rsid w:val="00975411"/>
    <w:rsid w:val="009764C4"/>
    <w:rsid w:val="009A7C48"/>
    <w:rsid w:val="009C2105"/>
    <w:rsid w:val="009C778E"/>
    <w:rsid w:val="009D0028"/>
    <w:rsid w:val="009D123A"/>
    <w:rsid w:val="009F653B"/>
    <w:rsid w:val="00A0121B"/>
    <w:rsid w:val="00A21D8E"/>
    <w:rsid w:val="00A4139E"/>
    <w:rsid w:val="00A4545A"/>
    <w:rsid w:val="00A63116"/>
    <w:rsid w:val="00A64A58"/>
    <w:rsid w:val="00A67F1C"/>
    <w:rsid w:val="00AB569C"/>
    <w:rsid w:val="00AD6887"/>
    <w:rsid w:val="00AE09BD"/>
    <w:rsid w:val="00AF0709"/>
    <w:rsid w:val="00AF48D8"/>
    <w:rsid w:val="00B129F0"/>
    <w:rsid w:val="00B151FA"/>
    <w:rsid w:val="00B306F2"/>
    <w:rsid w:val="00B33D7C"/>
    <w:rsid w:val="00B35209"/>
    <w:rsid w:val="00B42D2E"/>
    <w:rsid w:val="00B44E5F"/>
    <w:rsid w:val="00B51D2E"/>
    <w:rsid w:val="00B64936"/>
    <w:rsid w:val="00B702FD"/>
    <w:rsid w:val="00B84410"/>
    <w:rsid w:val="00B856B8"/>
    <w:rsid w:val="00B86BB8"/>
    <w:rsid w:val="00B92D04"/>
    <w:rsid w:val="00BA0AEF"/>
    <w:rsid w:val="00BA14FC"/>
    <w:rsid w:val="00BA165F"/>
    <w:rsid w:val="00BA2ED5"/>
    <w:rsid w:val="00BA5136"/>
    <w:rsid w:val="00BB58D4"/>
    <w:rsid w:val="00BC0F29"/>
    <w:rsid w:val="00BD7630"/>
    <w:rsid w:val="00BE146F"/>
    <w:rsid w:val="00BF2CB6"/>
    <w:rsid w:val="00BF42FB"/>
    <w:rsid w:val="00C12E5D"/>
    <w:rsid w:val="00C20FDB"/>
    <w:rsid w:val="00C30329"/>
    <w:rsid w:val="00C40389"/>
    <w:rsid w:val="00C51207"/>
    <w:rsid w:val="00C51E84"/>
    <w:rsid w:val="00C60B45"/>
    <w:rsid w:val="00C75DB7"/>
    <w:rsid w:val="00C870AD"/>
    <w:rsid w:val="00C8738C"/>
    <w:rsid w:val="00C87458"/>
    <w:rsid w:val="00CA7C04"/>
    <w:rsid w:val="00CD5AF9"/>
    <w:rsid w:val="00D04821"/>
    <w:rsid w:val="00D645F3"/>
    <w:rsid w:val="00D825E6"/>
    <w:rsid w:val="00D9514D"/>
    <w:rsid w:val="00DA2B58"/>
    <w:rsid w:val="00DA780E"/>
    <w:rsid w:val="00DC20FA"/>
    <w:rsid w:val="00E02916"/>
    <w:rsid w:val="00E033E1"/>
    <w:rsid w:val="00E30201"/>
    <w:rsid w:val="00E3653D"/>
    <w:rsid w:val="00E40D22"/>
    <w:rsid w:val="00E41E69"/>
    <w:rsid w:val="00E70347"/>
    <w:rsid w:val="00E73EC1"/>
    <w:rsid w:val="00E77AB0"/>
    <w:rsid w:val="00E86B3E"/>
    <w:rsid w:val="00EA2497"/>
    <w:rsid w:val="00EC414D"/>
    <w:rsid w:val="00EE3555"/>
    <w:rsid w:val="00EF091E"/>
    <w:rsid w:val="00EF48F7"/>
    <w:rsid w:val="00F22866"/>
    <w:rsid w:val="00F25FE3"/>
    <w:rsid w:val="00F5752D"/>
    <w:rsid w:val="00F5760A"/>
    <w:rsid w:val="00F84DCA"/>
    <w:rsid w:val="00F86819"/>
    <w:rsid w:val="00FA72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 w:type="paragraph" w:customStyle="1" w:styleId="Default">
    <w:name w:val="Default"/>
    <w:rsid w:val="00BE146F"/>
    <w:pPr>
      <w:autoSpaceDE w:val="0"/>
      <w:autoSpaceDN w:val="0"/>
      <w:adjustRightInd w:val="0"/>
      <w:spacing w:after="0" w:line="240" w:lineRule="auto"/>
    </w:pPr>
    <w:rPr>
      <w:rFonts w:ascii="Times New Roman" w:hAnsi="Times New Roman" w:cs="Times New Roman"/>
      <w:color w:val="000000"/>
      <w:sz w:val="24"/>
      <w:szCs w:val="24"/>
    </w:rPr>
  </w:style>
  <w:style w:type="paragraph" w:styleId="Koptekst">
    <w:name w:val="header"/>
    <w:basedOn w:val="Standaard"/>
    <w:link w:val="KoptekstChar"/>
    <w:uiPriority w:val="99"/>
    <w:semiHidden/>
    <w:unhideWhenUsed/>
    <w:rsid w:val="00E73EC1"/>
    <w:pPr>
      <w:tabs>
        <w:tab w:val="center" w:pos="4536"/>
        <w:tab w:val="right" w:pos="9072"/>
      </w:tabs>
    </w:pPr>
  </w:style>
  <w:style w:type="character" w:customStyle="1" w:styleId="KoptekstChar">
    <w:name w:val="Koptekst Char"/>
    <w:basedOn w:val="Standaardalinea-lettertype"/>
    <w:link w:val="Koptekst"/>
    <w:uiPriority w:val="99"/>
    <w:semiHidden/>
    <w:rsid w:val="00E73EC1"/>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semiHidden/>
    <w:unhideWhenUsed/>
    <w:rsid w:val="00E73EC1"/>
    <w:pPr>
      <w:tabs>
        <w:tab w:val="center" w:pos="4536"/>
        <w:tab w:val="right" w:pos="9072"/>
      </w:tabs>
    </w:pPr>
  </w:style>
  <w:style w:type="character" w:customStyle="1" w:styleId="VoettekstChar">
    <w:name w:val="Voettekst Char"/>
    <w:basedOn w:val="Standaardalinea-lettertype"/>
    <w:link w:val="Voettekst"/>
    <w:uiPriority w:val="99"/>
    <w:semiHidden/>
    <w:rsid w:val="00E73EC1"/>
    <w:rPr>
      <w:rFonts w:ascii="Times New Roman" w:eastAsia="Times New Roman" w:hAnsi="Times New Roman" w:cs="Times New Roman"/>
      <w:sz w:val="24"/>
      <w:szCs w:val="24"/>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B00CB"/>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B00CB"/>
    <w:rPr>
      <w:color w:val="0000FF"/>
      <w:u w:val="single"/>
    </w:rPr>
  </w:style>
  <w:style w:type="character" w:styleId="Zwaar">
    <w:name w:val="Strong"/>
    <w:basedOn w:val="Standaardalinea-lettertype"/>
    <w:uiPriority w:val="22"/>
    <w:qFormat/>
    <w:rsid w:val="003B00CB"/>
    <w:rPr>
      <w:b/>
      <w:bCs/>
    </w:rPr>
  </w:style>
  <w:style w:type="paragraph" w:styleId="Voetnoottekst">
    <w:name w:val="footnote text"/>
    <w:basedOn w:val="Standaard"/>
    <w:link w:val="VoetnoottekstChar"/>
    <w:rsid w:val="003B00CB"/>
    <w:rPr>
      <w:sz w:val="20"/>
      <w:szCs w:val="20"/>
    </w:rPr>
  </w:style>
  <w:style w:type="character" w:customStyle="1" w:styleId="VoetnoottekstChar">
    <w:name w:val="Voetnoottekst Char"/>
    <w:basedOn w:val="Standaardalinea-lettertype"/>
    <w:link w:val="Voetnoottekst"/>
    <w:rsid w:val="003B00CB"/>
    <w:rPr>
      <w:rFonts w:ascii="Times New Roman" w:eastAsia="Times New Roman" w:hAnsi="Times New Roman" w:cs="Times New Roman"/>
      <w:sz w:val="20"/>
      <w:szCs w:val="20"/>
      <w:lang w:eastAsia="nl-NL"/>
    </w:rPr>
  </w:style>
  <w:style w:type="table" w:styleId="Tabelraster">
    <w:name w:val="Table Grid"/>
    <w:basedOn w:val="Standaardtabel"/>
    <w:rsid w:val="003B00C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B00CB"/>
    <w:pPr>
      <w:ind w:left="720"/>
    </w:pPr>
    <w:rPr>
      <w:rFonts w:eastAsiaTheme="minorHAnsi"/>
    </w:rPr>
  </w:style>
  <w:style w:type="character" w:styleId="Voetnootmarkering">
    <w:name w:val="footnote reference"/>
    <w:basedOn w:val="Standaardalinea-lettertype"/>
    <w:uiPriority w:val="99"/>
    <w:rsid w:val="003B00CB"/>
    <w:rPr>
      <w:vertAlign w:val="superscript"/>
    </w:rPr>
  </w:style>
  <w:style w:type="paragraph" w:styleId="Ballontekst">
    <w:name w:val="Balloon Text"/>
    <w:basedOn w:val="Standaard"/>
    <w:link w:val="BallontekstChar"/>
    <w:uiPriority w:val="99"/>
    <w:semiHidden/>
    <w:unhideWhenUsed/>
    <w:rsid w:val="0069271C"/>
    <w:rPr>
      <w:rFonts w:ascii="Tahoma" w:hAnsi="Tahoma" w:cs="Tahoma"/>
      <w:sz w:val="16"/>
      <w:szCs w:val="16"/>
    </w:rPr>
  </w:style>
  <w:style w:type="character" w:customStyle="1" w:styleId="BallontekstChar">
    <w:name w:val="Ballontekst Char"/>
    <w:basedOn w:val="Standaardalinea-lettertype"/>
    <w:link w:val="Ballontekst"/>
    <w:uiPriority w:val="99"/>
    <w:semiHidden/>
    <w:rsid w:val="0069271C"/>
    <w:rPr>
      <w:rFonts w:ascii="Tahoma" w:eastAsia="Times New Roman" w:hAnsi="Tahoma" w:cs="Tahoma"/>
      <w:sz w:val="16"/>
      <w:szCs w:val="16"/>
      <w:lang w:eastAsia="nl-NL"/>
    </w:rPr>
  </w:style>
  <w:style w:type="character" w:styleId="GevolgdeHyperlink">
    <w:name w:val="FollowedHyperlink"/>
    <w:basedOn w:val="Standaardalinea-lettertype"/>
    <w:uiPriority w:val="99"/>
    <w:semiHidden/>
    <w:unhideWhenUsed/>
    <w:rsid w:val="0069271C"/>
    <w:rPr>
      <w:color w:val="800080" w:themeColor="followedHyperlink"/>
      <w:u w:val="single"/>
    </w:rPr>
  </w:style>
  <w:style w:type="character" w:customStyle="1" w:styleId="subdeadline">
    <w:name w:val="subdeadline"/>
    <w:basedOn w:val="Standaardalinea-lettertype"/>
    <w:rsid w:val="00E41E69"/>
  </w:style>
  <w:style w:type="paragraph" w:customStyle="1" w:styleId="Default">
    <w:name w:val="Default"/>
    <w:rsid w:val="00BE146F"/>
    <w:pPr>
      <w:autoSpaceDE w:val="0"/>
      <w:autoSpaceDN w:val="0"/>
      <w:adjustRightInd w:val="0"/>
      <w:spacing w:after="0" w:line="240" w:lineRule="auto"/>
    </w:pPr>
    <w:rPr>
      <w:rFonts w:ascii="Times New Roman" w:hAnsi="Times New Roman" w:cs="Times New Roman"/>
      <w:color w:val="000000"/>
      <w:sz w:val="24"/>
      <w:szCs w:val="24"/>
    </w:rPr>
  </w:style>
  <w:style w:type="paragraph" w:styleId="Koptekst">
    <w:name w:val="header"/>
    <w:basedOn w:val="Standaard"/>
    <w:link w:val="KoptekstChar"/>
    <w:uiPriority w:val="99"/>
    <w:semiHidden/>
    <w:unhideWhenUsed/>
    <w:rsid w:val="00E73EC1"/>
    <w:pPr>
      <w:tabs>
        <w:tab w:val="center" w:pos="4536"/>
        <w:tab w:val="right" w:pos="9072"/>
      </w:tabs>
    </w:pPr>
  </w:style>
  <w:style w:type="character" w:customStyle="1" w:styleId="KoptekstChar">
    <w:name w:val="Koptekst Char"/>
    <w:basedOn w:val="Standaardalinea-lettertype"/>
    <w:link w:val="Koptekst"/>
    <w:uiPriority w:val="99"/>
    <w:semiHidden/>
    <w:rsid w:val="00E73EC1"/>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semiHidden/>
    <w:unhideWhenUsed/>
    <w:rsid w:val="00E73EC1"/>
    <w:pPr>
      <w:tabs>
        <w:tab w:val="center" w:pos="4536"/>
        <w:tab w:val="right" w:pos="9072"/>
      </w:tabs>
    </w:pPr>
  </w:style>
  <w:style w:type="character" w:customStyle="1" w:styleId="VoettekstChar">
    <w:name w:val="Voettekst Char"/>
    <w:basedOn w:val="Standaardalinea-lettertype"/>
    <w:link w:val="Voettekst"/>
    <w:uiPriority w:val="99"/>
    <w:semiHidden/>
    <w:rsid w:val="00E73EC1"/>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3085">
      <w:bodyDiv w:val="1"/>
      <w:marLeft w:val="0"/>
      <w:marRight w:val="0"/>
      <w:marTop w:val="0"/>
      <w:marBottom w:val="0"/>
      <w:divBdr>
        <w:top w:val="none" w:sz="0" w:space="0" w:color="auto"/>
        <w:left w:val="none" w:sz="0" w:space="0" w:color="auto"/>
        <w:bottom w:val="none" w:sz="0" w:space="0" w:color="auto"/>
        <w:right w:val="none" w:sz="0" w:space="0" w:color="auto"/>
      </w:divBdr>
    </w:div>
    <w:div w:id="57173350">
      <w:bodyDiv w:val="1"/>
      <w:marLeft w:val="0"/>
      <w:marRight w:val="0"/>
      <w:marTop w:val="0"/>
      <w:marBottom w:val="0"/>
      <w:divBdr>
        <w:top w:val="none" w:sz="0" w:space="0" w:color="auto"/>
        <w:left w:val="none" w:sz="0" w:space="0" w:color="auto"/>
        <w:bottom w:val="none" w:sz="0" w:space="0" w:color="auto"/>
        <w:right w:val="none" w:sz="0" w:space="0" w:color="auto"/>
      </w:divBdr>
    </w:div>
    <w:div w:id="69010195">
      <w:bodyDiv w:val="1"/>
      <w:marLeft w:val="0"/>
      <w:marRight w:val="0"/>
      <w:marTop w:val="0"/>
      <w:marBottom w:val="0"/>
      <w:divBdr>
        <w:top w:val="none" w:sz="0" w:space="0" w:color="auto"/>
        <w:left w:val="none" w:sz="0" w:space="0" w:color="auto"/>
        <w:bottom w:val="none" w:sz="0" w:space="0" w:color="auto"/>
        <w:right w:val="none" w:sz="0" w:space="0" w:color="auto"/>
      </w:divBdr>
    </w:div>
    <w:div w:id="78068402">
      <w:bodyDiv w:val="1"/>
      <w:marLeft w:val="0"/>
      <w:marRight w:val="0"/>
      <w:marTop w:val="0"/>
      <w:marBottom w:val="0"/>
      <w:divBdr>
        <w:top w:val="none" w:sz="0" w:space="0" w:color="auto"/>
        <w:left w:val="none" w:sz="0" w:space="0" w:color="auto"/>
        <w:bottom w:val="none" w:sz="0" w:space="0" w:color="auto"/>
        <w:right w:val="none" w:sz="0" w:space="0" w:color="auto"/>
      </w:divBdr>
    </w:div>
    <w:div w:id="92749357">
      <w:bodyDiv w:val="1"/>
      <w:marLeft w:val="0"/>
      <w:marRight w:val="0"/>
      <w:marTop w:val="0"/>
      <w:marBottom w:val="0"/>
      <w:divBdr>
        <w:top w:val="none" w:sz="0" w:space="0" w:color="auto"/>
        <w:left w:val="none" w:sz="0" w:space="0" w:color="auto"/>
        <w:bottom w:val="none" w:sz="0" w:space="0" w:color="auto"/>
        <w:right w:val="none" w:sz="0" w:space="0" w:color="auto"/>
      </w:divBdr>
    </w:div>
    <w:div w:id="143937299">
      <w:bodyDiv w:val="1"/>
      <w:marLeft w:val="0"/>
      <w:marRight w:val="0"/>
      <w:marTop w:val="0"/>
      <w:marBottom w:val="0"/>
      <w:divBdr>
        <w:top w:val="none" w:sz="0" w:space="0" w:color="auto"/>
        <w:left w:val="none" w:sz="0" w:space="0" w:color="auto"/>
        <w:bottom w:val="none" w:sz="0" w:space="0" w:color="auto"/>
        <w:right w:val="none" w:sz="0" w:space="0" w:color="auto"/>
      </w:divBdr>
    </w:div>
    <w:div w:id="159545971">
      <w:bodyDiv w:val="1"/>
      <w:marLeft w:val="0"/>
      <w:marRight w:val="0"/>
      <w:marTop w:val="0"/>
      <w:marBottom w:val="0"/>
      <w:divBdr>
        <w:top w:val="none" w:sz="0" w:space="0" w:color="auto"/>
        <w:left w:val="none" w:sz="0" w:space="0" w:color="auto"/>
        <w:bottom w:val="none" w:sz="0" w:space="0" w:color="auto"/>
        <w:right w:val="none" w:sz="0" w:space="0" w:color="auto"/>
      </w:divBdr>
    </w:div>
    <w:div w:id="163085671">
      <w:bodyDiv w:val="1"/>
      <w:marLeft w:val="0"/>
      <w:marRight w:val="0"/>
      <w:marTop w:val="0"/>
      <w:marBottom w:val="0"/>
      <w:divBdr>
        <w:top w:val="none" w:sz="0" w:space="0" w:color="auto"/>
        <w:left w:val="none" w:sz="0" w:space="0" w:color="auto"/>
        <w:bottom w:val="none" w:sz="0" w:space="0" w:color="auto"/>
        <w:right w:val="none" w:sz="0" w:space="0" w:color="auto"/>
      </w:divBdr>
    </w:div>
    <w:div w:id="167447000">
      <w:bodyDiv w:val="1"/>
      <w:marLeft w:val="0"/>
      <w:marRight w:val="0"/>
      <w:marTop w:val="0"/>
      <w:marBottom w:val="0"/>
      <w:divBdr>
        <w:top w:val="none" w:sz="0" w:space="0" w:color="auto"/>
        <w:left w:val="none" w:sz="0" w:space="0" w:color="auto"/>
        <w:bottom w:val="none" w:sz="0" w:space="0" w:color="auto"/>
        <w:right w:val="none" w:sz="0" w:space="0" w:color="auto"/>
      </w:divBdr>
    </w:div>
    <w:div w:id="179784802">
      <w:bodyDiv w:val="1"/>
      <w:marLeft w:val="0"/>
      <w:marRight w:val="0"/>
      <w:marTop w:val="0"/>
      <w:marBottom w:val="0"/>
      <w:divBdr>
        <w:top w:val="none" w:sz="0" w:space="0" w:color="auto"/>
        <w:left w:val="none" w:sz="0" w:space="0" w:color="auto"/>
        <w:bottom w:val="none" w:sz="0" w:space="0" w:color="auto"/>
        <w:right w:val="none" w:sz="0" w:space="0" w:color="auto"/>
      </w:divBdr>
    </w:div>
    <w:div w:id="189884143">
      <w:bodyDiv w:val="1"/>
      <w:marLeft w:val="0"/>
      <w:marRight w:val="0"/>
      <w:marTop w:val="0"/>
      <w:marBottom w:val="0"/>
      <w:divBdr>
        <w:top w:val="none" w:sz="0" w:space="0" w:color="auto"/>
        <w:left w:val="none" w:sz="0" w:space="0" w:color="auto"/>
        <w:bottom w:val="none" w:sz="0" w:space="0" w:color="auto"/>
        <w:right w:val="none" w:sz="0" w:space="0" w:color="auto"/>
      </w:divBdr>
    </w:div>
    <w:div w:id="214243146">
      <w:bodyDiv w:val="1"/>
      <w:marLeft w:val="0"/>
      <w:marRight w:val="0"/>
      <w:marTop w:val="0"/>
      <w:marBottom w:val="0"/>
      <w:divBdr>
        <w:top w:val="none" w:sz="0" w:space="0" w:color="auto"/>
        <w:left w:val="none" w:sz="0" w:space="0" w:color="auto"/>
        <w:bottom w:val="none" w:sz="0" w:space="0" w:color="auto"/>
        <w:right w:val="none" w:sz="0" w:space="0" w:color="auto"/>
      </w:divBdr>
    </w:div>
    <w:div w:id="219440228">
      <w:bodyDiv w:val="1"/>
      <w:marLeft w:val="0"/>
      <w:marRight w:val="0"/>
      <w:marTop w:val="0"/>
      <w:marBottom w:val="0"/>
      <w:divBdr>
        <w:top w:val="none" w:sz="0" w:space="0" w:color="auto"/>
        <w:left w:val="none" w:sz="0" w:space="0" w:color="auto"/>
        <w:bottom w:val="none" w:sz="0" w:space="0" w:color="auto"/>
        <w:right w:val="none" w:sz="0" w:space="0" w:color="auto"/>
      </w:divBdr>
    </w:div>
    <w:div w:id="223103748">
      <w:bodyDiv w:val="1"/>
      <w:marLeft w:val="0"/>
      <w:marRight w:val="0"/>
      <w:marTop w:val="0"/>
      <w:marBottom w:val="0"/>
      <w:divBdr>
        <w:top w:val="none" w:sz="0" w:space="0" w:color="auto"/>
        <w:left w:val="none" w:sz="0" w:space="0" w:color="auto"/>
        <w:bottom w:val="none" w:sz="0" w:space="0" w:color="auto"/>
        <w:right w:val="none" w:sz="0" w:space="0" w:color="auto"/>
      </w:divBdr>
    </w:div>
    <w:div w:id="226065530">
      <w:bodyDiv w:val="1"/>
      <w:marLeft w:val="0"/>
      <w:marRight w:val="0"/>
      <w:marTop w:val="0"/>
      <w:marBottom w:val="0"/>
      <w:divBdr>
        <w:top w:val="none" w:sz="0" w:space="0" w:color="auto"/>
        <w:left w:val="none" w:sz="0" w:space="0" w:color="auto"/>
        <w:bottom w:val="none" w:sz="0" w:space="0" w:color="auto"/>
        <w:right w:val="none" w:sz="0" w:space="0" w:color="auto"/>
      </w:divBdr>
    </w:div>
    <w:div w:id="236407620">
      <w:bodyDiv w:val="1"/>
      <w:marLeft w:val="0"/>
      <w:marRight w:val="0"/>
      <w:marTop w:val="0"/>
      <w:marBottom w:val="0"/>
      <w:divBdr>
        <w:top w:val="none" w:sz="0" w:space="0" w:color="auto"/>
        <w:left w:val="none" w:sz="0" w:space="0" w:color="auto"/>
        <w:bottom w:val="none" w:sz="0" w:space="0" w:color="auto"/>
        <w:right w:val="none" w:sz="0" w:space="0" w:color="auto"/>
      </w:divBdr>
    </w:div>
    <w:div w:id="251208393">
      <w:bodyDiv w:val="1"/>
      <w:marLeft w:val="0"/>
      <w:marRight w:val="0"/>
      <w:marTop w:val="0"/>
      <w:marBottom w:val="0"/>
      <w:divBdr>
        <w:top w:val="none" w:sz="0" w:space="0" w:color="auto"/>
        <w:left w:val="none" w:sz="0" w:space="0" w:color="auto"/>
        <w:bottom w:val="none" w:sz="0" w:space="0" w:color="auto"/>
        <w:right w:val="none" w:sz="0" w:space="0" w:color="auto"/>
      </w:divBdr>
    </w:div>
    <w:div w:id="257980645">
      <w:bodyDiv w:val="1"/>
      <w:marLeft w:val="0"/>
      <w:marRight w:val="0"/>
      <w:marTop w:val="0"/>
      <w:marBottom w:val="0"/>
      <w:divBdr>
        <w:top w:val="none" w:sz="0" w:space="0" w:color="auto"/>
        <w:left w:val="none" w:sz="0" w:space="0" w:color="auto"/>
        <w:bottom w:val="none" w:sz="0" w:space="0" w:color="auto"/>
        <w:right w:val="none" w:sz="0" w:space="0" w:color="auto"/>
      </w:divBdr>
    </w:div>
    <w:div w:id="268008910">
      <w:bodyDiv w:val="1"/>
      <w:marLeft w:val="0"/>
      <w:marRight w:val="0"/>
      <w:marTop w:val="0"/>
      <w:marBottom w:val="0"/>
      <w:divBdr>
        <w:top w:val="none" w:sz="0" w:space="0" w:color="auto"/>
        <w:left w:val="none" w:sz="0" w:space="0" w:color="auto"/>
        <w:bottom w:val="none" w:sz="0" w:space="0" w:color="auto"/>
        <w:right w:val="none" w:sz="0" w:space="0" w:color="auto"/>
      </w:divBdr>
    </w:div>
    <w:div w:id="275529423">
      <w:bodyDiv w:val="1"/>
      <w:marLeft w:val="0"/>
      <w:marRight w:val="0"/>
      <w:marTop w:val="0"/>
      <w:marBottom w:val="0"/>
      <w:divBdr>
        <w:top w:val="none" w:sz="0" w:space="0" w:color="auto"/>
        <w:left w:val="none" w:sz="0" w:space="0" w:color="auto"/>
        <w:bottom w:val="none" w:sz="0" w:space="0" w:color="auto"/>
        <w:right w:val="none" w:sz="0" w:space="0" w:color="auto"/>
      </w:divBdr>
    </w:div>
    <w:div w:id="290986162">
      <w:bodyDiv w:val="1"/>
      <w:marLeft w:val="0"/>
      <w:marRight w:val="0"/>
      <w:marTop w:val="0"/>
      <w:marBottom w:val="0"/>
      <w:divBdr>
        <w:top w:val="none" w:sz="0" w:space="0" w:color="auto"/>
        <w:left w:val="none" w:sz="0" w:space="0" w:color="auto"/>
        <w:bottom w:val="none" w:sz="0" w:space="0" w:color="auto"/>
        <w:right w:val="none" w:sz="0" w:space="0" w:color="auto"/>
      </w:divBdr>
    </w:div>
    <w:div w:id="301007285">
      <w:bodyDiv w:val="1"/>
      <w:marLeft w:val="0"/>
      <w:marRight w:val="0"/>
      <w:marTop w:val="0"/>
      <w:marBottom w:val="0"/>
      <w:divBdr>
        <w:top w:val="none" w:sz="0" w:space="0" w:color="auto"/>
        <w:left w:val="none" w:sz="0" w:space="0" w:color="auto"/>
        <w:bottom w:val="none" w:sz="0" w:space="0" w:color="auto"/>
        <w:right w:val="none" w:sz="0" w:space="0" w:color="auto"/>
      </w:divBdr>
    </w:div>
    <w:div w:id="355808670">
      <w:bodyDiv w:val="1"/>
      <w:marLeft w:val="0"/>
      <w:marRight w:val="0"/>
      <w:marTop w:val="0"/>
      <w:marBottom w:val="0"/>
      <w:divBdr>
        <w:top w:val="none" w:sz="0" w:space="0" w:color="auto"/>
        <w:left w:val="none" w:sz="0" w:space="0" w:color="auto"/>
        <w:bottom w:val="none" w:sz="0" w:space="0" w:color="auto"/>
        <w:right w:val="none" w:sz="0" w:space="0" w:color="auto"/>
      </w:divBdr>
    </w:div>
    <w:div w:id="393161687">
      <w:bodyDiv w:val="1"/>
      <w:marLeft w:val="0"/>
      <w:marRight w:val="0"/>
      <w:marTop w:val="0"/>
      <w:marBottom w:val="0"/>
      <w:divBdr>
        <w:top w:val="none" w:sz="0" w:space="0" w:color="auto"/>
        <w:left w:val="none" w:sz="0" w:space="0" w:color="auto"/>
        <w:bottom w:val="none" w:sz="0" w:space="0" w:color="auto"/>
        <w:right w:val="none" w:sz="0" w:space="0" w:color="auto"/>
      </w:divBdr>
    </w:div>
    <w:div w:id="399787098">
      <w:bodyDiv w:val="1"/>
      <w:marLeft w:val="0"/>
      <w:marRight w:val="0"/>
      <w:marTop w:val="0"/>
      <w:marBottom w:val="0"/>
      <w:divBdr>
        <w:top w:val="none" w:sz="0" w:space="0" w:color="auto"/>
        <w:left w:val="none" w:sz="0" w:space="0" w:color="auto"/>
        <w:bottom w:val="none" w:sz="0" w:space="0" w:color="auto"/>
        <w:right w:val="none" w:sz="0" w:space="0" w:color="auto"/>
      </w:divBdr>
    </w:div>
    <w:div w:id="512645461">
      <w:bodyDiv w:val="1"/>
      <w:marLeft w:val="0"/>
      <w:marRight w:val="0"/>
      <w:marTop w:val="0"/>
      <w:marBottom w:val="0"/>
      <w:divBdr>
        <w:top w:val="none" w:sz="0" w:space="0" w:color="auto"/>
        <w:left w:val="none" w:sz="0" w:space="0" w:color="auto"/>
        <w:bottom w:val="none" w:sz="0" w:space="0" w:color="auto"/>
        <w:right w:val="none" w:sz="0" w:space="0" w:color="auto"/>
      </w:divBdr>
    </w:div>
    <w:div w:id="528876300">
      <w:bodyDiv w:val="1"/>
      <w:marLeft w:val="0"/>
      <w:marRight w:val="0"/>
      <w:marTop w:val="0"/>
      <w:marBottom w:val="0"/>
      <w:divBdr>
        <w:top w:val="none" w:sz="0" w:space="0" w:color="auto"/>
        <w:left w:val="none" w:sz="0" w:space="0" w:color="auto"/>
        <w:bottom w:val="none" w:sz="0" w:space="0" w:color="auto"/>
        <w:right w:val="none" w:sz="0" w:space="0" w:color="auto"/>
      </w:divBdr>
    </w:div>
    <w:div w:id="548881601">
      <w:bodyDiv w:val="1"/>
      <w:marLeft w:val="0"/>
      <w:marRight w:val="0"/>
      <w:marTop w:val="0"/>
      <w:marBottom w:val="0"/>
      <w:divBdr>
        <w:top w:val="none" w:sz="0" w:space="0" w:color="auto"/>
        <w:left w:val="none" w:sz="0" w:space="0" w:color="auto"/>
        <w:bottom w:val="none" w:sz="0" w:space="0" w:color="auto"/>
        <w:right w:val="none" w:sz="0" w:space="0" w:color="auto"/>
      </w:divBdr>
    </w:div>
    <w:div w:id="688142859">
      <w:bodyDiv w:val="1"/>
      <w:marLeft w:val="0"/>
      <w:marRight w:val="0"/>
      <w:marTop w:val="0"/>
      <w:marBottom w:val="0"/>
      <w:divBdr>
        <w:top w:val="none" w:sz="0" w:space="0" w:color="auto"/>
        <w:left w:val="none" w:sz="0" w:space="0" w:color="auto"/>
        <w:bottom w:val="none" w:sz="0" w:space="0" w:color="auto"/>
        <w:right w:val="none" w:sz="0" w:space="0" w:color="auto"/>
      </w:divBdr>
    </w:div>
    <w:div w:id="705527700">
      <w:bodyDiv w:val="1"/>
      <w:marLeft w:val="0"/>
      <w:marRight w:val="0"/>
      <w:marTop w:val="0"/>
      <w:marBottom w:val="0"/>
      <w:divBdr>
        <w:top w:val="none" w:sz="0" w:space="0" w:color="auto"/>
        <w:left w:val="none" w:sz="0" w:space="0" w:color="auto"/>
        <w:bottom w:val="none" w:sz="0" w:space="0" w:color="auto"/>
        <w:right w:val="none" w:sz="0" w:space="0" w:color="auto"/>
      </w:divBdr>
    </w:div>
    <w:div w:id="741682796">
      <w:bodyDiv w:val="1"/>
      <w:marLeft w:val="0"/>
      <w:marRight w:val="0"/>
      <w:marTop w:val="0"/>
      <w:marBottom w:val="0"/>
      <w:divBdr>
        <w:top w:val="none" w:sz="0" w:space="0" w:color="auto"/>
        <w:left w:val="none" w:sz="0" w:space="0" w:color="auto"/>
        <w:bottom w:val="none" w:sz="0" w:space="0" w:color="auto"/>
        <w:right w:val="none" w:sz="0" w:space="0" w:color="auto"/>
      </w:divBdr>
    </w:div>
    <w:div w:id="833453278">
      <w:bodyDiv w:val="1"/>
      <w:marLeft w:val="0"/>
      <w:marRight w:val="0"/>
      <w:marTop w:val="0"/>
      <w:marBottom w:val="0"/>
      <w:divBdr>
        <w:top w:val="none" w:sz="0" w:space="0" w:color="auto"/>
        <w:left w:val="none" w:sz="0" w:space="0" w:color="auto"/>
        <w:bottom w:val="none" w:sz="0" w:space="0" w:color="auto"/>
        <w:right w:val="none" w:sz="0" w:space="0" w:color="auto"/>
      </w:divBdr>
    </w:div>
    <w:div w:id="836306931">
      <w:bodyDiv w:val="1"/>
      <w:marLeft w:val="0"/>
      <w:marRight w:val="0"/>
      <w:marTop w:val="0"/>
      <w:marBottom w:val="0"/>
      <w:divBdr>
        <w:top w:val="none" w:sz="0" w:space="0" w:color="auto"/>
        <w:left w:val="none" w:sz="0" w:space="0" w:color="auto"/>
        <w:bottom w:val="none" w:sz="0" w:space="0" w:color="auto"/>
        <w:right w:val="none" w:sz="0" w:space="0" w:color="auto"/>
      </w:divBdr>
    </w:div>
    <w:div w:id="862090524">
      <w:bodyDiv w:val="1"/>
      <w:marLeft w:val="0"/>
      <w:marRight w:val="0"/>
      <w:marTop w:val="0"/>
      <w:marBottom w:val="0"/>
      <w:divBdr>
        <w:top w:val="none" w:sz="0" w:space="0" w:color="auto"/>
        <w:left w:val="none" w:sz="0" w:space="0" w:color="auto"/>
        <w:bottom w:val="none" w:sz="0" w:space="0" w:color="auto"/>
        <w:right w:val="none" w:sz="0" w:space="0" w:color="auto"/>
      </w:divBdr>
    </w:div>
    <w:div w:id="865675266">
      <w:bodyDiv w:val="1"/>
      <w:marLeft w:val="0"/>
      <w:marRight w:val="0"/>
      <w:marTop w:val="0"/>
      <w:marBottom w:val="0"/>
      <w:divBdr>
        <w:top w:val="none" w:sz="0" w:space="0" w:color="auto"/>
        <w:left w:val="none" w:sz="0" w:space="0" w:color="auto"/>
        <w:bottom w:val="none" w:sz="0" w:space="0" w:color="auto"/>
        <w:right w:val="none" w:sz="0" w:space="0" w:color="auto"/>
      </w:divBdr>
    </w:div>
    <w:div w:id="922641187">
      <w:bodyDiv w:val="1"/>
      <w:marLeft w:val="0"/>
      <w:marRight w:val="0"/>
      <w:marTop w:val="0"/>
      <w:marBottom w:val="0"/>
      <w:divBdr>
        <w:top w:val="none" w:sz="0" w:space="0" w:color="auto"/>
        <w:left w:val="none" w:sz="0" w:space="0" w:color="auto"/>
        <w:bottom w:val="none" w:sz="0" w:space="0" w:color="auto"/>
        <w:right w:val="none" w:sz="0" w:space="0" w:color="auto"/>
      </w:divBdr>
    </w:div>
    <w:div w:id="928730540">
      <w:bodyDiv w:val="1"/>
      <w:marLeft w:val="0"/>
      <w:marRight w:val="0"/>
      <w:marTop w:val="0"/>
      <w:marBottom w:val="0"/>
      <w:divBdr>
        <w:top w:val="none" w:sz="0" w:space="0" w:color="auto"/>
        <w:left w:val="none" w:sz="0" w:space="0" w:color="auto"/>
        <w:bottom w:val="none" w:sz="0" w:space="0" w:color="auto"/>
        <w:right w:val="none" w:sz="0" w:space="0" w:color="auto"/>
      </w:divBdr>
    </w:div>
    <w:div w:id="932251265">
      <w:bodyDiv w:val="1"/>
      <w:marLeft w:val="0"/>
      <w:marRight w:val="0"/>
      <w:marTop w:val="0"/>
      <w:marBottom w:val="0"/>
      <w:divBdr>
        <w:top w:val="none" w:sz="0" w:space="0" w:color="auto"/>
        <w:left w:val="none" w:sz="0" w:space="0" w:color="auto"/>
        <w:bottom w:val="none" w:sz="0" w:space="0" w:color="auto"/>
        <w:right w:val="none" w:sz="0" w:space="0" w:color="auto"/>
      </w:divBdr>
    </w:div>
    <w:div w:id="934941272">
      <w:bodyDiv w:val="1"/>
      <w:marLeft w:val="0"/>
      <w:marRight w:val="0"/>
      <w:marTop w:val="0"/>
      <w:marBottom w:val="0"/>
      <w:divBdr>
        <w:top w:val="none" w:sz="0" w:space="0" w:color="auto"/>
        <w:left w:val="none" w:sz="0" w:space="0" w:color="auto"/>
        <w:bottom w:val="none" w:sz="0" w:space="0" w:color="auto"/>
        <w:right w:val="none" w:sz="0" w:space="0" w:color="auto"/>
      </w:divBdr>
    </w:div>
    <w:div w:id="1036077602">
      <w:bodyDiv w:val="1"/>
      <w:marLeft w:val="0"/>
      <w:marRight w:val="0"/>
      <w:marTop w:val="0"/>
      <w:marBottom w:val="0"/>
      <w:divBdr>
        <w:top w:val="none" w:sz="0" w:space="0" w:color="auto"/>
        <w:left w:val="none" w:sz="0" w:space="0" w:color="auto"/>
        <w:bottom w:val="none" w:sz="0" w:space="0" w:color="auto"/>
        <w:right w:val="none" w:sz="0" w:space="0" w:color="auto"/>
      </w:divBdr>
    </w:div>
    <w:div w:id="1044448852">
      <w:bodyDiv w:val="1"/>
      <w:marLeft w:val="0"/>
      <w:marRight w:val="0"/>
      <w:marTop w:val="0"/>
      <w:marBottom w:val="0"/>
      <w:divBdr>
        <w:top w:val="none" w:sz="0" w:space="0" w:color="auto"/>
        <w:left w:val="none" w:sz="0" w:space="0" w:color="auto"/>
        <w:bottom w:val="none" w:sz="0" w:space="0" w:color="auto"/>
        <w:right w:val="none" w:sz="0" w:space="0" w:color="auto"/>
      </w:divBdr>
    </w:div>
    <w:div w:id="1052465559">
      <w:bodyDiv w:val="1"/>
      <w:marLeft w:val="0"/>
      <w:marRight w:val="0"/>
      <w:marTop w:val="0"/>
      <w:marBottom w:val="0"/>
      <w:divBdr>
        <w:top w:val="none" w:sz="0" w:space="0" w:color="auto"/>
        <w:left w:val="none" w:sz="0" w:space="0" w:color="auto"/>
        <w:bottom w:val="none" w:sz="0" w:space="0" w:color="auto"/>
        <w:right w:val="none" w:sz="0" w:space="0" w:color="auto"/>
      </w:divBdr>
    </w:div>
    <w:div w:id="1062828667">
      <w:bodyDiv w:val="1"/>
      <w:marLeft w:val="0"/>
      <w:marRight w:val="0"/>
      <w:marTop w:val="0"/>
      <w:marBottom w:val="0"/>
      <w:divBdr>
        <w:top w:val="none" w:sz="0" w:space="0" w:color="auto"/>
        <w:left w:val="none" w:sz="0" w:space="0" w:color="auto"/>
        <w:bottom w:val="none" w:sz="0" w:space="0" w:color="auto"/>
        <w:right w:val="none" w:sz="0" w:space="0" w:color="auto"/>
      </w:divBdr>
    </w:div>
    <w:div w:id="1070541168">
      <w:bodyDiv w:val="1"/>
      <w:marLeft w:val="0"/>
      <w:marRight w:val="0"/>
      <w:marTop w:val="0"/>
      <w:marBottom w:val="0"/>
      <w:divBdr>
        <w:top w:val="none" w:sz="0" w:space="0" w:color="auto"/>
        <w:left w:val="none" w:sz="0" w:space="0" w:color="auto"/>
        <w:bottom w:val="none" w:sz="0" w:space="0" w:color="auto"/>
        <w:right w:val="none" w:sz="0" w:space="0" w:color="auto"/>
      </w:divBdr>
    </w:div>
    <w:div w:id="1104764268">
      <w:bodyDiv w:val="1"/>
      <w:marLeft w:val="0"/>
      <w:marRight w:val="0"/>
      <w:marTop w:val="0"/>
      <w:marBottom w:val="0"/>
      <w:divBdr>
        <w:top w:val="none" w:sz="0" w:space="0" w:color="auto"/>
        <w:left w:val="none" w:sz="0" w:space="0" w:color="auto"/>
        <w:bottom w:val="none" w:sz="0" w:space="0" w:color="auto"/>
        <w:right w:val="none" w:sz="0" w:space="0" w:color="auto"/>
      </w:divBdr>
    </w:div>
    <w:div w:id="1105420154">
      <w:bodyDiv w:val="1"/>
      <w:marLeft w:val="0"/>
      <w:marRight w:val="0"/>
      <w:marTop w:val="0"/>
      <w:marBottom w:val="0"/>
      <w:divBdr>
        <w:top w:val="none" w:sz="0" w:space="0" w:color="auto"/>
        <w:left w:val="none" w:sz="0" w:space="0" w:color="auto"/>
        <w:bottom w:val="none" w:sz="0" w:space="0" w:color="auto"/>
        <w:right w:val="none" w:sz="0" w:space="0" w:color="auto"/>
      </w:divBdr>
    </w:div>
    <w:div w:id="1113282251">
      <w:bodyDiv w:val="1"/>
      <w:marLeft w:val="0"/>
      <w:marRight w:val="0"/>
      <w:marTop w:val="0"/>
      <w:marBottom w:val="0"/>
      <w:divBdr>
        <w:top w:val="none" w:sz="0" w:space="0" w:color="auto"/>
        <w:left w:val="none" w:sz="0" w:space="0" w:color="auto"/>
        <w:bottom w:val="none" w:sz="0" w:space="0" w:color="auto"/>
        <w:right w:val="none" w:sz="0" w:space="0" w:color="auto"/>
      </w:divBdr>
    </w:div>
    <w:div w:id="1169753287">
      <w:bodyDiv w:val="1"/>
      <w:marLeft w:val="0"/>
      <w:marRight w:val="0"/>
      <w:marTop w:val="0"/>
      <w:marBottom w:val="0"/>
      <w:divBdr>
        <w:top w:val="none" w:sz="0" w:space="0" w:color="auto"/>
        <w:left w:val="none" w:sz="0" w:space="0" w:color="auto"/>
        <w:bottom w:val="none" w:sz="0" w:space="0" w:color="auto"/>
        <w:right w:val="none" w:sz="0" w:space="0" w:color="auto"/>
      </w:divBdr>
    </w:div>
    <w:div w:id="1174300185">
      <w:bodyDiv w:val="1"/>
      <w:marLeft w:val="0"/>
      <w:marRight w:val="0"/>
      <w:marTop w:val="0"/>
      <w:marBottom w:val="0"/>
      <w:divBdr>
        <w:top w:val="none" w:sz="0" w:space="0" w:color="auto"/>
        <w:left w:val="none" w:sz="0" w:space="0" w:color="auto"/>
        <w:bottom w:val="none" w:sz="0" w:space="0" w:color="auto"/>
        <w:right w:val="none" w:sz="0" w:space="0" w:color="auto"/>
      </w:divBdr>
    </w:div>
    <w:div w:id="1188567529">
      <w:bodyDiv w:val="1"/>
      <w:marLeft w:val="0"/>
      <w:marRight w:val="0"/>
      <w:marTop w:val="0"/>
      <w:marBottom w:val="0"/>
      <w:divBdr>
        <w:top w:val="none" w:sz="0" w:space="0" w:color="auto"/>
        <w:left w:val="none" w:sz="0" w:space="0" w:color="auto"/>
        <w:bottom w:val="none" w:sz="0" w:space="0" w:color="auto"/>
        <w:right w:val="none" w:sz="0" w:space="0" w:color="auto"/>
      </w:divBdr>
    </w:div>
    <w:div w:id="1232961212">
      <w:bodyDiv w:val="1"/>
      <w:marLeft w:val="0"/>
      <w:marRight w:val="0"/>
      <w:marTop w:val="0"/>
      <w:marBottom w:val="0"/>
      <w:divBdr>
        <w:top w:val="none" w:sz="0" w:space="0" w:color="auto"/>
        <w:left w:val="none" w:sz="0" w:space="0" w:color="auto"/>
        <w:bottom w:val="none" w:sz="0" w:space="0" w:color="auto"/>
        <w:right w:val="none" w:sz="0" w:space="0" w:color="auto"/>
      </w:divBdr>
    </w:div>
    <w:div w:id="1237132658">
      <w:bodyDiv w:val="1"/>
      <w:marLeft w:val="0"/>
      <w:marRight w:val="0"/>
      <w:marTop w:val="0"/>
      <w:marBottom w:val="0"/>
      <w:divBdr>
        <w:top w:val="none" w:sz="0" w:space="0" w:color="auto"/>
        <w:left w:val="none" w:sz="0" w:space="0" w:color="auto"/>
        <w:bottom w:val="none" w:sz="0" w:space="0" w:color="auto"/>
        <w:right w:val="none" w:sz="0" w:space="0" w:color="auto"/>
      </w:divBdr>
    </w:div>
    <w:div w:id="1248149743">
      <w:bodyDiv w:val="1"/>
      <w:marLeft w:val="0"/>
      <w:marRight w:val="0"/>
      <w:marTop w:val="0"/>
      <w:marBottom w:val="0"/>
      <w:divBdr>
        <w:top w:val="none" w:sz="0" w:space="0" w:color="auto"/>
        <w:left w:val="none" w:sz="0" w:space="0" w:color="auto"/>
        <w:bottom w:val="none" w:sz="0" w:space="0" w:color="auto"/>
        <w:right w:val="none" w:sz="0" w:space="0" w:color="auto"/>
      </w:divBdr>
    </w:div>
    <w:div w:id="1265460519">
      <w:bodyDiv w:val="1"/>
      <w:marLeft w:val="0"/>
      <w:marRight w:val="0"/>
      <w:marTop w:val="0"/>
      <w:marBottom w:val="0"/>
      <w:divBdr>
        <w:top w:val="none" w:sz="0" w:space="0" w:color="auto"/>
        <w:left w:val="none" w:sz="0" w:space="0" w:color="auto"/>
        <w:bottom w:val="none" w:sz="0" w:space="0" w:color="auto"/>
        <w:right w:val="none" w:sz="0" w:space="0" w:color="auto"/>
      </w:divBdr>
    </w:div>
    <w:div w:id="1269001532">
      <w:bodyDiv w:val="1"/>
      <w:marLeft w:val="0"/>
      <w:marRight w:val="0"/>
      <w:marTop w:val="0"/>
      <w:marBottom w:val="0"/>
      <w:divBdr>
        <w:top w:val="none" w:sz="0" w:space="0" w:color="auto"/>
        <w:left w:val="none" w:sz="0" w:space="0" w:color="auto"/>
        <w:bottom w:val="none" w:sz="0" w:space="0" w:color="auto"/>
        <w:right w:val="none" w:sz="0" w:space="0" w:color="auto"/>
      </w:divBdr>
    </w:div>
    <w:div w:id="1290629084">
      <w:bodyDiv w:val="1"/>
      <w:marLeft w:val="0"/>
      <w:marRight w:val="0"/>
      <w:marTop w:val="0"/>
      <w:marBottom w:val="0"/>
      <w:divBdr>
        <w:top w:val="none" w:sz="0" w:space="0" w:color="auto"/>
        <w:left w:val="none" w:sz="0" w:space="0" w:color="auto"/>
        <w:bottom w:val="none" w:sz="0" w:space="0" w:color="auto"/>
        <w:right w:val="none" w:sz="0" w:space="0" w:color="auto"/>
      </w:divBdr>
    </w:div>
    <w:div w:id="1293095611">
      <w:bodyDiv w:val="1"/>
      <w:marLeft w:val="0"/>
      <w:marRight w:val="0"/>
      <w:marTop w:val="0"/>
      <w:marBottom w:val="0"/>
      <w:divBdr>
        <w:top w:val="none" w:sz="0" w:space="0" w:color="auto"/>
        <w:left w:val="none" w:sz="0" w:space="0" w:color="auto"/>
        <w:bottom w:val="none" w:sz="0" w:space="0" w:color="auto"/>
        <w:right w:val="none" w:sz="0" w:space="0" w:color="auto"/>
      </w:divBdr>
    </w:div>
    <w:div w:id="1307735942">
      <w:bodyDiv w:val="1"/>
      <w:marLeft w:val="0"/>
      <w:marRight w:val="0"/>
      <w:marTop w:val="0"/>
      <w:marBottom w:val="0"/>
      <w:divBdr>
        <w:top w:val="none" w:sz="0" w:space="0" w:color="auto"/>
        <w:left w:val="none" w:sz="0" w:space="0" w:color="auto"/>
        <w:bottom w:val="none" w:sz="0" w:space="0" w:color="auto"/>
        <w:right w:val="none" w:sz="0" w:space="0" w:color="auto"/>
      </w:divBdr>
    </w:div>
    <w:div w:id="1334381360">
      <w:bodyDiv w:val="1"/>
      <w:marLeft w:val="0"/>
      <w:marRight w:val="0"/>
      <w:marTop w:val="0"/>
      <w:marBottom w:val="0"/>
      <w:divBdr>
        <w:top w:val="none" w:sz="0" w:space="0" w:color="auto"/>
        <w:left w:val="none" w:sz="0" w:space="0" w:color="auto"/>
        <w:bottom w:val="none" w:sz="0" w:space="0" w:color="auto"/>
        <w:right w:val="none" w:sz="0" w:space="0" w:color="auto"/>
      </w:divBdr>
    </w:div>
    <w:div w:id="1340543274">
      <w:bodyDiv w:val="1"/>
      <w:marLeft w:val="0"/>
      <w:marRight w:val="0"/>
      <w:marTop w:val="0"/>
      <w:marBottom w:val="0"/>
      <w:divBdr>
        <w:top w:val="none" w:sz="0" w:space="0" w:color="auto"/>
        <w:left w:val="none" w:sz="0" w:space="0" w:color="auto"/>
        <w:bottom w:val="none" w:sz="0" w:space="0" w:color="auto"/>
        <w:right w:val="none" w:sz="0" w:space="0" w:color="auto"/>
      </w:divBdr>
    </w:div>
    <w:div w:id="1367481795">
      <w:bodyDiv w:val="1"/>
      <w:marLeft w:val="0"/>
      <w:marRight w:val="0"/>
      <w:marTop w:val="0"/>
      <w:marBottom w:val="0"/>
      <w:divBdr>
        <w:top w:val="none" w:sz="0" w:space="0" w:color="auto"/>
        <w:left w:val="none" w:sz="0" w:space="0" w:color="auto"/>
        <w:bottom w:val="none" w:sz="0" w:space="0" w:color="auto"/>
        <w:right w:val="none" w:sz="0" w:space="0" w:color="auto"/>
      </w:divBdr>
    </w:div>
    <w:div w:id="1371150019">
      <w:bodyDiv w:val="1"/>
      <w:marLeft w:val="0"/>
      <w:marRight w:val="0"/>
      <w:marTop w:val="0"/>
      <w:marBottom w:val="0"/>
      <w:divBdr>
        <w:top w:val="none" w:sz="0" w:space="0" w:color="auto"/>
        <w:left w:val="none" w:sz="0" w:space="0" w:color="auto"/>
        <w:bottom w:val="none" w:sz="0" w:space="0" w:color="auto"/>
        <w:right w:val="none" w:sz="0" w:space="0" w:color="auto"/>
      </w:divBdr>
    </w:div>
    <w:div w:id="1391078381">
      <w:bodyDiv w:val="1"/>
      <w:marLeft w:val="0"/>
      <w:marRight w:val="0"/>
      <w:marTop w:val="0"/>
      <w:marBottom w:val="0"/>
      <w:divBdr>
        <w:top w:val="none" w:sz="0" w:space="0" w:color="auto"/>
        <w:left w:val="none" w:sz="0" w:space="0" w:color="auto"/>
        <w:bottom w:val="none" w:sz="0" w:space="0" w:color="auto"/>
        <w:right w:val="none" w:sz="0" w:space="0" w:color="auto"/>
      </w:divBdr>
    </w:div>
    <w:div w:id="1398360617">
      <w:bodyDiv w:val="1"/>
      <w:marLeft w:val="0"/>
      <w:marRight w:val="0"/>
      <w:marTop w:val="0"/>
      <w:marBottom w:val="0"/>
      <w:divBdr>
        <w:top w:val="none" w:sz="0" w:space="0" w:color="auto"/>
        <w:left w:val="none" w:sz="0" w:space="0" w:color="auto"/>
        <w:bottom w:val="none" w:sz="0" w:space="0" w:color="auto"/>
        <w:right w:val="none" w:sz="0" w:space="0" w:color="auto"/>
      </w:divBdr>
    </w:div>
    <w:div w:id="1400714768">
      <w:bodyDiv w:val="1"/>
      <w:marLeft w:val="0"/>
      <w:marRight w:val="0"/>
      <w:marTop w:val="0"/>
      <w:marBottom w:val="0"/>
      <w:divBdr>
        <w:top w:val="none" w:sz="0" w:space="0" w:color="auto"/>
        <w:left w:val="none" w:sz="0" w:space="0" w:color="auto"/>
        <w:bottom w:val="none" w:sz="0" w:space="0" w:color="auto"/>
        <w:right w:val="none" w:sz="0" w:space="0" w:color="auto"/>
      </w:divBdr>
    </w:div>
    <w:div w:id="1415277040">
      <w:bodyDiv w:val="1"/>
      <w:marLeft w:val="0"/>
      <w:marRight w:val="0"/>
      <w:marTop w:val="0"/>
      <w:marBottom w:val="0"/>
      <w:divBdr>
        <w:top w:val="none" w:sz="0" w:space="0" w:color="auto"/>
        <w:left w:val="none" w:sz="0" w:space="0" w:color="auto"/>
        <w:bottom w:val="none" w:sz="0" w:space="0" w:color="auto"/>
        <w:right w:val="none" w:sz="0" w:space="0" w:color="auto"/>
      </w:divBdr>
    </w:div>
    <w:div w:id="1442801536">
      <w:bodyDiv w:val="1"/>
      <w:marLeft w:val="0"/>
      <w:marRight w:val="0"/>
      <w:marTop w:val="0"/>
      <w:marBottom w:val="0"/>
      <w:divBdr>
        <w:top w:val="none" w:sz="0" w:space="0" w:color="auto"/>
        <w:left w:val="none" w:sz="0" w:space="0" w:color="auto"/>
        <w:bottom w:val="none" w:sz="0" w:space="0" w:color="auto"/>
        <w:right w:val="none" w:sz="0" w:space="0" w:color="auto"/>
      </w:divBdr>
    </w:div>
    <w:div w:id="1451239377">
      <w:bodyDiv w:val="1"/>
      <w:marLeft w:val="0"/>
      <w:marRight w:val="0"/>
      <w:marTop w:val="0"/>
      <w:marBottom w:val="0"/>
      <w:divBdr>
        <w:top w:val="none" w:sz="0" w:space="0" w:color="auto"/>
        <w:left w:val="none" w:sz="0" w:space="0" w:color="auto"/>
        <w:bottom w:val="none" w:sz="0" w:space="0" w:color="auto"/>
        <w:right w:val="none" w:sz="0" w:space="0" w:color="auto"/>
      </w:divBdr>
    </w:div>
    <w:div w:id="1453596214">
      <w:bodyDiv w:val="1"/>
      <w:marLeft w:val="0"/>
      <w:marRight w:val="0"/>
      <w:marTop w:val="0"/>
      <w:marBottom w:val="0"/>
      <w:divBdr>
        <w:top w:val="none" w:sz="0" w:space="0" w:color="auto"/>
        <w:left w:val="none" w:sz="0" w:space="0" w:color="auto"/>
        <w:bottom w:val="none" w:sz="0" w:space="0" w:color="auto"/>
        <w:right w:val="none" w:sz="0" w:space="0" w:color="auto"/>
      </w:divBdr>
    </w:div>
    <w:div w:id="1461995372">
      <w:bodyDiv w:val="1"/>
      <w:marLeft w:val="0"/>
      <w:marRight w:val="0"/>
      <w:marTop w:val="0"/>
      <w:marBottom w:val="0"/>
      <w:divBdr>
        <w:top w:val="none" w:sz="0" w:space="0" w:color="auto"/>
        <w:left w:val="none" w:sz="0" w:space="0" w:color="auto"/>
        <w:bottom w:val="none" w:sz="0" w:space="0" w:color="auto"/>
        <w:right w:val="none" w:sz="0" w:space="0" w:color="auto"/>
      </w:divBdr>
    </w:div>
    <w:div w:id="1490487549">
      <w:bodyDiv w:val="1"/>
      <w:marLeft w:val="0"/>
      <w:marRight w:val="0"/>
      <w:marTop w:val="0"/>
      <w:marBottom w:val="0"/>
      <w:divBdr>
        <w:top w:val="none" w:sz="0" w:space="0" w:color="auto"/>
        <w:left w:val="none" w:sz="0" w:space="0" w:color="auto"/>
        <w:bottom w:val="none" w:sz="0" w:space="0" w:color="auto"/>
        <w:right w:val="none" w:sz="0" w:space="0" w:color="auto"/>
      </w:divBdr>
    </w:div>
    <w:div w:id="1491755882">
      <w:bodyDiv w:val="1"/>
      <w:marLeft w:val="0"/>
      <w:marRight w:val="0"/>
      <w:marTop w:val="0"/>
      <w:marBottom w:val="0"/>
      <w:divBdr>
        <w:top w:val="none" w:sz="0" w:space="0" w:color="auto"/>
        <w:left w:val="none" w:sz="0" w:space="0" w:color="auto"/>
        <w:bottom w:val="none" w:sz="0" w:space="0" w:color="auto"/>
        <w:right w:val="none" w:sz="0" w:space="0" w:color="auto"/>
      </w:divBdr>
    </w:div>
    <w:div w:id="1492402759">
      <w:bodyDiv w:val="1"/>
      <w:marLeft w:val="0"/>
      <w:marRight w:val="0"/>
      <w:marTop w:val="0"/>
      <w:marBottom w:val="0"/>
      <w:divBdr>
        <w:top w:val="none" w:sz="0" w:space="0" w:color="auto"/>
        <w:left w:val="none" w:sz="0" w:space="0" w:color="auto"/>
        <w:bottom w:val="none" w:sz="0" w:space="0" w:color="auto"/>
        <w:right w:val="none" w:sz="0" w:space="0" w:color="auto"/>
      </w:divBdr>
    </w:div>
    <w:div w:id="1503737262">
      <w:bodyDiv w:val="1"/>
      <w:marLeft w:val="0"/>
      <w:marRight w:val="0"/>
      <w:marTop w:val="0"/>
      <w:marBottom w:val="0"/>
      <w:divBdr>
        <w:top w:val="none" w:sz="0" w:space="0" w:color="auto"/>
        <w:left w:val="none" w:sz="0" w:space="0" w:color="auto"/>
        <w:bottom w:val="none" w:sz="0" w:space="0" w:color="auto"/>
        <w:right w:val="none" w:sz="0" w:space="0" w:color="auto"/>
      </w:divBdr>
    </w:div>
    <w:div w:id="1507095744">
      <w:bodyDiv w:val="1"/>
      <w:marLeft w:val="0"/>
      <w:marRight w:val="0"/>
      <w:marTop w:val="0"/>
      <w:marBottom w:val="0"/>
      <w:divBdr>
        <w:top w:val="none" w:sz="0" w:space="0" w:color="auto"/>
        <w:left w:val="none" w:sz="0" w:space="0" w:color="auto"/>
        <w:bottom w:val="none" w:sz="0" w:space="0" w:color="auto"/>
        <w:right w:val="none" w:sz="0" w:space="0" w:color="auto"/>
      </w:divBdr>
    </w:div>
    <w:div w:id="1516773390">
      <w:bodyDiv w:val="1"/>
      <w:marLeft w:val="0"/>
      <w:marRight w:val="0"/>
      <w:marTop w:val="0"/>
      <w:marBottom w:val="0"/>
      <w:divBdr>
        <w:top w:val="none" w:sz="0" w:space="0" w:color="auto"/>
        <w:left w:val="none" w:sz="0" w:space="0" w:color="auto"/>
        <w:bottom w:val="none" w:sz="0" w:space="0" w:color="auto"/>
        <w:right w:val="none" w:sz="0" w:space="0" w:color="auto"/>
      </w:divBdr>
    </w:div>
    <w:div w:id="1523980760">
      <w:bodyDiv w:val="1"/>
      <w:marLeft w:val="0"/>
      <w:marRight w:val="0"/>
      <w:marTop w:val="0"/>
      <w:marBottom w:val="0"/>
      <w:divBdr>
        <w:top w:val="none" w:sz="0" w:space="0" w:color="auto"/>
        <w:left w:val="none" w:sz="0" w:space="0" w:color="auto"/>
        <w:bottom w:val="none" w:sz="0" w:space="0" w:color="auto"/>
        <w:right w:val="none" w:sz="0" w:space="0" w:color="auto"/>
      </w:divBdr>
    </w:div>
    <w:div w:id="1577741133">
      <w:bodyDiv w:val="1"/>
      <w:marLeft w:val="0"/>
      <w:marRight w:val="0"/>
      <w:marTop w:val="0"/>
      <w:marBottom w:val="0"/>
      <w:divBdr>
        <w:top w:val="none" w:sz="0" w:space="0" w:color="auto"/>
        <w:left w:val="none" w:sz="0" w:space="0" w:color="auto"/>
        <w:bottom w:val="none" w:sz="0" w:space="0" w:color="auto"/>
        <w:right w:val="none" w:sz="0" w:space="0" w:color="auto"/>
      </w:divBdr>
    </w:div>
    <w:div w:id="1604875742">
      <w:bodyDiv w:val="1"/>
      <w:marLeft w:val="0"/>
      <w:marRight w:val="0"/>
      <w:marTop w:val="0"/>
      <w:marBottom w:val="0"/>
      <w:divBdr>
        <w:top w:val="none" w:sz="0" w:space="0" w:color="auto"/>
        <w:left w:val="none" w:sz="0" w:space="0" w:color="auto"/>
        <w:bottom w:val="none" w:sz="0" w:space="0" w:color="auto"/>
        <w:right w:val="none" w:sz="0" w:space="0" w:color="auto"/>
      </w:divBdr>
    </w:div>
    <w:div w:id="1613592855">
      <w:bodyDiv w:val="1"/>
      <w:marLeft w:val="0"/>
      <w:marRight w:val="0"/>
      <w:marTop w:val="0"/>
      <w:marBottom w:val="0"/>
      <w:divBdr>
        <w:top w:val="none" w:sz="0" w:space="0" w:color="auto"/>
        <w:left w:val="none" w:sz="0" w:space="0" w:color="auto"/>
        <w:bottom w:val="none" w:sz="0" w:space="0" w:color="auto"/>
        <w:right w:val="none" w:sz="0" w:space="0" w:color="auto"/>
      </w:divBdr>
    </w:div>
    <w:div w:id="1647737269">
      <w:bodyDiv w:val="1"/>
      <w:marLeft w:val="0"/>
      <w:marRight w:val="0"/>
      <w:marTop w:val="0"/>
      <w:marBottom w:val="0"/>
      <w:divBdr>
        <w:top w:val="none" w:sz="0" w:space="0" w:color="auto"/>
        <w:left w:val="none" w:sz="0" w:space="0" w:color="auto"/>
        <w:bottom w:val="none" w:sz="0" w:space="0" w:color="auto"/>
        <w:right w:val="none" w:sz="0" w:space="0" w:color="auto"/>
      </w:divBdr>
    </w:div>
    <w:div w:id="1660385004">
      <w:bodyDiv w:val="1"/>
      <w:marLeft w:val="0"/>
      <w:marRight w:val="0"/>
      <w:marTop w:val="0"/>
      <w:marBottom w:val="0"/>
      <w:divBdr>
        <w:top w:val="none" w:sz="0" w:space="0" w:color="auto"/>
        <w:left w:val="none" w:sz="0" w:space="0" w:color="auto"/>
        <w:bottom w:val="none" w:sz="0" w:space="0" w:color="auto"/>
        <w:right w:val="none" w:sz="0" w:space="0" w:color="auto"/>
      </w:divBdr>
    </w:div>
    <w:div w:id="1728063705">
      <w:bodyDiv w:val="1"/>
      <w:marLeft w:val="0"/>
      <w:marRight w:val="0"/>
      <w:marTop w:val="0"/>
      <w:marBottom w:val="0"/>
      <w:divBdr>
        <w:top w:val="none" w:sz="0" w:space="0" w:color="auto"/>
        <w:left w:val="none" w:sz="0" w:space="0" w:color="auto"/>
        <w:bottom w:val="none" w:sz="0" w:space="0" w:color="auto"/>
        <w:right w:val="none" w:sz="0" w:space="0" w:color="auto"/>
      </w:divBdr>
    </w:div>
    <w:div w:id="1746100366">
      <w:bodyDiv w:val="1"/>
      <w:marLeft w:val="0"/>
      <w:marRight w:val="0"/>
      <w:marTop w:val="0"/>
      <w:marBottom w:val="0"/>
      <w:divBdr>
        <w:top w:val="none" w:sz="0" w:space="0" w:color="auto"/>
        <w:left w:val="none" w:sz="0" w:space="0" w:color="auto"/>
        <w:bottom w:val="none" w:sz="0" w:space="0" w:color="auto"/>
        <w:right w:val="none" w:sz="0" w:space="0" w:color="auto"/>
      </w:divBdr>
    </w:div>
    <w:div w:id="1815029175">
      <w:bodyDiv w:val="1"/>
      <w:marLeft w:val="0"/>
      <w:marRight w:val="0"/>
      <w:marTop w:val="0"/>
      <w:marBottom w:val="0"/>
      <w:divBdr>
        <w:top w:val="none" w:sz="0" w:space="0" w:color="auto"/>
        <w:left w:val="none" w:sz="0" w:space="0" w:color="auto"/>
        <w:bottom w:val="none" w:sz="0" w:space="0" w:color="auto"/>
        <w:right w:val="none" w:sz="0" w:space="0" w:color="auto"/>
      </w:divBdr>
    </w:div>
    <w:div w:id="1828325386">
      <w:bodyDiv w:val="1"/>
      <w:marLeft w:val="0"/>
      <w:marRight w:val="0"/>
      <w:marTop w:val="0"/>
      <w:marBottom w:val="0"/>
      <w:divBdr>
        <w:top w:val="none" w:sz="0" w:space="0" w:color="auto"/>
        <w:left w:val="none" w:sz="0" w:space="0" w:color="auto"/>
        <w:bottom w:val="none" w:sz="0" w:space="0" w:color="auto"/>
        <w:right w:val="none" w:sz="0" w:space="0" w:color="auto"/>
      </w:divBdr>
    </w:div>
    <w:div w:id="1844854671">
      <w:bodyDiv w:val="1"/>
      <w:marLeft w:val="0"/>
      <w:marRight w:val="0"/>
      <w:marTop w:val="0"/>
      <w:marBottom w:val="0"/>
      <w:divBdr>
        <w:top w:val="none" w:sz="0" w:space="0" w:color="auto"/>
        <w:left w:val="none" w:sz="0" w:space="0" w:color="auto"/>
        <w:bottom w:val="none" w:sz="0" w:space="0" w:color="auto"/>
        <w:right w:val="none" w:sz="0" w:space="0" w:color="auto"/>
      </w:divBdr>
    </w:div>
    <w:div w:id="1868906208">
      <w:bodyDiv w:val="1"/>
      <w:marLeft w:val="0"/>
      <w:marRight w:val="0"/>
      <w:marTop w:val="0"/>
      <w:marBottom w:val="0"/>
      <w:divBdr>
        <w:top w:val="none" w:sz="0" w:space="0" w:color="auto"/>
        <w:left w:val="none" w:sz="0" w:space="0" w:color="auto"/>
        <w:bottom w:val="none" w:sz="0" w:space="0" w:color="auto"/>
        <w:right w:val="none" w:sz="0" w:space="0" w:color="auto"/>
      </w:divBdr>
    </w:div>
    <w:div w:id="1902131025">
      <w:bodyDiv w:val="1"/>
      <w:marLeft w:val="0"/>
      <w:marRight w:val="0"/>
      <w:marTop w:val="0"/>
      <w:marBottom w:val="0"/>
      <w:divBdr>
        <w:top w:val="none" w:sz="0" w:space="0" w:color="auto"/>
        <w:left w:val="none" w:sz="0" w:space="0" w:color="auto"/>
        <w:bottom w:val="none" w:sz="0" w:space="0" w:color="auto"/>
        <w:right w:val="none" w:sz="0" w:space="0" w:color="auto"/>
      </w:divBdr>
    </w:div>
    <w:div w:id="1922136871">
      <w:bodyDiv w:val="1"/>
      <w:marLeft w:val="0"/>
      <w:marRight w:val="0"/>
      <w:marTop w:val="0"/>
      <w:marBottom w:val="0"/>
      <w:divBdr>
        <w:top w:val="none" w:sz="0" w:space="0" w:color="auto"/>
        <w:left w:val="none" w:sz="0" w:space="0" w:color="auto"/>
        <w:bottom w:val="none" w:sz="0" w:space="0" w:color="auto"/>
        <w:right w:val="none" w:sz="0" w:space="0" w:color="auto"/>
      </w:divBdr>
    </w:div>
    <w:div w:id="1948153870">
      <w:bodyDiv w:val="1"/>
      <w:marLeft w:val="0"/>
      <w:marRight w:val="0"/>
      <w:marTop w:val="0"/>
      <w:marBottom w:val="0"/>
      <w:divBdr>
        <w:top w:val="none" w:sz="0" w:space="0" w:color="auto"/>
        <w:left w:val="none" w:sz="0" w:space="0" w:color="auto"/>
        <w:bottom w:val="none" w:sz="0" w:space="0" w:color="auto"/>
        <w:right w:val="none" w:sz="0" w:space="0" w:color="auto"/>
      </w:divBdr>
    </w:div>
    <w:div w:id="2043164938">
      <w:bodyDiv w:val="1"/>
      <w:marLeft w:val="0"/>
      <w:marRight w:val="0"/>
      <w:marTop w:val="0"/>
      <w:marBottom w:val="0"/>
      <w:divBdr>
        <w:top w:val="none" w:sz="0" w:space="0" w:color="auto"/>
        <w:left w:val="none" w:sz="0" w:space="0" w:color="auto"/>
        <w:bottom w:val="none" w:sz="0" w:space="0" w:color="auto"/>
        <w:right w:val="none" w:sz="0" w:space="0" w:color="auto"/>
      </w:divBdr>
    </w:div>
    <w:div w:id="2058310051">
      <w:bodyDiv w:val="1"/>
      <w:marLeft w:val="0"/>
      <w:marRight w:val="0"/>
      <w:marTop w:val="0"/>
      <w:marBottom w:val="0"/>
      <w:divBdr>
        <w:top w:val="none" w:sz="0" w:space="0" w:color="auto"/>
        <w:left w:val="none" w:sz="0" w:space="0" w:color="auto"/>
        <w:bottom w:val="none" w:sz="0" w:space="0" w:color="auto"/>
        <w:right w:val="none" w:sz="0" w:space="0" w:color="auto"/>
      </w:divBdr>
    </w:div>
    <w:div w:id="2059892080">
      <w:bodyDiv w:val="1"/>
      <w:marLeft w:val="0"/>
      <w:marRight w:val="0"/>
      <w:marTop w:val="0"/>
      <w:marBottom w:val="0"/>
      <w:divBdr>
        <w:top w:val="none" w:sz="0" w:space="0" w:color="auto"/>
        <w:left w:val="none" w:sz="0" w:space="0" w:color="auto"/>
        <w:bottom w:val="none" w:sz="0" w:space="0" w:color="auto"/>
        <w:right w:val="none" w:sz="0" w:space="0" w:color="auto"/>
      </w:divBdr>
    </w:div>
    <w:div w:id="2080403208">
      <w:bodyDiv w:val="1"/>
      <w:marLeft w:val="0"/>
      <w:marRight w:val="0"/>
      <w:marTop w:val="0"/>
      <w:marBottom w:val="0"/>
      <w:divBdr>
        <w:top w:val="none" w:sz="0" w:space="0" w:color="auto"/>
        <w:left w:val="none" w:sz="0" w:space="0" w:color="auto"/>
        <w:bottom w:val="none" w:sz="0" w:space="0" w:color="auto"/>
        <w:right w:val="none" w:sz="0" w:space="0" w:color="auto"/>
      </w:divBdr>
    </w:div>
    <w:div w:id="2100980716">
      <w:bodyDiv w:val="1"/>
      <w:marLeft w:val="0"/>
      <w:marRight w:val="0"/>
      <w:marTop w:val="0"/>
      <w:marBottom w:val="0"/>
      <w:divBdr>
        <w:top w:val="none" w:sz="0" w:space="0" w:color="auto"/>
        <w:left w:val="none" w:sz="0" w:space="0" w:color="auto"/>
        <w:bottom w:val="none" w:sz="0" w:space="0" w:color="auto"/>
        <w:right w:val="none" w:sz="0" w:space="0" w:color="auto"/>
      </w:divBdr>
    </w:div>
    <w:div w:id="2103212705">
      <w:bodyDiv w:val="1"/>
      <w:marLeft w:val="0"/>
      <w:marRight w:val="0"/>
      <w:marTop w:val="0"/>
      <w:marBottom w:val="0"/>
      <w:divBdr>
        <w:top w:val="none" w:sz="0" w:space="0" w:color="auto"/>
        <w:left w:val="none" w:sz="0" w:space="0" w:color="auto"/>
        <w:bottom w:val="none" w:sz="0" w:space="0" w:color="auto"/>
        <w:right w:val="none" w:sz="0" w:space="0" w:color="auto"/>
      </w:divBdr>
    </w:div>
    <w:div w:id="2135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zoek.officielebekendmakingen.nl/kst-32123-XIV-147.html?zoekcriteria=%3fzkt%3dUitgebreid%26pst%3dTractatenblad%257cStaatsblad%257cStaatscourant%257cGemeenteblad%257cProvincieblad%257cWaterschapsblad%257cParlementaireDocumenten%26vrt%3dverzoekt%2bhet%2bkabinet%2bde%2bcorrespondentie%2bvan%2bde%2bNederlandse%2bregering%2baan%26zkd%3dInDeGeheleText%26dpr%3dAlle%26sdt%3dDatumPublicatie%26ap%3d%26pnr%3d16%26rpp%3d10%26_page%3d13%26sorttype%3d1%26sortorder%3d4&amp;resultIndex=127&amp;sorttype=1&amp;sortorder=4" TargetMode="External" Id="rId13" /><Relationship Type="http://schemas.openxmlformats.org/officeDocument/2006/relationships/settings" Target="settings.xml" Id="rId7" /><Relationship Type="http://schemas.openxmlformats.org/officeDocument/2006/relationships/hyperlink" Target="https://ec.europa.eu/info/law/better-regulation/initiatives/ares-2018-1981245_en" TargetMode="External" Id="rId12" /><Relationship Type="http://schemas.openxmlformats.org/officeDocument/2006/relationships/theme" Target="theme/theme1.xml" Id="rId16" /><Relationship Type="http://schemas.microsoft.com/office/2007/relationships/stylesWithEffects" Target="stylesWithEffects.xml" Id="rId6" /><Relationship Type="http://schemas.openxmlformats.org/officeDocument/2006/relationships/hyperlink" Target="http://www.ipex.eu/IPEXL-WEB/dossier/document/COM20180608.do"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hyperlink" Target="http://ec.europa.eu/yourvoice/consultations/index_nl.htm"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parlisweb/parlis/document.aspx?id=cf54eb83-50aa-4107-9bd2-8789e62c17c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2426</ap:Words>
  <ap:Characters>13345</ap:Characters>
  <ap:DocSecurity>0</ap:DocSecurity>
  <ap:Lines>111</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15740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2018-08-30T06:34:00.0000000Z</lastPrinted>
  <dcterms:created xsi:type="dcterms:W3CDTF">2018-09-13T13:43:00.0000000Z</dcterms:created>
  <dcterms:modified xsi:type="dcterms:W3CDTF">2018-09-13T13:43:00.0000000Z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0x010100A0CA0E69619C5146B253386A7CA68EA7</vt:lpwstr>
  </property>
</Properties>
</file>