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2C7350" w:rsidP="002C7350" w:rsidRDefault="002C7350" w14:paraId="2940F965" w14:textId="77777777">
      <w:pPr>
        <w:rPr>
          <w:rFonts w:asciiTheme="minorHAnsi" w:hAnsiTheme="minorHAnsi"/>
          <w:b/>
          <w:sz w:val="28"/>
          <w:szCs w:val="22"/>
        </w:rPr>
      </w:pPr>
      <w:r w:rsidRPr="00F153A4">
        <w:rPr>
          <w:rFonts w:asciiTheme="minorHAnsi" w:hAnsiTheme="minorHAnsi"/>
          <w:b/>
          <w:szCs w:val="22"/>
        </w:rPr>
        <w:t xml:space="preserve">Vaste commissie voor </w:t>
      </w:r>
      <w:r>
        <w:rPr>
          <w:rFonts w:asciiTheme="minorHAnsi" w:hAnsiTheme="minorHAnsi"/>
          <w:b/>
          <w:szCs w:val="22"/>
        </w:rPr>
        <w:t>Sociale Zaken en Werkgelegenheid</w:t>
      </w:r>
      <w:r>
        <w:rPr>
          <w:rFonts w:asciiTheme="minorHAnsi" w:hAnsiTheme="minorHAnsi"/>
          <w:b/>
          <w:sz w:val="22"/>
          <w:szCs w:val="22"/>
        </w:rPr>
        <w:t xml:space="preserve">: </w:t>
      </w:r>
      <w:r w:rsidRPr="00B16E8F">
        <w:rPr>
          <w:rFonts w:asciiTheme="minorHAnsi" w:hAnsiTheme="minorHAnsi"/>
          <w:b/>
          <w:szCs w:val="22"/>
        </w:rPr>
        <w:t>Overzicht nieuw gepubliceerde EU-voorstellen op het terrein van SZW</w:t>
      </w:r>
    </w:p>
    <w:p w:rsidRPr="00EA04E2" w:rsidR="0005606A" w:rsidP="002C7350" w:rsidRDefault="0005606A" w14:paraId="3CAC64F1" w14:textId="77777777">
      <w:pPr>
        <w:rPr>
          <w:rFonts w:asciiTheme="minorHAnsi" w:hAnsiTheme="minorHAnsi"/>
          <w:b/>
        </w:rPr>
      </w:pPr>
    </w:p>
    <w:p w:rsidRPr="00F67F5B" w:rsidR="002C7350" w:rsidP="002C7350" w:rsidRDefault="002C7350" w14:paraId="3CA955CE" w14:textId="77777777">
      <w:pPr>
        <w:rPr>
          <w:rFonts w:asciiTheme="minorHAnsi" w:hAnsiTheme="minorHAnsi"/>
          <w:sz w:val="22"/>
          <w:szCs w:val="22"/>
        </w:rPr>
      </w:pPr>
      <w:r>
        <w:rPr>
          <w:rFonts w:asciiTheme="minorHAnsi" w:hAnsiTheme="minorHAnsi"/>
          <w:b/>
          <w:sz w:val="22"/>
          <w:szCs w:val="22"/>
          <w:u w:val="single"/>
        </w:rPr>
        <w:t>Voorstellen over de periode</w:t>
      </w:r>
      <w:r w:rsidRPr="00967E0A">
        <w:rPr>
          <w:rFonts w:asciiTheme="minorHAnsi" w:hAnsiTheme="minorHAnsi"/>
          <w:b/>
          <w:sz w:val="22"/>
          <w:szCs w:val="22"/>
        </w:rPr>
        <w:t xml:space="preserve">:  </w:t>
      </w:r>
      <w:r w:rsidR="00713EE2">
        <w:rPr>
          <w:rFonts w:asciiTheme="minorHAnsi" w:hAnsiTheme="minorHAnsi"/>
          <w:b/>
          <w:sz w:val="22"/>
          <w:szCs w:val="22"/>
        </w:rPr>
        <w:t>3</w:t>
      </w:r>
      <w:r w:rsidR="0005606A">
        <w:rPr>
          <w:rFonts w:asciiTheme="minorHAnsi" w:hAnsiTheme="minorHAnsi"/>
          <w:b/>
          <w:sz w:val="22"/>
          <w:szCs w:val="22"/>
        </w:rPr>
        <w:t xml:space="preserve"> </w:t>
      </w:r>
      <w:r w:rsidR="00713EE2">
        <w:rPr>
          <w:rFonts w:asciiTheme="minorHAnsi" w:hAnsiTheme="minorHAnsi"/>
          <w:b/>
          <w:sz w:val="22"/>
          <w:szCs w:val="22"/>
        </w:rPr>
        <w:t xml:space="preserve">juli </w:t>
      </w:r>
      <w:r w:rsidR="0005606A">
        <w:rPr>
          <w:rFonts w:asciiTheme="minorHAnsi" w:hAnsiTheme="minorHAnsi"/>
          <w:b/>
          <w:sz w:val="22"/>
          <w:szCs w:val="22"/>
        </w:rPr>
        <w:t xml:space="preserve"> – </w:t>
      </w:r>
      <w:r w:rsidR="00713EE2">
        <w:rPr>
          <w:rFonts w:asciiTheme="minorHAnsi" w:hAnsiTheme="minorHAnsi"/>
          <w:b/>
          <w:sz w:val="22"/>
          <w:szCs w:val="22"/>
        </w:rPr>
        <w:t>6</w:t>
      </w:r>
      <w:r w:rsidRPr="00967E0A">
        <w:rPr>
          <w:rFonts w:asciiTheme="minorHAnsi" w:hAnsiTheme="minorHAnsi"/>
          <w:b/>
          <w:sz w:val="22"/>
          <w:szCs w:val="22"/>
        </w:rPr>
        <w:t xml:space="preserve"> </w:t>
      </w:r>
      <w:r w:rsidR="00713EE2">
        <w:rPr>
          <w:rFonts w:asciiTheme="minorHAnsi" w:hAnsiTheme="minorHAnsi"/>
          <w:b/>
          <w:sz w:val="22"/>
          <w:szCs w:val="22"/>
        </w:rPr>
        <w:t>september</w:t>
      </w:r>
      <w:r w:rsidRPr="00967E0A">
        <w:rPr>
          <w:rFonts w:asciiTheme="minorHAnsi" w:hAnsiTheme="minorHAnsi"/>
          <w:b/>
          <w:sz w:val="22"/>
          <w:szCs w:val="22"/>
        </w:rPr>
        <w:t xml:space="preserve"> 2018</w:t>
      </w:r>
    </w:p>
    <w:p w:rsidR="0011174C" w:rsidP="002C7350" w:rsidRDefault="0011174C" w14:paraId="474D9B06" w14:textId="77777777">
      <w:pPr>
        <w:rPr>
          <w:rFonts w:asciiTheme="minorHAnsi" w:hAnsiTheme="minorHAnsi"/>
          <w:color w:val="000000" w:themeColor="text1"/>
          <w:sz w:val="18"/>
          <w:szCs w:val="18"/>
        </w:rPr>
      </w:pPr>
    </w:p>
    <w:p w:rsidRPr="008011D1" w:rsidR="002C7350" w:rsidP="002C7350" w:rsidRDefault="002C7350" w14:paraId="07411132" w14:textId="77777777">
      <w:pPr>
        <w:rPr>
          <w:rFonts w:asciiTheme="minorHAnsi" w:hAnsiTheme="minorHAnsi"/>
          <w:b/>
          <w:color w:val="000000" w:themeColor="text1"/>
          <w:sz w:val="18"/>
          <w:szCs w:val="18"/>
        </w:rPr>
      </w:pPr>
      <w:r w:rsidRPr="008011D1">
        <w:rPr>
          <w:rFonts w:asciiTheme="minorHAnsi" w:hAnsiTheme="minorHAnsi"/>
          <w:color w:val="000000" w:themeColor="text1"/>
          <w:sz w:val="18"/>
          <w:szCs w:val="18"/>
        </w:rPr>
        <w:t xml:space="preserve">Zoals aanbevolen in het vastgestelde rapport 'Voorop in Europa' (Kamerstuk 33936-2) wordt </w:t>
      </w:r>
      <w:r>
        <w:rPr>
          <w:rFonts w:asciiTheme="minorHAnsi" w:hAnsiTheme="minorHAnsi"/>
          <w:color w:val="000000" w:themeColor="text1"/>
          <w:sz w:val="18"/>
          <w:szCs w:val="18"/>
        </w:rPr>
        <w:t xml:space="preserve">op elke procedurevergadering </w:t>
      </w:r>
      <w:r w:rsidRPr="008011D1">
        <w:rPr>
          <w:rFonts w:asciiTheme="minorHAnsi" w:hAnsiTheme="minorHAnsi"/>
          <w:color w:val="000000" w:themeColor="text1"/>
          <w:sz w:val="18"/>
          <w:szCs w:val="18"/>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Pr>
          <w:rFonts w:asciiTheme="minorHAnsi" w:hAnsiTheme="minorHAnsi"/>
          <w:color w:val="000000" w:themeColor="text1"/>
          <w:sz w:val="18"/>
          <w:szCs w:val="18"/>
        </w:rPr>
        <w:t>SZW</w:t>
      </w:r>
      <w:r w:rsidRPr="008011D1">
        <w:rPr>
          <w:rFonts w:asciiTheme="minorHAnsi" w:hAnsiTheme="minorHAnsi"/>
          <w:color w:val="000000" w:themeColor="text1"/>
          <w:sz w:val="18"/>
          <w:szCs w:val="18"/>
        </w:rPr>
        <w:t xml:space="preserve"> eerder als prioritair heeft aangemerkt, worden afzonderlijk geagendeerd voor de procedurevergadering met een behandelvoorstel.</w:t>
      </w:r>
    </w:p>
    <w:p w:rsidR="002C7350" w:rsidP="002C7350" w:rsidRDefault="002C7350" w14:paraId="663D60BC" w14:textId="77777777">
      <w:pPr>
        <w:rPr>
          <w:rFonts w:asciiTheme="minorHAnsi" w:hAnsiTheme="minorHAnsi"/>
          <w:b/>
          <w:sz w:val="22"/>
          <w:szCs w:val="22"/>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981"/>
        <w:gridCol w:w="1203"/>
        <w:gridCol w:w="1374"/>
        <w:gridCol w:w="4710"/>
        <w:gridCol w:w="720"/>
        <w:gridCol w:w="1242"/>
        <w:gridCol w:w="4425"/>
      </w:tblGrid>
      <w:tr w:rsidRPr="00D668D4" w:rsidR="002C7350" w:rsidTr="008C5955" w14:paraId="535D0940" w14:textId="77777777">
        <w:trPr>
          <w:trHeight w:val="1550"/>
        </w:trPr>
        <w:tc>
          <w:tcPr>
            <w:tcW w:w="981" w:type="dxa"/>
            <w:shd w:val="clear" w:color="auto" w:fill="auto"/>
            <w:textDirection w:val="btLr"/>
            <w:vAlign w:val="bottom"/>
            <w:hideMark/>
          </w:tcPr>
          <w:p w:rsidRPr="00D668D4" w:rsidR="002C7350" w:rsidP="008C5955" w:rsidRDefault="002C7350" w14:paraId="5BB507A1"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Publicatie-</w:t>
            </w:r>
          </w:p>
          <w:p w:rsidRPr="00D668D4" w:rsidR="002C7350" w:rsidP="008C5955" w:rsidRDefault="002C7350" w14:paraId="4AF28494"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datum</w:t>
            </w:r>
          </w:p>
        </w:tc>
        <w:tc>
          <w:tcPr>
            <w:tcW w:w="1203" w:type="dxa"/>
            <w:shd w:val="clear" w:color="auto" w:fill="auto"/>
            <w:textDirection w:val="btLr"/>
            <w:vAlign w:val="bottom"/>
            <w:hideMark/>
          </w:tcPr>
          <w:p w:rsidRPr="00D668D4" w:rsidR="002C7350" w:rsidP="008C5955" w:rsidRDefault="002C7350" w14:paraId="54D4FA7B"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Voortouw</w:t>
            </w:r>
          </w:p>
        </w:tc>
        <w:tc>
          <w:tcPr>
            <w:tcW w:w="1374" w:type="dxa"/>
            <w:shd w:val="clear" w:color="auto" w:fill="auto"/>
            <w:textDirection w:val="btLr"/>
            <w:vAlign w:val="bottom"/>
            <w:hideMark/>
          </w:tcPr>
          <w:p w:rsidRPr="00D668D4" w:rsidR="002C7350" w:rsidP="008C5955" w:rsidRDefault="002C7350" w14:paraId="099A1CED"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Soort</w:t>
            </w:r>
          </w:p>
        </w:tc>
        <w:tc>
          <w:tcPr>
            <w:tcW w:w="4754" w:type="dxa"/>
            <w:shd w:val="clear" w:color="auto" w:fill="auto"/>
            <w:textDirection w:val="btLr"/>
            <w:vAlign w:val="bottom"/>
            <w:hideMark/>
          </w:tcPr>
          <w:p w:rsidRPr="00D668D4" w:rsidR="002C7350" w:rsidP="008C5955" w:rsidRDefault="002C7350" w14:paraId="78545436"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Titel</w:t>
            </w:r>
          </w:p>
        </w:tc>
        <w:tc>
          <w:tcPr>
            <w:tcW w:w="634" w:type="dxa"/>
            <w:shd w:val="clear" w:color="auto" w:fill="auto"/>
            <w:textDirection w:val="btLr"/>
            <w:vAlign w:val="bottom"/>
            <w:hideMark/>
          </w:tcPr>
          <w:p w:rsidRPr="00D668D4" w:rsidR="002C7350" w:rsidP="008C5955" w:rsidRDefault="002C7350" w14:paraId="562F8A96"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COM-nummer</w:t>
            </w:r>
          </w:p>
        </w:tc>
        <w:tc>
          <w:tcPr>
            <w:tcW w:w="1246" w:type="dxa"/>
            <w:textDirection w:val="btLr"/>
          </w:tcPr>
          <w:p w:rsidRPr="00D668D4" w:rsidR="002C7350" w:rsidP="008C5955" w:rsidRDefault="002C7350" w14:paraId="78E476C7" w14:textId="77777777">
            <w:pPr>
              <w:jc w:val="center"/>
              <w:rPr>
                <w:rFonts w:asciiTheme="minorHAnsi" w:hAnsiTheme="minorHAnsi"/>
                <w:b/>
                <w:bCs/>
                <w:color w:val="000000"/>
                <w:sz w:val="22"/>
                <w:szCs w:val="22"/>
              </w:rPr>
            </w:pPr>
          </w:p>
          <w:p w:rsidRPr="00D668D4" w:rsidR="002C7350" w:rsidP="008C5955" w:rsidRDefault="002C7350" w14:paraId="6FADABC6"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Deadline</w:t>
            </w:r>
          </w:p>
          <w:p w:rsidRPr="00D668D4" w:rsidR="002C7350" w:rsidP="008C5955" w:rsidRDefault="002C7350" w14:paraId="74A3B1F4"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Sub.toets</w:t>
            </w:r>
          </w:p>
        </w:tc>
        <w:tc>
          <w:tcPr>
            <w:tcW w:w="4463" w:type="dxa"/>
            <w:shd w:val="clear" w:color="auto" w:fill="auto"/>
            <w:textDirection w:val="btLr"/>
            <w:vAlign w:val="bottom"/>
            <w:hideMark/>
          </w:tcPr>
          <w:p w:rsidRPr="00D668D4" w:rsidR="002C7350" w:rsidP="008C5955" w:rsidRDefault="002C7350" w14:paraId="46EED48D"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Opmerking</w:t>
            </w:r>
          </w:p>
        </w:tc>
      </w:tr>
      <w:tr w:rsidRPr="00D668D4" w:rsidR="002C7350" w:rsidTr="008C5955" w14:paraId="60A6C1FD" w14:textId="77777777">
        <w:trPr>
          <w:trHeight w:val="300"/>
        </w:trPr>
        <w:tc>
          <w:tcPr>
            <w:tcW w:w="981" w:type="dxa"/>
            <w:tcBorders>
              <w:bottom w:val="single" w:color="auto" w:sz="4" w:space="0"/>
            </w:tcBorders>
            <w:shd w:val="clear" w:color="000000" w:fill="538DD5"/>
            <w:vAlign w:val="bottom"/>
            <w:hideMark/>
          </w:tcPr>
          <w:p w:rsidRPr="00D668D4" w:rsidR="002C7350" w:rsidP="008C5955" w:rsidRDefault="002C7350" w14:paraId="3338C8E6"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03" w:type="dxa"/>
            <w:tcBorders>
              <w:bottom w:val="single" w:color="auto" w:sz="4" w:space="0"/>
            </w:tcBorders>
            <w:shd w:val="clear" w:color="000000" w:fill="538DD5"/>
            <w:vAlign w:val="bottom"/>
            <w:hideMark/>
          </w:tcPr>
          <w:p w:rsidRPr="00D668D4" w:rsidR="002C7350" w:rsidP="008C5955" w:rsidRDefault="002C7350" w14:paraId="247FE192"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374" w:type="dxa"/>
            <w:tcBorders>
              <w:bottom w:val="single" w:color="auto" w:sz="4" w:space="0"/>
            </w:tcBorders>
            <w:shd w:val="clear" w:color="000000" w:fill="538DD5"/>
            <w:vAlign w:val="bottom"/>
            <w:hideMark/>
          </w:tcPr>
          <w:p w:rsidRPr="00D668D4" w:rsidR="002C7350" w:rsidP="008C5955" w:rsidRDefault="002C7350" w14:paraId="58FD527D" w14:textId="77777777">
            <w:pP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4754" w:type="dxa"/>
            <w:tcBorders>
              <w:bottom w:val="single" w:color="auto" w:sz="4" w:space="0"/>
            </w:tcBorders>
            <w:shd w:val="clear" w:color="000000" w:fill="538DD5"/>
            <w:vAlign w:val="bottom"/>
            <w:hideMark/>
          </w:tcPr>
          <w:p w:rsidRPr="00D668D4" w:rsidR="002C7350" w:rsidP="008C5955" w:rsidRDefault="002C7350" w14:paraId="095264F3"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634" w:type="dxa"/>
            <w:tcBorders>
              <w:bottom w:val="single" w:color="auto" w:sz="4" w:space="0"/>
            </w:tcBorders>
            <w:shd w:val="clear" w:color="000000" w:fill="538DD5"/>
            <w:vAlign w:val="bottom"/>
            <w:hideMark/>
          </w:tcPr>
          <w:p w:rsidRPr="00D668D4" w:rsidR="002C7350" w:rsidP="008C5955" w:rsidRDefault="002C7350" w14:paraId="38F76218" w14:textId="77777777">
            <w:pPr>
              <w:jc w:val="center"/>
              <w:rPr>
                <w:rFonts w:asciiTheme="minorHAnsi" w:hAnsiTheme="minorHAnsi"/>
                <w:b/>
                <w:bCs/>
                <w:color w:val="000000"/>
                <w:sz w:val="22"/>
                <w:szCs w:val="22"/>
              </w:rPr>
            </w:pPr>
            <w:r w:rsidRPr="00D668D4">
              <w:rPr>
                <w:rFonts w:asciiTheme="minorHAnsi" w:hAnsiTheme="minorHAnsi"/>
                <w:b/>
                <w:bCs/>
                <w:color w:val="000000"/>
                <w:sz w:val="22"/>
                <w:szCs w:val="22"/>
              </w:rPr>
              <w:t> </w:t>
            </w:r>
          </w:p>
        </w:tc>
        <w:tc>
          <w:tcPr>
            <w:tcW w:w="1246" w:type="dxa"/>
            <w:tcBorders>
              <w:bottom w:val="single" w:color="auto" w:sz="4" w:space="0"/>
            </w:tcBorders>
            <w:shd w:val="clear" w:color="000000" w:fill="538DD5"/>
          </w:tcPr>
          <w:p w:rsidRPr="00D668D4" w:rsidR="002C7350" w:rsidP="008C5955" w:rsidRDefault="002C7350" w14:paraId="057B05D1" w14:textId="77777777">
            <w:pPr>
              <w:rPr>
                <w:rFonts w:asciiTheme="minorHAnsi" w:hAnsiTheme="minorHAnsi"/>
                <w:b/>
                <w:bCs/>
                <w:color w:val="000000"/>
                <w:sz w:val="22"/>
                <w:szCs w:val="22"/>
              </w:rPr>
            </w:pPr>
          </w:p>
        </w:tc>
        <w:tc>
          <w:tcPr>
            <w:tcW w:w="4463" w:type="dxa"/>
            <w:tcBorders>
              <w:bottom w:val="single" w:color="auto" w:sz="4" w:space="0"/>
            </w:tcBorders>
            <w:shd w:val="clear" w:color="000000" w:fill="538DD5"/>
            <w:hideMark/>
          </w:tcPr>
          <w:p w:rsidRPr="00D668D4" w:rsidR="002C7350" w:rsidP="008C5955" w:rsidRDefault="002C7350" w14:paraId="5B9AE742" w14:textId="77777777">
            <w:pPr>
              <w:rPr>
                <w:rFonts w:asciiTheme="minorHAnsi" w:hAnsiTheme="minorHAnsi"/>
                <w:b/>
                <w:bCs/>
                <w:color w:val="000000"/>
                <w:sz w:val="22"/>
                <w:szCs w:val="22"/>
              </w:rPr>
            </w:pPr>
            <w:r w:rsidRPr="00D668D4">
              <w:rPr>
                <w:rFonts w:asciiTheme="minorHAnsi" w:hAnsiTheme="minorHAnsi"/>
                <w:b/>
                <w:bCs/>
                <w:color w:val="000000"/>
                <w:sz w:val="22"/>
                <w:szCs w:val="22"/>
              </w:rPr>
              <w:t> </w:t>
            </w:r>
          </w:p>
        </w:tc>
      </w:tr>
      <w:tr w:rsidRPr="00D668D4" w:rsidR="002C7350" w:rsidTr="008C5955" w14:paraId="26A6B954" w14:textId="77777777">
        <w:trPr>
          <w:trHeight w:val="1134"/>
        </w:trPr>
        <w:tc>
          <w:tcPr>
            <w:tcW w:w="981" w:type="dxa"/>
            <w:shd w:val="clear" w:color="auto" w:fill="auto"/>
            <w:noWrap/>
          </w:tcPr>
          <w:p w:rsidRPr="00D668D4" w:rsidR="002C7350" w:rsidP="00713EE2" w:rsidRDefault="00713EE2" w14:paraId="786D0024" w14:textId="77777777">
            <w:pPr>
              <w:jc w:val="center"/>
              <w:rPr>
                <w:rFonts w:asciiTheme="minorHAnsi" w:hAnsiTheme="minorHAnsi"/>
                <w:color w:val="000000"/>
                <w:sz w:val="22"/>
                <w:szCs w:val="22"/>
              </w:rPr>
            </w:pPr>
            <w:r>
              <w:rPr>
                <w:rFonts w:asciiTheme="minorHAnsi" w:hAnsiTheme="minorHAnsi"/>
                <w:color w:val="000000"/>
                <w:sz w:val="22"/>
                <w:szCs w:val="22"/>
              </w:rPr>
              <w:t xml:space="preserve">20 juli </w:t>
            </w:r>
            <w:r w:rsidR="002C7350">
              <w:rPr>
                <w:rFonts w:asciiTheme="minorHAnsi" w:hAnsiTheme="minorHAnsi"/>
                <w:color w:val="000000"/>
                <w:sz w:val="22"/>
                <w:szCs w:val="22"/>
              </w:rPr>
              <w:t>2018</w:t>
            </w:r>
          </w:p>
        </w:tc>
        <w:tc>
          <w:tcPr>
            <w:tcW w:w="1203" w:type="dxa"/>
            <w:shd w:val="clear" w:color="auto" w:fill="auto"/>
            <w:noWrap/>
          </w:tcPr>
          <w:p w:rsidRPr="00D668D4" w:rsidR="002C7350" w:rsidP="008C5955" w:rsidRDefault="002C7350" w14:paraId="08AB613D" w14:textId="77777777">
            <w:pPr>
              <w:rPr>
                <w:rFonts w:asciiTheme="minorHAnsi" w:hAnsiTheme="minorHAnsi"/>
                <w:color w:val="000000"/>
                <w:sz w:val="22"/>
                <w:szCs w:val="22"/>
              </w:rPr>
            </w:pPr>
            <w:r w:rsidRPr="00D668D4">
              <w:rPr>
                <w:rFonts w:asciiTheme="minorHAnsi" w:hAnsiTheme="minorHAnsi"/>
                <w:color w:val="000000"/>
                <w:sz w:val="22"/>
                <w:szCs w:val="22"/>
              </w:rPr>
              <w:t>SZW</w:t>
            </w:r>
          </w:p>
        </w:tc>
        <w:tc>
          <w:tcPr>
            <w:tcW w:w="1374" w:type="dxa"/>
            <w:shd w:val="clear" w:color="auto" w:fill="auto"/>
            <w:noWrap/>
          </w:tcPr>
          <w:p w:rsidRPr="00D668D4" w:rsidR="002C7350" w:rsidP="00713EE2" w:rsidRDefault="002C7350" w14:paraId="31BE13E3" w14:textId="77777777">
            <w:pPr>
              <w:rPr>
                <w:rFonts w:asciiTheme="minorHAnsi" w:hAnsiTheme="minorHAnsi"/>
                <w:color w:val="000000"/>
                <w:sz w:val="22"/>
                <w:szCs w:val="22"/>
              </w:rPr>
            </w:pPr>
            <w:r>
              <w:rPr>
                <w:rFonts w:asciiTheme="minorHAnsi" w:hAnsiTheme="minorHAnsi"/>
                <w:color w:val="000000"/>
                <w:sz w:val="22"/>
                <w:szCs w:val="22"/>
              </w:rPr>
              <w:t xml:space="preserve"> </w:t>
            </w:r>
            <w:r w:rsidR="00713EE2">
              <w:rPr>
                <w:rFonts w:asciiTheme="minorHAnsi" w:hAnsiTheme="minorHAnsi"/>
                <w:color w:val="000000"/>
                <w:sz w:val="22"/>
                <w:szCs w:val="22"/>
              </w:rPr>
              <w:t>Besluit</w:t>
            </w:r>
          </w:p>
        </w:tc>
        <w:tc>
          <w:tcPr>
            <w:tcW w:w="4754" w:type="dxa"/>
            <w:shd w:val="clear" w:color="auto" w:fill="auto"/>
          </w:tcPr>
          <w:p w:rsidR="002C7350" w:rsidP="008C5955" w:rsidRDefault="00713EE2" w14:paraId="640DC42E" w14:textId="77777777">
            <w:pPr>
              <w:rPr>
                <w:rFonts w:ascii="Calibri" w:hAnsi="Calibri" w:eastAsiaTheme="minorHAnsi"/>
                <w:color w:val="000000"/>
                <w:sz w:val="22"/>
                <w:szCs w:val="22"/>
              </w:rPr>
            </w:pPr>
            <w:r w:rsidRPr="00713EE2">
              <w:rPr>
                <w:rFonts w:ascii="Calibri" w:hAnsi="Calibri" w:eastAsiaTheme="minorHAnsi"/>
                <w:color w:val="000000"/>
                <w:sz w:val="22"/>
                <w:szCs w:val="22"/>
              </w:rPr>
              <w:t>Voorstel voor een BESLUIT VAN HET EUROPEES PARLEMENT EN DE RAAD betreffende de beschikbaarstelling van middelen uit het Europees Fonds voor aanpassing aan de globalisering (aanvraag van Nederland – EGF/2018/001 NL/Financiële dienstverlening)</w:t>
            </w:r>
          </w:p>
        </w:tc>
        <w:tc>
          <w:tcPr>
            <w:tcW w:w="634" w:type="dxa"/>
            <w:shd w:val="clear" w:color="auto" w:fill="auto"/>
            <w:noWrap/>
          </w:tcPr>
          <w:p w:rsidRPr="00713EE2" w:rsidR="00713EE2" w:rsidP="00713EE2" w:rsidRDefault="00022BE9" w14:paraId="7F2BF4F2" w14:textId="77777777">
            <w:pPr>
              <w:jc w:val="center"/>
              <w:rPr>
                <w:sz w:val="20"/>
                <w:szCs w:val="20"/>
              </w:rPr>
            </w:pPr>
            <w:r>
              <w:fldChar w:fldCharType="begin"/>
            </w:r>
            <w:r>
              <w:instrText xml:space="preserve"> HYPERLINK "http://www.ipex.eu/IPEXL-WEB/dossier/document/COM20180297.do" </w:instrText>
            </w:r>
            <w:r>
              <w:fldChar w:fldCharType="separate"/>
            </w:r>
            <w:r w:rsidR="00713EE2">
              <w:rPr>
                <w:rStyle w:val="Hyperlink"/>
                <w:rFonts w:asciiTheme="minorHAnsi" w:hAnsiTheme="minorHAnsi"/>
                <w:sz w:val="22"/>
                <w:szCs w:val="22"/>
              </w:rPr>
              <w:fldChar w:fldCharType="begin"/>
            </w:r>
            <w:r w:rsidR="00713EE2">
              <w:rPr>
                <w:rStyle w:val="Hyperlink"/>
                <w:rFonts w:asciiTheme="minorHAnsi" w:hAnsiTheme="minorHAnsi"/>
                <w:sz w:val="22"/>
                <w:szCs w:val="22"/>
              </w:rPr>
              <w:instrText xml:space="preserve"> LINK </w:instrText>
            </w:r>
            <w:r w:rsidR="00A25A94">
              <w:rPr>
                <w:rStyle w:val="Hyperlink"/>
                <w:rFonts w:asciiTheme="minorHAnsi" w:hAnsiTheme="minorHAnsi"/>
                <w:sz w:val="22"/>
                <w:szCs w:val="22"/>
              </w:rPr>
              <w:instrText xml:space="preserve">Excel.Sheet.12 "\\\\nuthvs02\\SCAN$\\DIV-Domeinen\\IenR\\EU\\Lijst met EU-voorstellen vanaf week 31 2015.xlsx" "Besluit Verslag!R1581K5" </w:instrText>
            </w:r>
            <w:r w:rsidR="00713EE2">
              <w:rPr>
                <w:rStyle w:val="Hyperlink"/>
                <w:rFonts w:asciiTheme="minorHAnsi" w:hAnsiTheme="minorHAnsi"/>
                <w:sz w:val="22"/>
                <w:szCs w:val="22"/>
              </w:rPr>
              <w:instrText xml:space="preserve">\a \f 4 \h </w:instrText>
            </w:r>
            <w:r w:rsidR="00713EE2">
              <w:rPr>
                <w:rStyle w:val="Hyperlink"/>
                <w:rFonts w:asciiTheme="minorHAnsi" w:hAnsiTheme="minorHAnsi"/>
                <w:sz w:val="22"/>
                <w:szCs w:val="22"/>
              </w:rPr>
              <w:fldChar w:fldCharType="separate"/>
            </w:r>
            <w:hyperlink w:history="1" r:id="rId11">
              <w:r w:rsidRPr="00713EE2" w:rsidR="00713EE2">
                <w:rPr>
                  <w:rFonts w:ascii="Calibri" w:hAnsi="Calibri"/>
                  <w:color w:val="0000FF"/>
                  <w:sz w:val="22"/>
                  <w:szCs w:val="22"/>
                  <w:u w:val="single"/>
                </w:rPr>
                <w:t>COM (2018) 548</w:t>
              </w:r>
            </w:hyperlink>
          </w:p>
          <w:p w:rsidRPr="00D668D4" w:rsidR="002C7350" w:rsidP="00713EE2" w:rsidRDefault="00713EE2" w14:paraId="5460D8C1" w14:textId="77777777">
            <w:pPr>
              <w:jc w:val="center"/>
              <w:rPr>
                <w:rFonts w:asciiTheme="minorHAnsi" w:hAnsiTheme="minorHAnsi"/>
                <w:color w:val="0000FF"/>
                <w:sz w:val="22"/>
                <w:szCs w:val="22"/>
                <w:u w:val="single"/>
              </w:rPr>
            </w:pPr>
            <w:r>
              <w:rPr>
                <w:rStyle w:val="Hyperlink"/>
                <w:rFonts w:asciiTheme="minorHAnsi" w:hAnsiTheme="minorHAnsi"/>
                <w:sz w:val="22"/>
                <w:szCs w:val="22"/>
              </w:rPr>
              <w:fldChar w:fldCharType="end"/>
            </w:r>
            <w:r w:rsidR="00022BE9">
              <w:rPr>
                <w:rStyle w:val="Hyperlink"/>
                <w:rFonts w:asciiTheme="minorHAnsi" w:hAnsiTheme="minorHAnsi"/>
                <w:sz w:val="22"/>
                <w:szCs w:val="22"/>
              </w:rPr>
              <w:fldChar w:fldCharType="end"/>
            </w:r>
          </w:p>
        </w:tc>
        <w:tc>
          <w:tcPr>
            <w:tcW w:w="1246" w:type="dxa"/>
            <w:shd w:val="clear" w:color="auto" w:fill="auto"/>
          </w:tcPr>
          <w:p w:rsidRPr="00D668D4" w:rsidR="002C7350" w:rsidP="008C5955" w:rsidRDefault="002C7350" w14:paraId="2268533C" w14:textId="77777777">
            <w:pPr>
              <w:jc w:val="center"/>
              <w:rPr>
                <w:rFonts w:asciiTheme="minorHAnsi" w:hAnsiTheme="minorHAnsi"/>
                <w:color w:val="000000"/>
                <w:sz w:val="22"/>
                <w:szCs w:val="22"/>
                <w:lang w:val="en-GB"/>
              </w:rPr>
            </w:pPr>
            <w:r w:rsidRPr="00D668D4">
              <w:rPr>
                <w:rFonts w:asciiTheme="minorHAnsi" w:hAnsiTheme="minorHAnsi"/>
                <w:color w:val="000000"/>
                <w:sz w:val="22"/>
                <w:szCs w:val="22"/>
                <w:lang w:val="en-GB"/>
              </w:rPr>
              <w:t>Nvt</w:t>
            </w:r>
          </w:p>
        </w:tc>
        <w:tc>
          <w:tcPr>
            <w:tcW w:w="4463" w:type="dxa"/>
            <w:shd w:val="clear" w:color="auto" w:fill="auto"/>
          </w:tcPr>
          <w:p w:rsidR="0011174C" w:rsidP="008C5955" w:rsidRDefault="002C7350" w14:paraId="174DE696" w14:textId="77777777">
            <w:pPr>
              <w:rPr>
                <w:rFonts w:asciiTheme="minorHAnsi" w:hAnsiTheme="minorHAnsi"/>
                <w:color w:val="000000"/>
                <w:sz w:val="22"/>
                <w:szCs w:val="22"/>
              </w:rPr>
            </w:pPr>
            <w:r>
              <w:rPr>
                <w:rFonts w:asciiTheme="minorHAnsi" w:hAnsiTheme="minorHAnsi"/>
                <w:color w:val="000000"/>
                <w:sz w:val="22"/>
                <w:szCs w:val="22"/>
              </w:rPr>
              <w:t xml:space="preserve"> </w:t>
            </w:r>
            <w:r w:rsidRPr="000E3699">
              <w:rPr>
                <w:rFonts w:asciiTheme="minorHAnsi" w:hAnsiTheme="minorHAnsi"/>
                <w:color w:val="000000"/>
                <w:sz w:val="22"/>
                <w:szCs w:val="22"/>
                <w:u w:val="single"/>
              </w:rPr>
              <w:t>Behandelvoorstel</w:t>
            </w:r>
            <w:r w:rsidRPr="00FD5B5A">
              <w:rPr>
                <w:rFonts w:asciiTheme="minorHAnsi" w:hAnsiTheme="minorHAnsi"/>
                <w:color w:val="000000"/>
                <w:sz w:val="22"/>
                <w:szCs w:val="22"/>
              </w:rPr>
              <w:t xml:space="preserve">: </w:t>
            </w:r>
            <w:r w:rsidR="0011174C">
              <w:rPr>
                <w:rFonts w:asciiTheme="minorHAnsi" w:hAnsiTheme="minorHAnsi"/>
                <w:color w:val="000000"/>
                <w:sz w:val="22"/>
                <w:szCs w:val="22"/>
              </w:rPr>
              <w:t xml:space="preserve">Voor kennisgeving aannemen. </w:t>
            </w:r>
          </w:p>
          <w:p w:rsidR="00713EE2" w:rsidP="008C5955" w:rsidRDefault="00713EE2" w14:paraId="2293CE67" w14:textId="77777777">
            <w:pPr>
              <w:rPr>
                <w:rFonts w:asciiTheme="minorHAnsi" w:hAnsiTheme="minorHAnsi"/>
                <w:color w:val="000000"/>
                <w:sz w:val="22"/>
                <w:szCs w:val="22"/>
              </w:rPr>
            </w:pPr>
          </w:p>
          <w:p w:rsidR="005D65A7" w:rsidP="008C5955" w:rsidRDefault="00713EE2" w14:paraId="1B620AF4" w14:textId="23EFFF29">
            <w:pPr>
              <w:rPr>
                <w:rFonts w:asciiTheme="minorHAnsi" w:hAnsiTheme="minorHAnsi"/>
                <w:color w:val="000000"/>
                <w:sz w:val="22"/>
                <w:szCs w:val="22"/>
              </w:rPr>
            </w:pPr>
            <w:r>
              <w:rPr>
                <w:rFonts w:asciiTheme="minorHAnsi" w:hAnsiTheme="minorHAnsi"/>
                <w:color w:val="000000"/>
                <w:sz w:val="22"/>
                <w:szCs w:val="22"/>
              </w:rPr>
              <w:t xml:space="preserve">Het besluit betreft een aanvraag van Nederland </w:t>
            </w:r>
            <w:r w:rsidR="00E347E5">
              <w:rPr>
                <w:rFonts w:asciiTheme="minorHAnsi" w:hAnsiTheme="minorHAnsi"/>
                <w:color w:val="000000"/>
                <w:sz w:val="22"/>
                <w:szCs w:val="22"/>
              </w:rPr>
              <w:t>voor het EU-</w:t>
            </w:r>
            <w:r>
              <w:rPr>
                <w:rFonts w:asciiTheme="minorHAnsi" w:hAnsiTheme="minorHAnsi"/>
                <w:color w:val="000000"/>
                <w:sz w:val="22"/>
                <w:szCs w:val="22"/>
              </w:rPr>
              <w:t xml:space="preserve">Globaliseringsfonds ten bedrage van </w:t>
            </w:r>
            <w:r w:rsidR="00CB647E">
              <w:rPr>
                <w:rFonts w:asciiTheme="minorHAnsi" w:hAnsiTheme="minorHAnsi"/>
                <w:color w:val="000000"/>
                <w:sz w:val="22"/>
                <w:szCs w:val="22"/>
              </w:rPr>
              <w:t xml:space="preserve">€ </w:t>
            </w:r>
            <w:r>
              <w:rPr>
                <w:rFonts w:asciiTheme="minorHAnsi" w:hAnsiTheme="minorHAnsi"/>
                <w:color w:val="000000"/>
                <w:sz w:val="22"/>
                <w:szCs w:val="22"/>
              </w:rPr>
              <w:t xml:space="preserve">1.2 </w:t>
            </w:r>
            <w:r w:rsidR="00E347E5">
              <w:rPr>
                <w:rFonts w:asciiTheme="minorHAnsi" w:hAnsiTheme="minorHAnsi"/>
                <w:color w:val="000000"/>
                <w:sz w:val="22"/>
                <w:szCs w:val="22"/>
              </w:rPr>
              <w:t>miljoen</w:t>
            </w:r>
            <w:r>
              <w:rPr>
                <w:rFonts w:asciiTheme="minorHAnsi" w:hAnsiTheme="minorHAnsi"/>
                <w:color w:val="000000"/>
                <w:sz w:val="22"/>
                <w:szCs w:val="22"/>
              </w:rPr>
              <w:t xml:space="preserve"> ten behoeve van de herplaatsing van</w:t>
            </w:r>
            <w:r w:rsidR="00CB647E">
              <w:rPr>
                <w:rFonts w:asciiTheme="minorHAnsi" w:hAnsiTheme="minorHAnsi"/>
                <w:color w:val="000000"/>
                <w:sz w:val="22"/>
                <w:szCs w:val="22"/>
              </w:rPr>
              <w:t xml:space="preserve"> in totaal </w:t>
            </w:r>
            <w:r>
              <w:rPr>
                <w:rFonts w:asciiTheme="minorHAnsi" w:hAnsiTheme="minorHAnsi"/>
                <w:color w:val="000000"/>
                <w:sz w:val="22"/>
                <w:szCs w:val="22"/>
              </w:rPr>
              <w:t>1324 medewerkers van meerdere Nederlandse banken (m</w:t>
            </w:r>
            <w:r w:rsidR="00E347E5">
              <w:rPr>
                <w:rFonts w:asciiTheme="minorHAnsi" w:hAnsiTheme="minorHAnsi"/>
                <w:color w:val="000000"/>
                <w:sz w:val="22"/>
                <w:szCs w:val="22"/>
              </w:rPr>
              <w:t>et name</w:t>
            </w:r>
            <w:r>
              <w:rPr>
                <w:rFonts w:asciiTheme="minorHAnsi" w:hAnsiTheme="minorHAnsi"/>
                <w:color w:val="000000"/>
                <w:sz w:val="22"/>
                <w:szCs w:val="22"/>
              </w:rPr>
              <w:t xml:space="preserve"> Rabobank, ING en ABN-AMRO) die in 2017 in de regio’s </w:t>
            </w:r>
            <w:r w:rsidRPr="00713EE2">
              <w:rPr>
                <w:rFonts w:asciiTheme="minorHAnsi" w:hAnsiTheme="minorHAnsi"/>
                <w:color w:val="000000"/>
                <w:sz w:val="22"/>
                <w:szCs w:val="22"/>
              </w:rPr>
              <w:t>Friesland,  Drenthe</w:t>
            </w:r>
            <w:r>
              <w:rPr>
                <w:rFonts w:asciiTheme="minorHAnsi" w:hAnsiTheme="minorHAnsi"/>
                <w:color w:val="000000"/>
                <w:sz w:val="22"/>
                <w:szCs w:val="22"/>
              </w:rPr>
              <w:t xml:space="preserve"> en</w:t>
            </w:r>
            <w:r w:rsidRPr="00713EE2">
              <w:rPr>
                <w:rFonts w:asciiTheme="minorHAnsi" w:hAnsiTheme="minorHAnsi"/>
                <w:color w:val="000000"/>
                <w:sz w:val="22"/>
                <w:szCs w:val="22"/>
              </w:rPr>
              <w:t xml:space="preserve"> Overijssel</w:t>
            </w:r>
            <w:r>
              <w:rPr>
                <w:rFonts w:asciiTheme="minorHAnsi" w:hAnsiTheme="minorHAnsi"/>
                <w:color w:val="000000"/>
                <w:sz w:val="22"/>
                <w:szCs w:val="22"/>
              </w:rPr>
              <w:t xml:space="preserve"> hun baan verloren.</w:t>
            </w:r>
          </w:p>
          <w:p w:rsidRPr="000E3699" w:rsidR="002C7350" w:rsidP="00713EE2" w:rsidRDefault="002C7350" w14:paraId="1B4AFBB3" w14:textId="77777777">
            <w:pPr>
              <w:rPr>
                <w:rFonts w:asciiTheme="minorHAnsi" w:hAnsiTheme="minorHAnsi"/>
                <w:color w:val="000000"/>
                <w:sz w:val="22"/>
                <w:szCs w:val="22"/>
                <w:u w:val="single"/>
              </w:rPr>
            </w:pPr>
          </w:p>
        </w:tc>
      </w:tr>
    </w:tbl>
    <w:p w:rsidR="0005606A" w:rsidP="002C7350" w:rsidRDefault="0005606A" w14:paraId="652080F0" w14:textId="77777777">
      <w:pPr>
        <w:widowControl w:val="0"/>
        <w:rPr>
          <w:rFonts w:asciiTheme="minorHAnsi" w:hAnsiTheme="minorHAnsi"/>
          <w:b/>
          <w:sz w:val="20"/>
          <w:szCs w:val="20"/>
        </w:rPr>
      </w:pPr>
    </w:p>
    <w:p w:rsidRPr="00B30383" w:rsidR="002C7350" w:rsidP="002C7350" w:rsidRDefault="002C7350" w14:paraId="2AFF6496" w14:textId="77777777">
      <w:pPr>
        <w:widowControl w:val="0"/>
        <w:rPr>
          <w:rFonts w:asciiTheme="minorHAnsi" w:hAnsiTheme="minorHAnsi"/>
          <w:b/>
          <w:sz w:val="20"/>
          <w:szCs w:val="20"/>
        </w:rPr>
      </w:pPr>
      <w:r>
        <w:rPr>
          <w:rFonts w:asciiTheme="minorHAnsi" w:hAnsiTheme="minorHAnsi"/>
          <w:b/>
          <w:sz w:val="20"/>
          <w:szCs w:val="20"/>
        </w:rPr>
        <w:t>T</w:t>
      </w:r>
      <w:r w:rsidRPr="00B30383">
        <w:rPr>
          <w:rFonts w:asciiTheme="minorHAnsi" w:hAnsiTheme="minorHAnsi"/>
          <w:b/>
          <w:sz w:val="20"/>
          <w:szCs w:val="20"/>
        </w:rPr>
        <w:t xml:space="preserve">oelichting </w:t>
      </w:r>
    </w:p>
    <w:p w:rsidRPr="00B30383" w:rsidR="002C7350" w:rsidP="002C7350" w:rsidRDefault="002C7350" w14:paraId="22C28976" w14:textId="77777777">
      <w:pPr>
        <w:pStyle w:val="Voetnoottekst"/>
        <w:widowControl w:val="0"/>
        <w:numPr>
          <w:ilvl w:val="0"/>
          <w:numId w:val="3"/>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Rood</w:t>
      </w:r>
      <w:r w:rsidRPr="00B30383">
        <w:rPr>
          <w:rFonts w:asciiTheme="minorHAnsi" w:hAnsiTheme="minorHAnsi"/>
          <w:color w:val="000000"/>
          <w:sz w:val="18"/>
          <w:szCs w:val="18"/>
        </w:rPr>
        <w:t xml:space="preserve"> gemarkeerd</w:t>
      </w:r>
      <w:r w:rsidRPr="00B30383">
        <w:rPr>
          <w:rFonts w:asciiTheme="minorHAnsi" w:hAnsiTheme="minorHAnsi"/>
          <w:sz w:val="18"/>
          <w:szCs w:val="18"/>
        </w:rPr>
        <w:t xml:space="preserve"> is, dan betekent dat het desbetreffende EU-voorstel behoort tot een door de commissie als prioritair bestempeld dossier en om die reden een apart behandeltraject doorloopt. De bijzonderheden worden in dat geval in het veld “Opmerking” vermeld.</w:t>
      </w:r>
      <w:r w:rsidRPr="00B30383">
        <w:rPr>
          <w:sz w:val="18"/>
          <w:szCs w:val="18"/>
        </w:rPr>
        <w:t xml:space="preserve"> </w:t>
      </w:r>
    </w:p>
    <w:p w:rsidRPr="00CB647E" w:rsidR="002C7350" w:rsidP="002C7350" w:rsidRDefault="002C7350" w14:paraId="1C204BD6" w14:textId="77777777">
      <w:pPr>
        <w:pStyle w:val="Voetnoottekst"/>
        <w:widowControl w:val="0"/>
        <w:numPr>
          <w:ilvl w:val="0"/>
          <w:numId w:val="3"/>
        </w:numPr>
        <w:rPr>
          <w:rFonts w:asciiTheme="minorHAnsi" w:hAnsiTheme="minorHAnsi"/>
        </w:rPr>
      </w:pPr>
      <w:r w:rsidRPr="004F2D29">
        <w:rPr>
          <w:rFonts w:asciiTheme="minorHAnsi" w:hAnsiTheme="minorHAnsi"/>
          <w:sz w:val="18"/>
          <w:szCs w:val="18"/>
        </w:rPr>
        <w:t>Groen- en witboeken en prioritaire worden voorstellen ook afzonderlijk worden geagendeerd. Hiervoor volstaat een verwijzing naar het aparte agendapunt en de mogelijk hierbij behorende EU-stafnotitie</w:t>
      </w:r>
      <w:r w:rsidRPr="004F2D29">
        <w:rPr>
          <w:rFonts w:asciiTheme="minorHAnsi" w:hAnsiTheme="minorHAnsi"/>
          <w:szCs w:val="22"/>
        </w:rPr>
        <w:t>.</w:t>
      </w:r>
    </w:p>
    <w:p w:rsidR="00CB647E" w:rsidP="00CB647E" w:rsidRDefault="00CB647E" w14:paraId="1E0A0DA9" w14:textId="77777777">
      <w:pPr>
        <w:pStyle w:val="Voetnoottekst"/>
        <w:widowControl w:val="0"/>
        <w:rPr>
          <w:rFonts w:asciiTheme="minorHAnsi" w:hAnsiTheme="minorHAnsi"/>
          <w:szCs w:val="22"/>
        </w:rPr>
      </w:pPr>
    </w:p>
    <w:p w:rsidRPr="00FB71BA" w:rsidR="002C7350" w:rsidP="002C7350" w:rsidRDefault="00E347E5" w14:paraId="553F5311" w14:textId="7BDDCBE8">
      <w:pPr>
        <w:pStyle w:val="Voetnoottekst"/>
        <w:rPr>
          <w:rFonts w:asciiTheme="minorHAnsi" w:hAnsiTheme="minorHAnsi"/>
          <w:b/>
          <w:sz w:val="22"/>
          <w:szCs w:val="22"/>
        </w:rPr>
      </w:pPr>
      <w:r>
        <w:rPr>
          <w:rFonts w:asciiTheme="minorHAnsi" w:hAnsiTheme="minorHAnsi"/>
          <w:b/>
          <w:sz w:val="22"/>
          <w:szCs w:val="22"/>
        </w:rPr>
        <w:lastRenderedPageBreak/>
        <w:t>B</w:t>
      </w:r>
      <w:r w:rsidRPr="00FB71BA" w:rsidR="002C7350">
        <w:rPr>
          <w:rFonts w:asciiTheme="minorHAnsi" w:hAnsiTheme="minorHAnsi"/>
          <w:b/>
          <w:sz w:val="22"/>
          <w:szCs w:val="22"/>
        </w:rPr>
        <w:t>ehandelmogelijkheden EU-voorstellen</w:t>
      </w:r>
    </w:p>
    <w:p w:rsidRPr="00FB71BA" w:rsidR="002C7350" w:rsidP="002C7350" w:rsidRDefault="002C7350" w14:paraId="79628A3E" w14:textId="77777777">
      <w:pPr>
        <w:pStyle w:val="Voetnoottekst"/>
        <w:rPr>
          <w:rFonts w:asciiTheme="minorHAnsi" w:hAnsiTheme="minorHAnsi"/>
          <w:sz w:val="22"/>
          <w:szCs w:val="22"/>
        </w:rPr>
      </w:pPr>
    </w:p>
    <w:p w:rsidRPr="00FB71BA" w:rsidR="002C7350" w:rsidP="002C7350" w:rsidRDefault="002C7350" w14:paraId="545E5FE9" w14:textId="77777777">
      <w:pPr>
        <w:rPr>
          <w:rFonts w:asciiTheme="minorHAnsi" w:hAnsiTheme="minorHAnsi"/>
          <w:sz w:val="22"/>
          <w:szCs w:val="22"/>
        </w:rPr>
      </w:pPr>
      <w:r w:rsidRPr="00FB71BA">
        <w:rPr>
          <w:rFonts w:asciiTheme="minorHAnsi" w:hAnsiTheme="minorHAnsi"/>
          <w:sz w:val="22"/>
          <w:szCs w:val="22"/>
        </w:rPr>
        <w:t>Hieronder treft u een overzicht aan van vaak voorkomende EU-instrumenten en een (niet uitputtend) overzicht van momenten waarop u als commissie of als fractie invloed kunt uitoefenen op de vorming van EU beleid: hetzij via het kabinet; he</w:t>
      </w:r>
      <w:bookmarkStart w:name="_GoBack" w:id="0"/>
      <w:bookmarkEnd w:id="0"/>
      <w:r w:rsidRPr="00FB71BA">
        <w:rPr>
          <w:rFonts w:asciiTheme="minorHAnsi" w:hAnsiTheme="minorHAnsi"/>
          <w:sz w:val="22"/>
          <w:szCs w:val="22"/>
        </w:rPr>
        <w:t xml:space="preserve">tzij zelf in Brussel. </w:t>
      </w:r>
    </w:p>
    <w:p w:rsidRPr="00FB71BA" w:rsidR="002C7350" w:rsidP="002C7350" w:rsidRDefault="002C7350" w14:paraId="4392635B" w14:textId="77777777">
      <w:pPr>
        <w:rPr>
          <w:rFonts w:asciiTheme="minorHAnsi" w:hAnsiTheme="minorHAnsi"/>
          <w:sz w:val="22"/>
          <w:szCs w:val="22"/>
        </w:rPr>
      </w:pPr>
      <w:r w:rsidRPr="00FB71BA">
        <w:rPr>
          <w:rFonts w:asciiTheme="minorHAnsi" w:hAnsiTheme="minorHAnsi"/>
          <w:sz w:val="22"/>
          <w:szCs w:val="22"/>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FB71BA" w:rsidR="002C7350" w:rsidP="002C7350" w:rsidRDefault="002C7350" w14:paraId="61FA819C" w14:textId="77777777">
      <w:pPr>
        <w:pStyle w:val="Voetnoottekst"/>
        <w:rPr>
          <w:rFonts w:asciiTheme="minorHAnsi" w:hAnsiTheme="minorHAnsi"/>
          <w:sz w:val="22"/>
          <w:szCs w:val="22"/>
        </w:rPr>
      </w:pPr>
    </w:p>
    <w:tbl>
      <w:tblPr>
        <w:tblStyle w:val="Tabelraster"/>
        <w:tblW w:w="14142" w:type="dxa"/>
        <w:tblLayout w:type="fixed"/>
        <w:tblLook w:val="04A0" w:firstRow="1" w:lastRow="0" w:firstColumn="1" w:lastColumn="0" w:noHBand="0" w:noVBand="1"/>
      </w:tblPr>
      <w:tblGrid>
        <w:gridCol w:w="2093"/>
        <w:gridCol w:w="6946"/>
        <w:gridCol w:w="5103"/>
      </w:tblGrid>
      <w:tr w:rsidRPr="00FB71BA" w:rsidR="002C7350" w:rsidTr="008C5955" w14:paraId="1F286C13" w14:textId="77777777">
        <w:tc>
          <w:tcPr>
            <w:tcW w:w="2093" w:type="dxa"/>
          </w:tcPr>
          <w:p w:rsidRPr="00FB71BA" w:rsidR="002C7350" w:rsidP="008C5955" w:rsidRDefault="002C7350" w14:paraId="624B188F" w14:textId="77777777">
            <w:pPr>
              <w:pStyle w:val="Voetnoottekst"/>
              <w:rPr>
                <w:rFonts w:asciiTheme="minorHAnsi" w:hAnsiTheme="minorHAnsi"/>
                <w:b/>
                <w:sz w:val="22"/>
                <w:szCs w:val="22"/>
              </w:rPr>
            </w:pPr>
            <w:r w:rsidRPr="00FB71BA">
              <w:rPr>
                <w:rFonts w:asciiTheme="minorHAnsi" w:hAnsiTheme="minorHAnsi"/>
                <w:b/>
                <w:sz w:val="22"/>
                <w:szCs w:val="22"/>
              </w:rPr>
              <w:t>Soort Instrument</w:t>
            </w:r>
          </w:p>
        </w:tc>
        <w:tc>
          <w:tcPr>
            <w:tcW w:w="6946" w:type="dxa"/>
          </w:tcPr>
          <w:p w:rsidRPr="00FB71BA" w:rsidR="002C7350" w:rsidP="008C5955" w:rsidRDefault="002C7350" w14:paraId="75FA0C73" w14:textId="77777777">
            <w:pPr>
              <w:pStyle w:val="Voetnoottekst"/>
              <w:rPr>
                <w:rFonts w:asciiTheme="minorHAnsi" w:hAnsiTheme="minorHAnsi"/>
                <w:b/>
                <w:sz w:val="22"/>
                <w:szCs w:val="22"/>
              </w:rPr>
            </w:pPr>
            <w:r w:rsidRPr="00FB71BA">
              <w:rPr>
                <w:rFonts w:asciiTheme="minorHAnsi" w:hAnsiTheme="minorHAnsi"/>
                <w:b/>
                <w:sz w:val="22"/>
                <w:szCs w:val="22"/>
              </w:rPr>
              <w:t>Toelichting</w:t>
            </w:r>
          </w:p>
        </w:tc>
        <w:tc>
          <w:tcPr>
            <w:tcW w:w="5103" w:type="dxa"/>
          </w:tcPr>
          <w:p w:rsidRPr="00FB71BA" w:rsidR="002C7350" w:rsidP="008C5955" w:rsidRDefault="002C7350" w14:paraId="14BC8434" w14:textId="77777777">
            <w:pPr>
              <w:pStyle w:val="Voetnoottekst"/>
              <w:rPr>
                <w:rFonts w:asciiTheme="minorHAnsi" w:hAnsiTheme="minorHAnsi"/>
                <w:b/>
                <w:sz w:val="22"/>
                <w:szCs w:val="22"/>
              </w:rPr>
            </w:pPr>
            <w:r w:rsidRPr="00FB71BA">
              <w:rPr>
                <w:rFonts w:asciiTheme="minorHAnsi" w:hAnsiTheme="minorHAnsi"/>
                <w:b/>
                <w:sz w:val="22"/>
                <w:szCs w:val="22"/>
              </w:rPr>
              <w:t xml:space="preserve">Mogelijke beïnvloedingsmomenten </w:t>
            </w:r>
          </w:p>
        </w:tc>
      </w:tr>
      <w:tr w:rsidRPr="00FB71BA" w:rsidR="002C7350" w:rsidTr="008C5955" w14:paraId="21C0967B" w14:textId="77777777">
        <w:tc>
          <w:tcPr>
            <w:tcW w:w="14142" w:type="dxa"/>
            <w:gridSpan w:val="3"/>
          </w:tcPr>
          <w:p w:rsidRPr="00FB71BA" w:rsidR="002C7350" w:rsidP="008C5955" w:rsidRDefault="002C7350" w14:paraId="6CC6DCAE" w14:textId="77777777">
            <w:pPr>
              <w:pStyle w:val="Voetnoottekst"/>
              <w:rPr>
                <w:rFonts w:asciiTheme="minorHAnsi" w:hAnsiTheme="minorHAnsi"/>
                <w:i/>
                <w:sz w:val="22"/>
                <w:szCs w:val="22"/>
              </w:rPr>
            </w:pPr>
          </w:p>
          <w:p w:rsidRPr="00FB71BA" w:rsidR="002C7350" w:rsidP="008C5955" w:rsidRDefault="002C7350" w14:paraId="240CFFDD" w14:textId="77777777">
            <w:pPr>
              <w:pStyle w:val="Voetnoottekst"/>
              <w:rPr>
                <w:rFonts w:asciiTheme="minorHAnsi" w:hAnsiTheme="minorHAnsi"/>
                <w:i/>
                <w:sz w:val="22"/>
                <w:szCs w:val="22"/>
              </w:rPr>
            </w:pPr>
            <w:r w:rsidRPr="00FB71BA">
              <w:rPr>
                <w:rFonts w:asciiTheme="minorHAnsi" w:hAnsiTheme="minorHAnsi"/>
                <w:i/>
                <w:sz w:val="22"/>
                <w:szCs w:val="22"/>
              </w:rPr>
              <w:t>Wetgevende, bindende rechtshandelingen</w:t>
            </w:r>
          </w:p>
        </w:tc>
      </w:tr>
      <w:tr w:rsidRPr="00FB71BA" w:rsidR="002C7350" w:rsidTr="008C5955" w14:paraId="4F826981" w14:textId="77777777">
        <w:tc>
          <w:tcPr>
            <w:tcW w:w="2093" w:type="dxa"/>
          </w:tcPr>
          <w:p w:rsidRPr="00FB71BA" w:rsidR="002C7350" w:rsidP="008C5955" w:rsidRDefault="002C7350" w14:paraId="7459B450" w14:textId="77777777">
            <w:pPr>
              <w:pStyle w:val="Voetnoottekst"/>
              <w:rPr>
                <w:rFonts w:asciiTheme="minorHAnsi" w:hAnsiTheme="minorHAnsi"/>
                <w:sz w:val="22"/>
                <w:szCs w:val="22"/>
              </w:rPr>
            </w:pPr>
            <w:r w:rsidRPr="00FB71BA">
              <w:rPr>
                <w:rFonts w:asciiTheme="minorHAnsi" w:hAnsiTheme="minorHAnsi"/>
                <w:sz w:val="22"/>
                <w:szCs w:val="22"/>
              </w:rPr>
              <w:t>Verordening</w:t>
            </w:r>
          </w:p>
        </w:tc>
        <w:tc>
          <w:tcPr>
            <w:tcW w:w="6946" w:type="dxa"/>
          </w:tcPr>
          <w:p w:rsidRPr="00FB71BA" w:rsidR="002C7350" w:rsidP="008C5955" w:rsidRDefault="002C7350" w14:paraId="306753C7" w14:textId="77777777">
            <w:pPr>
              <w:pStyle w:val="Voetnoottekst"/>
              <w:rPr>
                <w:rFonts w:asciiTheme="minorHAnsi" w:hAnsiTheme="minorHAnsi"/>
                <w:sz w:val="22"/>
                <w:szCs w:val="22"/>
              </w:rPr>
            </w:pPr>
            <w:r w:rsidRPr="00FB71BA">
              <w:rPr>
                <w:rFonts w:asciiTheme="minorHAnsi" w:hAnsiTheme="minorHAnsi"/>
                <w:sz w:val="22"/>
                <w:szCs w:val="22"/>
              </w:rPr>
              <w:t xml:space="preserve">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 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FB71BA" w:rsidR="002C7350" w:rsidP="008C5955" w:rsidRDefault="002C7350" w14:paraId="0705D6BB"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Europese Commissie (de ‘auteurs’) uitnodigen voor briefing/gesprek, evt. via videoconferentie.</w:t>
            </w:r>
          </w:p>
          <w:p w:rsidRPr="00FB71BA" w:rsidR="002C7350" w:rsidP="008C5955" w:rsidRDefault="002C7350" w14:paraId="060B8AD2"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subsidiariteitstoets overwegen: let op termijn (zie hieronder).</w:t>
            </w:r>
          </w:p>
          <w:p w:rsidRPr="00FB71BA" w:rsidR="002C7350" w:rsidP="008C5955" w:rsidRDefault="002C7350" w14:paraId="03D94753"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behandelvoorbehoud overwegen: let op termijn (zie hieronder).</w:t>
            </w:r>
          </w:p>
          <w:p w:rsidRPr="00FB71BA" w:rsidR="002C7350" w:rsidP="008C5955" w:rsidRDefault="002C7350" w14:paraId="4191F4FF"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ad-hoc rapporteur(s) binnen de commissie(s) benoemen.</w:t>
            </w:r>
          </w:p>
          <w:p w:rsidRPr="00FB71BA" w:rsidR="002C7350" w:rsidP="008C5955" w:rsidRDefault="002C7350" w14:paraId="1770BD2C"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tijdens overleg met kabinet NL onderhandelingsinzet aan de orde stellen, evt. aan de hand van het “BNC-fiche”.</w:t>
            </w:r>
            <w:r w:rsidRPr="00FB71BA">
              <w:rPr>
                <w:rStyle w:val="Voetnootmarkering"/>
                <w:rFonts w:asciiTheme="minorHAnsi" w:hAnsiTheme="minorHAnsi"/>
                <w:sz w:val="22"/>
                <w:szCs w:val="22"/>
              </w:rPr>
              <w:footnoteReference w:id="1"/>
            </w:r>
            <w:r w:rsidRPr="00FB71BA">
              <w:rPr>
                <w:rFonts w:asciiTheme="minorHAnsi" w:hAnsiTheme="minorHAnsi"/>
                <w:sz w:val="22"/>
                <w:szCs w:val="22"/>
              </w:rPr>
              <w:t xml:space="preserve"> </w:t>
            </w:r>
          </w:p>
          <w:p w:rsidRPr="00FB71BA" w:rsidR="002C7350" w:rsidP="008C5955" w:rsidRDefault="002C7350" w14:paraId="5B15EEFD"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EP-rapporteur uitnodigen, evt. via videoconferentie.</w:t>
            </w:r>
            <w:r w:rsidRPr="00FB71BA">
              <w:rPr>
                <w:rFonts w:asciiTheme="minorHAnsi" w:hAnsiTheme="minorHAnsi"/>
                <w:sz w:val="22"/>
                <w:szCs w:val="22"/>
              </w:rPr>
              <w:br/>
            </w:r>
            <w:r w:rsidRPr="00FB71BA">
              <w:rPr>
                <w:rFonts w:asciiTheme="minorHAnsi" w:hAnsiTheme="minorHAnsi"/>
                <w:sz w:val="22"/>
                <w:szCs w:val="22"/>
              </w:rPr>
              <w:br/>
            </w:r>
          </w:p>
          <w:p w:rsidRPr="00FB71BA" w:rsidR="002C7350" w:rsidP="008C5955" w:rsidRDefault="002C7350" w14:paraId="737E4DFA"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NB: Pas na afronding van het onderhandelingstraject: nationale </w:t>
            </w:r>
            <w:r w:rsidRPr="00FB71BA">
              <w:rPr>
                <w:rFonts w:asciiTheme="minorHAnsi" w:hAnsiTheme="minorHAnsi"/>
                <w:sz w:val="22"/>
                <w:szCs w:val="22"/>
              </w:rPr>
              <w:lastRenderedPageBreak/>
              <w:t>wetgevingstraject monitoren (i.h.k.v. omzetting naar nationale wetgeving).</w:t>
            </w:r>
          </w:p>
        </w:tc>
      </w:tr>
      <w:tr w:rsidRPr="00FB71BA" w:rsidR="002C7350" w:rsidTr="008C5955" w14:paraId="57FAFC7E" w14:textId="77777777">
        <w:tc>
          <w:tcPr>
            <w:tcW w:w="2093" w:type="dxa"/>
          </w:tcPr>
          <w:p w:rsidRPr="00FB71BA" w:rsidR="002C7350" w:rsidP="008C5955" w:rsidRDefault="002C7350" w14:paraId="5916531A" w14:textId="77777777">
            <w:pPr>
              <w:pStyle w:val="Voetnoottekst"/>
              <w:rPr>
                <w:rFonts w:asciiTheme="minorHAnsi" w:hAnsiTheme="minorHAnsi"/>
                <w:sz w:val="22"/>
                <w:szCs w:val="22"/>
              </w:rPr>
            </w:pPr>
            <w:r w:rsidRPr="00FB71BA">
              <w:rPr>
                <w:rFonts w:asciiTheme="minorHAnsi" w:hAnsiTheme="minorHAnsi"/>
                <w:sz w:val="22"/>
                <w:szCs w:val="22"/>
              </w:rPr>
              <w:t xml:space="preserve">Richtlijn </w:t>
            </w:r>
          </w:p>
        </w:tc>
        <w:tc>
          <w:tcPr>
            <w:tcW w:w="6946" w:type="dxa"/>
          </w:tcPr>
          <w:p w:rsidRPr="00FB71BA" w:rsidR="002C7350" w:rsidP="008C5955" w:rsidRDefault="002C7350" w14:paraId="487EF319" w14:textId="77777777">
            <w:pPr>
              <w:pStyle w:val="Voetnoottekst"/>
              <w:rPr>
                <w:rFonts w:asciiTheme="minorHAnsi" w:hAnsiTheme="minorHAnsi"/>
                <w:sz w:val="22"/>
                <w:szCs w:val="22"/>
              </w:rPr>
            </w:pPr>
            <w:r w:rsidRPr="00FB71BA">
              <w:rPr>
                <w:rFonts w:asciiTheme="minorHAnsi" w:hAnsiTheme="minorHAnsi"/>
                <w:sz w:val="22"/>
                <w:szCs w:val="22"/>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FB71BA" w:rsidR="002C7350" w:rsidP="008C5955" w:rsidRDefault="002C7350" w14:paraId="4940DA14" w14:textId="77777777">
            <w:pPr>
              <w:pStyle w:val="Voetnoottekst"/>
              <w:numPr>
                <w:ilvl w:val="0"/>
                <w:numId w:val="2"/>
              </w:numPr>
              <w:ind w:left="317" w:hanging="283"/>
              <w:rPr>
                <w:rFonts w:asciiTheme="minorHAnsi" w:hAnsiTheme="minorHAnsi"/>
                <w:sz w:val="22"/>
                <w:szCs w:val="22"/>
              </w:rPr>
            </w:pPr>
          </w:p>
        </w:tc>
      </w:tr>
      <w:tr w:rsidRPr="00FB71BA" w:rsidR="002C7350" w:rsidTr="008C5955" w14:paraId="621C2FC9" w14:textId="77777777">
        <w:tc>
          <w:tcPr>
            <w:tcW w:w="2093" w:type="dxa"/>
          </w:tcPr>
          <w:p w:rsidRPr="00FB71BA" w:rsidR="002C7350" w:rsidP="008C5955" w:rsidRDefault="002C7350" w14:paraId="52B555B3" w14:textId="77777777">
            <w:pPr>
              <w:pStyle w:val="Voetnoottekst"/>
              <w:rPr>
                <w:rFonts w:asciiTheme="minorHAnsi" w:hAnsiTheme="minorHAnsi"/>
                <w:sz w:val="22"/>
                <w:szCs w:val="22"/>
              </w:rPr>
            </w:pPr>
            <w:r w:rsidRPr="00FB71BA">
              <w:rPr>
                <w:rFonts w:asciiTheme="minorHAnsi" w:hAnsiTheme="minorHAnsi"/>
                <w:sz w:val="22"/>
                <w:szCs w:val="22"/>
              </w:rPr>
              <w:lastRenderedPageBreak/>
              <w:t>(Besluit)</w:t>
            </w:r>
          </w:p>
        </w:tc>
        <w:tc>
          <w:tcPr>
            <w:tcW w:w="6946" w:type="dxa"/>
          </w:tcPr>
          <w:p w:rsidRPr="00FB71BA" w:rsidR="002C7350" w:rsidP="008C5955" w:rsidRDefault="002C7350" w14:paraId="11A58B66" w14:textId="77777777">
            <w:pPr>
              <w:pStyle w:val="Voetnoottekst"/>
              <w:rPr>
                <w:rFonts w:asciiTheme="minorHAnsi" w:hAnsiTheme="minorHAnsi"/>
                <w:sz w:val="22"/>
                <w:szCs w:val="22"/>
              </w:rPr>
            </w:pPr>
            <w:r w:rsidRPr="00FB71BA">
              <w:rPr>
                <w:rFonts w:asciiTheme="minorHAnsi" w:hAnsiTheme="minorHAnsi"/>
                <w:sz w:val="22"/>
                <w:szCs w:val="22"/>
              </w:rPr>
              <w:t xml:space="preserve">Een besluit is verbindend in al haar onderdelen. Indien de adressanten worden vermeld, is zij alleen voor hen verbindend. Met besluiten kunnen algemeen verbindende voorschriften worden toegepast op een concreet geval. Daarnaast kunnen besluiten ook algemeen verbindende voorschriften bevatten. In dat laatste geval is sprake van een wetgevende handeling, in dat eerste geval niet. </w:t>
            </w:r>
            <w:r w:rsidRPr="00FB71BA">
              <w:rPr>
                <w:rFonts w:asciiTheme="minorHAnsi" w:hAnsiTheme="minorHAnsi"/>
                <w:sz w:val="22"/>
                <w:szCs w:val="22"/>
              </w:rPr>
              <w:br/>
              <w:t xml:space="preserve">Voor wetgevende besluiten kan gekozen worden als richtlijnen en verordeningen niet geschikt zijn als instrument. Niet-wetgevende besluiten kunnen gericht zijn tot individuele of alle lidstaten (bv. maatregelen tegen onrechtmatige staatssteun) of individuen (natuurlijke personen en rechtspersonen) (bv in mededingingszaken). Verder is 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 is het een niet-wetgevend besluit. Besluiten op voorstel van de Europese Commissie, genomen door de Raad en het Parlement zullen in de regel wetgevend zijn. Dit zal van geval tot geval moeten worden beoordeeld. </w:t>
            </w:r>
          </w:p>
        </w:tc>
        <w:tc>
          <w:tcPr>
            <w:tcW w:w="5103" w:type="dxa"/>
            <w:vMerge/>
          </w:tcPr>
          <w:p w:rsidRPr="00FB71BA" w:rsidR="002C7350" w:rsidP="008C5955" w:rsidRDefault="002C7350" w14:paraId="16E17397" w14:textId="77777777">
            <w:pPr>
              <w:pStyle w:val="Voetnoottekst"/>
              <w:numPr>
                <w:ilvl w:val="0"/>
                <w:numId w:val="2"/>
              </w:numPr>
              <w:ind w:left="317" w:hanging="283"/>
              <w:rPr>
                <w:rFonts w:asciiTheme="minorHAnsi" w:hAnsiTheme="minorHAnsi"/>
                <w:sz w:val="22"/>
                <w:szCs w:val="22"/>
              </w:rPr>
            </w:pPr>
          </w:p>
        </w:tc>
      </w:tr>
      <w:tr w:rsidRPr="00FB71BA" w:rsidR="002C7350" w:rsidTr="008C5955" w14:paraId="4495AFC3" w14:textId="77777777">
        <w:tc>
          <w:tcPr>
            <w:tcW w:w="14142" w:type="dxa"/>
            <w:gridSpan w:val="3"/>
          </w:tcPr>
          <w:p w:rsidRPr="00FB71BA" w:rsidR="002C7350" w:rsidP="008C5955" w:rsidRDefault="002C7350" w14:paraId="6E621A3E" w14:textId="77777777">
            <w:pPr>
              <w:pStyle w:val="Voetnoottekst"/>
              <w:rPr>
                <w:rFonts w:asciiTheme="minorHAnsi" w:hAnsiTheme="minorHAnsi"/>
                <w:i/>
                <w:sz w:val="22"/>
                <w:szCs w:val="22"/>
              </w:rPr>
            </w:pPr>
            <w:r w:rsidRPr="00FB71BA">
              <w:rPr>
                <w:rFonts w:asciiTheme="minorHAnsi" w:hAnsiTheme="minorHAnsi"/>
                <w:i/>
                <w:sz w:val="22"/>
                <w:szCs w:val="22"/>
              </w:rPr>
              <w:lastRenderedPageBreak/>
              <w:t>Niet-wetgevende bindende rechtshandelingen</w:t>
            </w:r>
          </w:p>
        </w:tc>
      </w:tr>
      <w:tr w:rsidRPr="00FB71BA" w:rsidR="002C7350" w:rsidTr="008C5955" w14:paraId="7326BD1F" w14:textId="77777777">
        <w:tc>
          <w:tcPr>
            <w:tcW w:w="2093" w:type="dxa"/>
          </w:tcPr>
          <w:p w:rsidRPr="00FB71BA" w:rsidR="002C7350" w:rsidP="008C5955" w:rsidRDefault="002C7350" w14:paraId="3D84B3C4" w14:textId="77777777">
            <w:pPr>
              <w:pStyle w:val="Voetnoottekst"/>
              <w:rPr>
                <w:rFonts w:asciiTheme="minorHAnsi" w:hAnsiTheme="minorHAnsi"/>
                <w:sz w:val="22"/>
                <w:szCs w:val="22"/>
              </w:rPr>
            </w:pPr>
            <w:r w:rsidRPr="00FB71BA">
              <w:rPr>
                <w:rFonts w:asciiTheme="minorHAnsi" w:hAnsiTheme="minorHAnsi"/>
                <w:sz w:val="22"/>
                <w:szCs w:val="22"/>
              </w:rPr>
              <w:t>Gedelegeerde handeling</w:t>
            </w:r>
          </w:p>
        </w:tc>
        <w:tc>
          <w:tcPr>
            <w:tcW w:w="6946" w:type="dxa"/>
          </w:tcPr>
          <w:p w:rsidRPr="00FB71BA" w:rsidR="002C7350" w:rsidP="008C5955" w:rsidRDefault="002C7350" w14:paraId="26F13D92" w14:textId="77777777">
            <w:pPr>
              <w:pStyle w:val="Voetnoottekst"/>
              <w:rPr>
                <w:rFonts w:asciiTheme="minorHAnsi" w:hAnsiTheme="minorHAnsi"/>
                <w:sz w:val="22"/>
                <w:szCs w:val="22"/>
              </w:rPr>
            </w:pPr>
            <w:r w:rsidRPr="00FB71BA">
              <w:rPr>
                <w:rFonts w:asciiTheme="minorHAnsi" w:hAnsiTheme="minorHAnsi"/>
                <w:sz w:val="22"/>
                <w:szCs w:val="22"/>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FB71BA" w:rsidR="002C7350" w:rsidP="008C5955" w:rsidRDefault="002C7350" w14:paraId="0FD3DBF0"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kabinet per brief of tijdens overleg bevragen over stand van zaken en appreciatie EU onderhandelingen en NL inzet.</w:t>
            </w:r>
          </w:p>
          <w:p w:rsidRPr="00FB71BA" w:rsidR="002C7350" w:rsidP="008C5955" w:rsidRDefault="002C7350" w14:paraId="4DA94E1E" w14:textId="77777777">
            <w:pPr>
              <w:pStyle w:val="Voetnoottekst"/>
              <w:ind w:left="360"/>
              <w:rPr>
                <w:rFonts w:asciiTheme="minorHAnsi" w:hAnsiTheme="minorHAnsi"/>
                <w:sz w:val="22"/>
                <w:szCs w:val="22"/>
              </w:rPr>
            </w:pPr>
          </w:p>
        </w:tc>
      </w:tr>
      <w:tr w:rsidRPr="00FB71BA" w:rsidR="002C7350" w:rsidTr="008C5955" w14:paraId="753F546B" w14:textId="77777777">
        <w:tc>
          <w:tcPr>
            <w:tcW w:w="2093" w:type="dxa"/>
          </w:tcPr>
          <w:p w:rsidRPr="00FB71BA" w:rsidR="002C7350" w:rsidP="008C5955" w:rsidRDefault="002C7350" w14:paraId="30324181" w14:textId="77777777">
            <w:pPr>
              <w:pStyle w:val="Voetnoottekst"/>
              <w:rPr>
                <w:rFonts w:asciiTheme="minorHAnsi" w:hAnsiTheme="minorHAnsi"/>
                <w:sz w:val="22"/>
                <w:szCs w:val="22"/>
              </w:rPr>
            </w:pPr>
            <w:r w:rsidRPr="00FB71BA">
              <w:rPr>
                <w:rFonts w:asciiTheme="minorHAnsi" w:hAnsiTheme="minorHAnsi"/>
                <w:sz w:val="22"/>
                <w:szCs w:val="22"/>
              </w:rPr>
              <w:t>Uitvoerings-handeling</w:t>
            </w:r>
          </w:p>
        </w:tc>
        <w:tc>
          <w:tcPr>
            <w:tcW w:w="6946" w:type="dxa"/>
          </w:tcPr>
          <w:p w:rsidRPr="00FB71BA" w:rsidR="002C7350" w:rsidP="008C5955" w:rsidRDefault="002C7350" w14:paraId="1307B36E" w14:textId="77777777">
            <w:pPr>
              <w:pStyle w:val="Voetnoottekst"/>
              <w:rPr>
                <w:rFonts w:asciiTheme="minorHAnsi" w:hAnsiTheme="minorHAnsi"/>
                <w:sz w:val="22"/>
                <w:szCs w:val="22"/>
              </w:rPr>
            </w:pPr>
            <w:r w:rsidRPr="00FB71BA">
              <w:rPr>
                <w:rFonts w:asciiTheme="minorHAnsi" w:hAnsiTheme="minorHAnsi"/>
                <w:sz w:val="22"/>
                <w:szCs w:val="22"/>
              </w:rPr>
              <w:t xml:space="preserve">Indien de implementatie van Unierecht volgens uniforme standaarden van procedurele aard moeten plaatsvinden, kan de Europese Commissie de bevoegdheid worden overgedragen om uitvoeringshandelingen vast te stellen. Uitvoeringshandelingen gaan vaak om een nadere praktische of </w:t>
            </w:r>
            <w:r w:rsidRPr="00FB71BA">
              <w:rPr>
                <w:rFonts w:asciiTheme="minorHAnsi" w:hAnsiTheme="minorHAnsi"/>
                <w:sz w:val="22"/>
                <w:szCs w:val="22"/>
              </w:rPr>
              <w:lastRenderedPageBreak/>
              <w:t>technische uitwerking van regels die al bestaan, zoals templates, procedures, deadlines, etc. Er wordt over onderhandeld door comités van nationale ambtenaren en de Europese Commissie.</w:t>
            </w:r>
          </w:p>
        </w:tc>
        <w:tc>
          <w:tcPr>
            <w:tcW w:w="5103" w:type="dxa"/>
          </w:tcPr>
          <w:p w:rsidRPr="00FB71BA" w:rsidR="002C7350" w:rsidP="008C5955" w:rsidRDefault="002C7350" w14:paraId="297B33F7"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per brief of tijdens algemeen overleg/debat bevragen over stand van zaken en appreciatie EU onderhandelingen en NL inzet.</w:t>
            </w:r>
          </w:p>
          <w:p w:rsidRPr="00FB71BA" w:rsidR="002C7350" w:rsidP="008C5955" w:rsidRDefault="002C7350" w14:paraId="76855CA0" w14:textId="77777777">
            <w:pPr>
              <w:numPr>
                <w:ilvl w:val="0"/>
                <w:numId w:val="1"/>
              </w:numPr>
              <w:rPr>
                <w:rFonts w:asciiTheme="minorHAnsi" w:hAnsiTheme="minorHAnsi"/>
                <w:sz w:val="22"/>
                <w:szCs w:val="22"/>
              </w:rPr>
            </w:pPr>
            <w:r w:rsidRPr="00FB71BA">
              <w:rPr>
                <w:rFonts w:asciiTheme="minorHAnsi" w:hAnsiTheme="minorHAnsi"/>
                <w:color w:val="000000"/>
                <w:sz w:val="22"/>
                <w:szCs w:val="22"/>
              </w:rPr>
              <w:t xml:space="preserve">op basis van </w:t>
            </w:r>
            <w:r w:rsidRPr="00FB71BA">
              <w:rPr>
                <w:rFonts w:asciiTheme="minorHAnsi" w:hAnsiTheme="minorHAnsi"/>
                <w:sz w:val="22"/>
                <w:szCs w:val="22"/>
              </w:rPr>
              <w:t xml:space="preserve">de </w:t>
            </w:r>
            <w:hyperlink w:history="1" r:id="rId12">
              <w:r w:rsidRPr="00FB71BA">
                <w:rPr>
                  <w:rFonts w:asciiTheme="minorHAnsi" w:hAnsiTheme="minorHAnsi"/>
                  <w:sz w:val="22"/>
                  <w:szCs w:val="22"/>
                  <w:u w:val="single"/>
                </w:rPr>
                <w:t>(gewijzigde) motie Van Gent</w:t>
              </w:r>
            </w:hyperlink>
            <w:r w:rsidRPr="00FB71BA">
              <w:rPr>
                <w:rFonts w:asciiTheme="minorHAnsi" w:hAnsiTheme="minorHAnsi"/>
                <w:color w:val="000000"/>
                <w:sz w:val="22"/>
                <w:szCs w:val="22"/>
              </w:rPr>
              <w:t xml:space="preserve"> dient </w:t>
            </w:r>
            <w:r w:rsidRPr="00FB71BA">
              <w:rPr>
                <w:rFonts w:asciiTheme="minorHAnsi" w:hAnsiTheme="minorHAnsi"/>
                <w:color w:val="000000"/>
                <w:sz w:val="22"/>
                <w:szCs w:val="22"/>
              </w:rPr>
              <w:lastRenderedPageBreak/>
              <w:t>het kabinet de Kamer afschriften te sturen van haar correspondentie met de Europese Commissie over de uitvoering van Europese regelgeving.</w:t>
            </w:r>
          </w:p>
        </w:tc>
      </w:tr>
      <w:tr w:rsidRPr="00FB71BA" w:rsidR="002C7350" w:rsidTr="008C5955" w14:paraId="3C4CF2FE" w14:textId="77777777">
        <w:tc>
          <w:tcPr>
            <w:tcW w:w="2093" w:type="dxa"/>
          </w:tcPr>
          <w:p w:rsidRPr="00FB71BA" w:rsidR="002C7350" w:rsidP="008C5955" w:rsidRDefault="002C7350" w14:paraId="19967519" w14:textId="77777777">
            <w:pPr>
              <w:pStyle w:val="Voetnoottekst"/>
              <w:rPr>
                <w:rFonts w:asciiTheme="minorHAnsi" w:hAnsiTheme="minorHAnsi"/>
                <w:sz w:val="22"/>
                <w:szCs w:val="22"/>
              </w:rPr>
            </w:pPr>
            <w:r w:rsidRPr="00FB71BA">
              <w:rPr>
                <w:rFonts w:asciiTheme="minorHAnsi" w:hAnsiTheme="minorHAnsi"/>
                <w:sz w:val="22"/>
                <w:szCs w:val="22"/>
              </w:rPr>
              <w:lastRenderedPageBreak/>
              <w:t>Bijzondere rechtshandelingen</w:t>
            </w:r>
          </w:p>
        </w:tc>
        <w:tc>
          <w:tcPr>
            <w:tcW w:w="6946" w:type="dxa"/>
          </w:tcPr>
          <w:p w:rsidRPr="00FB71BA" w:rsidR="002C7350" w:rsidP="008C5955" w:rsidRDefault="002C7350" w14:paraId="3C170D09" w14:textId="77777777">
            <w:pPr>
              <w:pStyle w:val="Voetnoottekst"/>
              <w:rPr>
                <w:rFonts w:asciiTheme="minorHAnsi" w:hAnsiTheme="minorHAnsi"/>
                <w:sz w:val="22"/>
                <w:szCs w:val="22"/>
              </w:rPr>
            </w:pPr>
            <w:r w:rsidRPr="00FB71BA">
              <w:rPr>
                <w:rFonts w:asciiTheme="minorHAnsi" w:hAnsiTheme="minorHAnsi"/>
                <w:sz w:val="22"/>
                <w:szCs w:val="22"/>
              </w:rPr>
              <w:t>Er bestaan nog andere typen niet-wetgevende rechtshandelingen waarvan op voorhand niet te zeggen zijn of zij bindend zijn of niet. Bijvoorbeeld meerjarige kaderprogramma’s of actieprogramma’s. Deze programma’s worden vastgesteld volgens dezelfde wetgevingsprocedures als richtlijnen en verordeningen. Het is zaak goed in de teksten te bezien wat de voorgestelde rechtskracht is.</w:t>
            </w:r>
          </w:p>
          <w:p w:rsidRPr="00FB71BA" w:rsidR="002C7350" w:rsidP="008C5955" w:rsidRDefault="002C7350" w14:paraId="5B5BDAA6" w14:textId="77777777">
            <w:pPr>
              <w:pStyle w:val="Voetnoottekst"/>
              <w:rPr>
                <w:rFonts w:asciiTheme="minorHAnsi" w:hAnsiTheme="minorHAnsi"/>
                <w:sz w:val="22"/>
                <w:szCs w:val="22"/>
              </w:rPr>
            </w:pPr>
          </w:p>
        </w:tc>
        <w:tc>
          <w:tcPr>
            <w:tcW w:w="5103" w:type="dxa"/>
          </w:tcPr>
          <w:p w:rsidRPr="00FB71BA" w:rsidR="002C7350" w:rsidP="008C5955" w:rsidRDefault="002C7350" w14:paraId="6DDFFDF9"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vragen, bespreken.</w:t>
            </w:r>
          </w:p>
          <w:p w:rsidRPr="00FB71BA" w:rsidR="002C7350" w:rsidP="008C5955" w:rsidRDefault="002C7350" w14:paraId="451F3A55"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ambtenaren of Commissaris van Europese Commissie (de ‘auteurs’) uitnodigen voor briefing/gesprek, evt. via videoconferentie</w:t>
            </w:r>
          </w:p>
          <w:p w:rsidRPr="00FB71BA" w:rsidR="002C7350" w:rsidP="008C5955" w:rsidRDefault="002C7350" w14:paraId="5A0DB8E7"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indien het Europees Parlement een rapporteur heeft aangesteld kan deze desgewenst worden uitgenodigd voor een gesprek.</w:t>
            </w:r>
          </w:p>
          <w:p w:rsidRPr="00FB71BA" w:rsidR="002C7350" w:rsidP="008C5955" w:rsidRDefault="002C7350" w14:paraId="5B7B5094"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uw commissie kan op dit onderwerp een ad-hoc rapporteur benoemen</w:t>
            </w:r>
          </w:p>
          <w:p w:rsidRPr="00FB71BA" w:rsidR="002C7350" w:rsidP="008C5955" w:rsidRDefault="002C7350" w14:paraId="24CF35BA" w14:textId="77777777">
            <w:pPr>
              <w:pStyle w:val="Voetnoottekst"/>
              <w:ind w:left="360"/>
              <w:rPr>
                <w:rFonts w:asciiTheme="minorHAnsi" w:hAnsiTheme="minorHAnsi"/>
                <w:sz w:val="22"/>
                <w:szCs w:val="22"/>
              </w:rPr>
            </w:pPr>
            <w:r w:rsidRPr="00FB71BA">
              <w:rPr>
                <w:rFonts w:asciiTheme="minorHAnsi" w:hAnsiTheme="minorHAnsi"/>
                <w:sz w:val="22"/>
                <w:szCs w:val="22"/>
              </w:rPr>
              <w:t>nationale wetgevingstraject (i.h.k.v. omzetting van richtlijn naar nationale wetgeving).</w:t>
            </w:r>
          </w:p>
        </w:tc>
      </w:tr>
      <w:tr w:rsidRPr="00FB71BA" w:rsidR="002C7350" w:rsidTr="008C5955" w14:paraId="3F40BB24" w14:textId="77777777">
        <w:tc>
          <w:tcPr>
            <w:tcW w:w="14142" w:type="dxa"/>
            <w:gridSpan w:val="3"/>
          </w:tcPr>
          <w:p w:rsidRPr="00FB71BA" w:rsidR="002C7350" w:rsidP="008C5955" w:rsidRDefault="002C7350" w14:paraId="6F12CC9E" w14:textId="77777777">
            <w:pPr>
              <w:pStyle w:val="Voetnoottekst"/>
              <w:rPr>
                <w:rFonts w:asciiTheme="minorHAnsi" w:hAnsiTheme="minorHAnsi"/>
                <w:i/>
                <w:sz w:val="22"/>
                <w:szCs w:val="22"/>
              </w:rPr>
            </w:pPr>
            <w:r w:rsidRPr="00FB71BA">
              <w:rPr>
                <w:rFonts w:asciiTheme="minorHAnsi" w:hAnsiTheme="minorHAnsi"/>
                <w:i/>
                <w:sz w:val="22"/>
                <w:szCs w:val="22"/>
              </w:rPr>
              <w:t>Niet-bindende handelingen (soft-law)</w:t>
            </w:r>
          </w:p>
        </w:tc>
      </w:tr>
      <w:tr w:rsidRPr="00FB71BA" w:rsidR="002C7350" w:rsidTr="008C5955" w14:paraId="05E97394" w14:textId="77777777">
        <w:tc>
          <w:tcPr>
            <w:tcW w:w="2093" w:type="dxa"/>
          </w:tcPr>
          <w:p w:rsidRPr="00FB71BA" w:rsidR="002C7350" w:rsidP="008C5955" w:rsidRDefault="002C7350" w14:paraId="315823BA" w14:textId="77777777">
            <w:pPr>
              <w:pStyle w:val="Voetnoottekst"/>
              <w:rPr>
                <w:rFonts w:asciiTheme="minorHAnsi" w:hAnsiTheme="minorHAnsi"/>
                <w:sz w:val="22"/>
                <w:szCs w:val="22"/>
              </w:rPr>
            </w:pPr>
            <w:r w:rsidRPr="00FB71BA">
              <w:rPr>
                <w:rFonts w:asciiTheme="minorHAnsi" w:hAnsiTheme="minorHAnsi"/>
                <w:sz w:val="22"/>
                <w:szCs w:val="22"/>
              </w:rPr>
              <w:t>Advies, aanbeveling, mededeling</w:t>
            </w:r>
          </w:p>
          <w:p w:rsidRPr="00FB71BA" w:rsidR="002C7350" w:rsidP="008C5955" w:rsidRDefault="002C7350" w14:paraId="1D5F73A2" w14:textId="77777777">
            <w:pPr>
              <w:jc w:val="right"/>
              <w:rPr>
                <w:rFonts w:asciiTheme="minorHAnsi" w:hAnsiTheme="minorHAnsi"/>
                <w:sz w:val="22"/>
                <w:szCs w:val="22"/>
              </w:rPr>
            </w:pPr>
          </w:p>
          <w:p w:rsidRPr="00FB71BA" w:rsidR="002C7350" w:rsidP="008C5955" w:rsidRDefault="002C7350" w14:paraId="71E3D841" w14:textId="77777777">
            <w:pPr>
              <w:jc w:val="right"/>
              <w:rPr>
                <w:rFonts w:asciiTheme="minorHAnsi" w:hAnsiTheme="minorHAnsi"/>
                <w:sz w:val="22"/>
                <w:szCs w:val="22"/>
              </w:rPr>
            </w:pPr>
          </w:p>
          <w:p w:rsidRPr="00FB71BA" w:rsidR="002C7350" w:rsidP="008C5955" w:rsidRDefault="002C7350" w14:paraId="4CEC1D9D" w14:textId="77777777">
            <w:pPr>
              <w:jc w:val="right"/>
              <w:rPr>
                <w:rFonts w:asciiTheme="minorHAnsi" w:hAnsiTheme="minorHAnsi"/>
                <w:sz w:val="22"/>
                <w:szCs w:val="22"/>
              </w:rPr>
            </w:pPr>
          </w:p>
          <w:p w:rsidRPr="00FB71BA" w:rsidR="002C7350" w:rsidP="008C5955" w:rsidRDefault="002C7350" w14:paraId="1938EE5F" w14:textId="77777777">
            <w:pPr>
              <w:jc w:val="right"/>
              <w:rPr>
                <w:rFonts w:asciiTheme="minorHAnsi" w:hAnsiTheme="minorHAnsi"/>
                <w:sz w:val="22"/>
                <w:szCs w:val="22"/>
              </w:rPr>
            </w:pPr>
          </w:p>
          <w:p w:rsidRPr="00FB71BA" w:rsidR="002C7350" w:rsidP="008C5955" w:rsidRDefault="002C7350" w14:paraId="381D804A" w14:textId="77777777">
            <w:pPr>
              <w:jc w:val="right"/>
              <w:rPr>
                <w:rFonts w:asciiTheme="minorHAnsi" w:hAnsiTheme="minorHAnsi"/>
                <w:sz w:val="22"/>
                <w:szCs w:val="22"/>
              </w:rPr>
            </w:pPr>
          </w:p>
        </w:tc>
        <w:tc>
          <w:tcPr>
            <w:tcW w:w="6946" w:type="dxa"/>
          </w:tcPr>
          <w:p w:rsidRPr="00FB71BA" w:rsidR="002C7350" w:rsidP="008C5955" w:rsidRDefault="002C7350" w14:paraId="5ECF5F30" w14:textId="77777777">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 </w:t>
            </w:r>
          </w:p>
        </w:tc>
        <w:tc>
          <w:tcPr>
            <w:tcW w:w="5103" w:type="dxa"/>
          </w:tcPr>
          <w:p w:rsidRPr="00FB71BA" w:rsidR="002C7350" w:rsidP="008C5955" w:rsidRDefault="002C7350" w14:paraId="54839924"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kabinet om appreciatie in de vorm van BNC-fiche verzoeken aangezien over deze categorie niet standaard een fiche wordt gemaakt.</w:t>
            </w:r>
          </w:p>
          <w:p w:rsidRPr="00FB71BA" w:rsidR="002C7350" w:rsidP="008C5955" w:rsidRDefault="002C7350" w14:paraId="5796D8B6" w14:textId="77777777">
            <w:pPr>
              <w:pStyle w:val="Voetnoottekst"/>
              <w:rPr>
                <w:rFonts w:asciiTheme="minorHAnsi" w:hAnsiTheme="minorHAnsi"/>
                <w:sz w:val="22"/>
                <w:szCs w:val="22"/>
              </w:rPr>
            </w:pPr>
          </w:p>
          <w:p w:rsidRPr="00FB71BA" w:rsidR="002C7350" w:rsidP="008C5955" w:rsidRDefault="002C7350" w14:paraId="5104A7C4" w14:textId="77777777">
            <w:pPr>
              <w:pStyle w:val="Voetnoottekst"/>
              <w:rPr>
                <w:rFonts w:asciiTheme="minorHAnsi" w:hAnsiTheme="minorHAnsi"/>
                <w:sz w:val="22"/>
                <w:szCs w:val="22"/>
              </w:rPr>
            </w:pPr>
          </w:p>
          <w:p w:rsidRPr="00FB71BA" w:rsidR="002C7350" w:rsidP="008C5955" w:rsidRDefault="002C7350" w14:paraId="3AA4E863" w14:textId="77777777">
            <w:pPr>
              <w:pStyle w:val="Voetnoottekst"/>
              <w:rPr>
                <w:rFonts w:asciiTheme="minorHAnsi" w:hAnsiTheme="minorHAnsi"/>
                <w:sz w:val="22"/>
                <w:szCs w:val="22"/>
              </w:rPr>
            </w:pPr>
          </w:p>
          <w:p w:rsidRPr="00FB71BA" w:rsidR="002C7350" w:rsidP="008C5955" w:rsidRDefault="002C7350" w14:paraId="6374042A" w14:textId="77777777">
            <w:pPr>
              <w:pStyle w:val="Voetnoottekst"/>
              <w:rPr>
                <w:rFonts w:asciiTheme="minorHAnsi" w:hAnsiTheme="minorHAnsi"/>
                <w:sz w:val="22"/>
                <w:szCs w:val="22"/>
              </w:rPr>
            </w:pPr>
          </w:p>
          <w:p w:rsidRPr="00FB71BA" w:rsidR="002C7350" w:rsidP="008C5955" w:rsidRDefault="002C7350" w14:paraId="74D0B62B" w14:textId="77777777">
            <w:pPr>
              <w:pStyle w:val="Voetnoottekst"/>
              <w:rPr>
                <w:rFonts w:asciiTheme="minorHAnsi" w:hAnsiTheme="minorHAnsi"/>
                <w:sz w:val="22"/>
                <w:szCs w:val="22"/>
              </w:rPr>
            </w:pPr>
          </w:p>
        </w:tc>
      </w:tr>
      <w:tr w:rsidRPr="00FB71BA" w:rsidR="002C7350" w:rsidTr="008C5955" w14:paraId="71260F80" w14:textId="77777777">
        <w:tc>
          <w:tcPr>
            <w:tcW w:w="14142" w:type="dxa"/>
            <w:gridSpan w:val="3"/>
          </w:tcPr>
          <w:p w:rsidRPr="00FB71BA" w:rsidR="002C7350" w:rsidP="008C5955" w:rsidRDefault="002C7350" w14:paraId="6803B43A" w14:textId="77777777">
            <w:pPr>
              <w:pStyle w:val="Voetnoottekst"/>
              <w:rPr>
                <w:rFonts w:asciiTheme="minorHAnsi" w:hAnsiTheme="minorHAnsi"/>
                <w:i/>
                <w:sz w:val="22"/>
                <w:szCs w:val="22"/>
              </w:rPr>
            </w:pPr>
            <w:r w:rsidRPr="00FB71BA">
              <w:rPr>
                <w:rFonts w:asciiTheme="minorHAnsi" w:hAnsiTheme="minorHAnsi"/>
                <w:i/>
                <w:sz w:val="22"/>
                <w:szCs w:val="22"/>
              </w:rPr>
              <w:t xml:space="preserve">Overige handelingen en instrumenten </w:t>
            </w:r>
          </w:p>
        </w:tc>
      </w:tr>
      <w:tr w:rsidRPr="00FB71BA" w:rsidR="002C7350" w:rsidTr="008C5955" w14:paraId="0D5B3F38" w14:textId="77777777">
        <w:tc>
          <w:tcPr>
            <w:tcW w:w="2093" w:type="dxa"/>
          </w:tcPr>
          <w:p w:rsidRPr="00FB71BA" w:rsidR="002C7350" w:rsidP="008C5955" w:rsidRDefault="002C7350" w14:paraId="5C2D9A0F" w14:textId="77777777">
            <w:pPr>
              <w:pStyle w:val="Voetnoottekst"/>
              <w:rPr>
                <w:rFonts w:asciiTheme="minorHAnsi" w:hAnsiTheme="minorHAnsi"/>
                <w:sz w:val="22"/>
                <w:szCs w:val="22"/>
              </w:rPr>
            </w:pPr>
            <w:r w:rsidRPr="00FB71BA">
              <w:rPr>
                <w:rFonts w:asciiTheme="minorHAnsi" w:hAnsiTheme="minorHAnsi"/>
                <w:sz w:val="22"/>
                <w:szCs w:val="22"/>
              </w:rPr>
              <w:t xml:space="preserve">Routekaart, actieplannen, strategie, agenda </w:t>
            </w:r>
          </w:p>
        </w:tc>
        <w:tc>
          <w:tcPr>
            <w:tcW w:w="6946" w:type="dxa"/>
          </w:tcPr>
          <w:p w:rsidRPr="00FB71BA" w:rsidR="002C7350" w:rsidP="008C5955" w:rsidRDefault="002C7350" w14:paraId="5C7C1554" w14:textId="77777777">
            <w:pPr>
              <w:pStyle w:val="Voetnoottekst"/>
              <w:rPr>
                <w:rFonts w:asciiTheme="minorHAnsi" w:hAnsiTheme="minorHAnsi"/>
                <w:sz w:val="22"/>
                <w:szCs w:val="22"/>
              </w:rPr>
            </w:pPr>
            <w:r w:rsidRPr="00FB71BA">
              <w:rPr>
                <w:rFonts w:cs="Arial" w:asciiTheme="minorHAnsi" w:hAnsiTheme="minorHAnsi"/>
                <w:sz w:val="22"/>
                <w:szCs w:val="22"/>
              </w:rPr>
              <w:t xml:space="preserve">Via routekaarten, actieplannen, strategieën en agenda’s informeert de Europese Commissie belanghebbenden en burgers over nieuwe initiatieven, evaluaties en geschiktheidscontroles. In deze documenten </w:t>
            </w:r>
            <w:r w:rsidRPr="00FB71BA">
              <w:rPr>
                <w:rStyle w:val="Zwaar"/>
                <w:rFonts w:cs="Arial" w:asciiTheme="minorHAnsi" w:hAnsiTheme="minorHAnsi"/>
                <w:sz w:val="22"/>
                <w:szCs w:val="22"/>
              </w:rPr>
              <w:t>voor nieuwe initiatieven</w:t>
            </w:r>
            <w:r w:rsidRPr="00FB71BA">
              <w:rPr>
                <w:rFonts w:cs="Arial" w:asciiTheme="minorHAnsi" w:hAnsiTheme="minorHAnsi"/>
                <w:sz w:val="22"/>
                <w:szCs w:val="22"/>
              </w:rPr>
              <w:t xml:space="preserve"> wordt uitgelegd wat het probleem is, wat de Commissie wil bereiken, waarom juist de EU maatregelen moet nemen, wat de toegevoegde waarde is en welke alternatieven er zijn. In deze documenten</w:t>
            </w:r>
            <w:r w:rsidRPr="00FB71BA">
              <w:rPr>
                <w:rStyle w:val="Zwaar"/>
                <w:rFonts w:cs="Arial" w:asciiTheme="minorHAnsi" w:hAnsiTheme="minorHAnsi"/>
                <w:sz w:val="22"/>
                <w:szCs w:val="22"/>
              </w:rPr>
              <w:t xml:space="preserve"> voor evaluaties en geschiktheidscontroles</w:t>
            </w:r>
            <w:r w:rsidRPr="00FB71BA">
              <w:rPr>
                <w:rFonts w:cs="Arial" w:asciiTheme="minorHAnsi" w:hAnsiTheme="minorHAnsi"/>
                <w:sz w:val="22"/>
                <w:szCs w:val="22"/>
              </w:rPr>
              <w:t xml:space="preserve"> wordt bepaald wat er geëvalueerd moet worden en welke aspecten moeten worden </w:t>
            </w:r>
            <w:r w:rsidRPr="00FB71BA">
              <w:rPr>
                <w:rFonts w:cs="Arial" w:asciiTheme="minorHAnsi" w:hAnsiTheme="minorHAnsi"/>
                <w:sz w:val="22"/>
                <w:szCs w:val="22"/>
              </w:rPr>
              <w:lastRenderedPageBreak/>
              <w:t xml:space="preserve">onderzocht. </w:t>
            </w:r>
          </w:p>
        </w:tc>
        <w:tc>
          <w:tcPr>
            <w:tcW w:w="5103" w:type="dxa"/>
          </w:tcPr>
          <w:p w:rsidRPr="00FB71BA" w:rsidR="002C7350" w:rsidP="008C5955" w:rsidRDefault="002C7350" w14:paraId="1F4B163A"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 om appreciatie in de vorm van BNC-fiche verzoeken aangezien over deze categorie niet standaard een fiche wordt gemaakt</w:t>
            </w:r>
          </w:p>
          <w:p w:rsidRPr="00FB71BA" w:rsidR="002C7350" w:rsidP="008C5955" w:rsidRDefault="002C7350" w14:paraId="1EA07954"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en/of kabinet vragen om NL inzet (per commissiebrief of tijdens algemeen overleg/debat).</w:t>
            </w:r>
          </w:p>
        </w:tc>
      </w:tr>
      <w:tr w:rsidRPr="00FB71BA" w:rsidR="002C7350" w:rsidTr="008C5955" w14:paraId="0C12F7C5" w14:textId="77777777">
        <w:tc>
          <w:tcPr>
            <w:tcW w:w="2093" w:type="dxa"/>
          </w:tcPr>
          <w:p w:rsidRPr="00FB71BA" w:rsidR="002C7350" w:rsidP="008C5955" w:rsidRDefault="002C7350" w14:paraId="00950790" w14:textId="77777777">
            <w:pPr>
              <w:pStyle w:val="Voetnoottekst"/>
              <w:rPr>
                <w:rFonts w:asciiTheme="minorHAnsi" w:hAnsiTheme="minorHAnsi"/>
                <w:sz w:val="22"/>
                <w:szCs w:val="22"/>
              </w:rPr>
            </w:pPr>
            <w:r w:rsidRPr="00FB71BA">
              <w:rPr>
                <w:rFonts w:asciiTheme="minorHAnsi" w:hAnsiTheme="minorHAnsi"/>
                <w:sz w:val="22"/>
                <w:szCs w:val="22"/>
              </w:rPr>
              <w:lastRenderedPageBreak/>
              <w:t>Groen- en witboek</w:t>
            </w:r>
          </w:p>
        </w:tc>
        <w:tc>
          <w:tcPr>
            <w:tcW w:w="6946" w:type="dxa"/>
          </w:tcPr>
          <w:p w:rsidRPr="00FB71BA" w:rsidR="002C7350" w:rsidP="008C5955" w:rsidRDefault="002C7350" w14:paraId="704FC5F9" w14:textId="77777777">
            <w:pPr>
              <w:pStyle w:val="Voetnoottekst"/>
              <w:rPr>
                <w:rFonts w:asciiTheme="minorHAnsi" w:hAnsiTheme="minorHAnsi"/>
                <w:sz w:val="22"/>
                <w:szCs w:val="22"/>
              </w:rPr>
            </w:pPr>
            <w:r w:rsidRPr="00FB71BA">
              <w:rPr>
                <w:rFonts w:asciiTheme="minorHAnsi" w:hAnsiTheme="minorHAnsi"/>
                <w:sz w:val="22"/>
                <w:szCs w:val="22"/>
              </w:rPr>
              <w:t xml:space="preserve">Groenboek: een discussiestuk, waarmee de Europese Commissie de stand van zaken inventariseert omtrent een onderwerp. Ook doet ze aanbevelingen voor nieuw beleid. </w:t>
            </w:r>
          </w:p>
          <w:p w:rsidRPr="00FB71BA" w:rsidR="002C7350" w:rsidP="008C5955" w:rsidRDefault="002C7350" w14:paraId="3F6AD72C" w14:textId="77777777">
            <w:pPr>
              <w:pStyle w:val="Voetnoottekst"/>
              <w:rPr>
                <w:rFonts w:asciiTheme="minorHAnsi" w:hAnsiTheme="minorHAnsi"/>
                <w:sz w:val="22"/>
                <w:szCs w:val="22"/>
              </w:rPr>
            </w:pPr>
          </w:p>
          <w:p w:rsidRPr="00FB71BA" w:rsidR="002C7350" w:rsidP="008C5955" w:rsidRDefault="002C7350" w14:paraId="00CD7FCA" w14:textId="77777777">
            <w:pPr>
              <w:pStyle w:val="Voetnoottekst"/>
              <w:rPr>
                <w:rFonts w:asciiTheme="minorHAnsi" w:hAnsiTheme="minorHAnsi"/>
                <w:sz w:val="22"/>
                <w:szCs w:val="22"/>
              </w:rPr>
            </w:pPr>
            <w:r w:rsidRPr="00FB71BA">
              <w:rPr>
                <w:rFonts w:asciiTheme="minorHAnsi" w:hAnsiTheme="minorHAnsi"/>
                <w:sz w:val="22"/>
                <w:szCs w:val="22"/>
              </w:rPr>
              <w:t>Witboek: hierin zet de Europese Commissie uiteen hoe zij bepaalde doelen wil bereiken. Vaak worden in een witboek al concrete voorstellen uitgewerkt en toegelicht.</w:t>
            </w:r>
          </w:p>
          <w:p w:rsidRPr="00FB71BA" w:rsidR="002C7350" w:rsidP="008C5955" w:rsidRDefault="002C7350" w14:paraId="66AC22D3" w14:textId="77777777">
            <w:pPr>
              <w:pStyle w:val="Voetnoottekst"/>
              <w:rPr>
                <w:rFonts w:asciiTheme="minorHAnsi" w:hAnsiTheme="minorHAnsi"/>
                <w:sz w:val="22"/>
                <w:szCs w:val="22"/>
              </w:rPr>
            </w:pPr>
            <w:r w:rsidRPr="00FB71BA">
              <w:rPr>
                <w:rFonts w:asciiTheme="minorHAnsi" w:hAnsiTheme="minorHAnsi"/>
                <w:sz w:val="22"/>
                <w:szCs w:val="22"/>
              </w:rPr>
              <w:t xml:space="preserve">De Europese Commissie nodigt overheden, nationale parlementen en andere organisaties uit om binnen een bepaalde termijn op een Groen- of Witboek te reageren. </w:t>
            </w:r>
          </w:p>
        </w:tc>
        <w:tc>
          <w:tcPr>
            <w:tcW w:w="5103" w:type="dxa"/>
          </w:tcPr>
          <w:p w:rsidRPr="00FB71BA" w:rsidR="002C7350" w:rsidP="008C5955" w:rsidRDefault="002C7350" w14:paraId="74C0EC91"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desgewenst ambtenaren EC of Europees Commissaris uitnodigen voor een toelichting.</w:t>
            </w:r>
          </w:p>
          <w:p w:rsidRPr="00FB71BA" w:rsidR="002C7350" w:rsidP="008C5955" w:rsidRDefault="002C7350" w14:paraId="28405BE8"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in commissieverband (via schriftelijke inbreng in de vorm van een politieke dialoog) of als lid, burger of via fracties een reactie sturen aan de Europese Commissie.</w:t>
            </w:r>
          </w:p>
          <w:p w:rsidRPr="00FB71BA" w:rsidR="002C7350" w:rsidP="008C5955" w:rsidRDefault="002C7350" w14:paraId="4812960B"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 door te agenderen voor een algemeen overleg/debat.</w:t>
            </w:r>
          </w:p>
        </w:tc>
      </w:tr>
      <w:tr w:rsidRPr="00FB71BA" w:rsidR="002C7350" w:rsidTr="008C5955" w14:paraId="41FB5DEE" w14:textId="77777777">
        <w:tc>
          <w:tcPr>
            <w:tcW w:w="2093" w:type="dxa"/>
          </w:tcPr>
          <w:p w:rsidRPr="00FB71BA" w:rsidR="002C7350" w:rsidP="008C5955" w:rsidRDefault="002C7350" w14:paraId="4EB7F6E4" w14:textId="77777777">
            <w:pPr>
              <w:pStyle w:val="Voetnoottekst"/>
              <w:rPr>
                <w:rFonts w:asciiTheme="minorHAnsi" w:hAnsiTheme="minorHAnsi"/>
                <w:sz w:val="22"/>
                <w:szCs w:val="22"/>
              </w:rPr>
            </w:pPr>
            <w:r w:rsidRPr="00FB71BA">
              <w:rPr>
                <w:rFonts w:asciiTheme="minorHAnsi" w:hAnsiTheme="minorHAnsi"/>
                <w:sz w:val="22"/>
                <w:szCs w:val="22"/>
              </w:rPr>
              <w:t>Openbare raadpleging (consultatie)</w:t>
            </w:r>
          </w:p>
        </w:tc>
        <w:tc>
          <w:tcPr>
            <w:tcW w:w="6946" w:type="dxa"/>
          </w:tcPr>
          <w:p w:rsidRPr="00FB71BA" w:rsidR="002C7350" w:rsidP="008C5955" w:rsidRDefault="002C7350" w14:paraId="028756C2" w14:textId="77777777">
            <w:pPr>
              <w:pStyle w:val="Voetnoottekst"/>
              <w:spacing w:before="100" w:beforeAutospacing="1" w:after="100" w:afterAutospacing="1"/>
              <w:rPr>
                <w:rFonts w:asciiTheme="minorHAnsi" w:hAnsiTheme="minorHAnsi"/>
                <w:sz w:val="22"/>
                <w:szCs w:val="22"/>
              </w:rPr>
            </w:pPr>
            <w:r w:rsidRPr="00FB71BA">
              <w:rPr>
                <w:rFonts w:asciiTheme="minorHAnsi" w:hAnsiTheme="minorHAnsi"/>
                <w:sz w:val="22"/>
                <w:szCs w:val="22"/>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3">
              <w:r w:rsidRPr="00FB71BA">
                <w:rPr>
                  <w:rStyle w:val="Hyperlink"/>
                  <w:rFonts w:asciiTheme="minorHAnsi" w:hAnsiTheme="minorHAnsi"/>
                  <w:sz w:val="22"/>
                  <w:szCs w:val="22"/>
                </w:rPr>
                <w:t>Bekijk alle openbare raadplegingen op "Uw stem in Europa"</w:t>
              </w:r>
            </w:hyperlink>
            <w:r w:rsidRPr="00FB71BA">
              <w:rPr>
                <w:rFonts w:asciiTheme="minorHAnsi" w:hAnsiTheme="minorHAnsi"/>
                <w:sz w:val="22"/>
                <w:szCs w:val="22"/>
              </w:rPr>
              <w:t xml:space="preserve"> . </w:t>
            </w:r>
          </w:p>
        </w:tc>
        <w:tc>
          <w:tcPr>
            <w:tcW w:w="5103" w:type="dxa"/>
          </w:tcPr>
          <w:p w:rsidRPr="00FB71BA" w:rsidR="002C7350" w:rsidP="008C5955" w:rsidRDefault="002C7350" w14:paraId="1D18005C" w14:textId="77777777">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als burger, lid, fractie of in commissieverband (via schriftelijke inbreng in de vorm van een politieke dialoog). meedoen aan de openbare raadpleging.</w:t>
            </w:r>
          </w:p>
          <w:p w:rsidRPr="00FB71BA" w:rsidR="002C7350" w:rsidP="008C5955" w:rsidRDefault="002C7350" w14:paraId="3CD27F86" w14:textId="77777777">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kabinet verzoeken om de concept-kabinetsreactie naar de Kamer te sturen voordat de definitieve versie naar de Europese Commissie wordt gestuurd, teneinde desgewenst hierover met de bewindspersoon in gesprek te treden.</w:t>
            </w:r>
          </w:p>
          <w:p w:rsidRPr="00FB71BA" w:rsidR="002C7350" w:rsidP="008C5955" w:rsidRDefault="002C7350" w14:paraId="727307B3" w14:textId="77777777">
            <w:pPr>
              <w:pStyle w:val="Voetnoottekst"/>
              <w:numPr>
                <w:ilvl w:val="0"/>
                <w:numId w:val="1"/>
              </w:numPr>
              <w:autoSpaceDE w:val="0"/>
              <w:autoSpaceDN w:val="0"/>
              <w:rPr>
                <w:rFonts w:asciiTheme="minorHAnsi" w:hAnsiTheme="minorHAnsi"/>
                <w:sz w:val="22"/>
                <w:szCs w:val="22"/>
              </w:rPr>
            </w:pPr>
            <w:r w:rsidRPr="00FB71BA">
              <w:rPr>
                <w:rFonts w:asciiTheme="minorHAnsi" w:hAnsiTheme="minorHAnsi"/>
                <w:sz w:val="22"/>
                <w:szCs w:val="22"/>
              </w:rPr>
              <w:t>de Kamer ontvangt krachtens de standaard-informatieafspraken de definitieve kabinetsreactie op alle consultaties van de Europese Commissie waarop het kabinet reageert.</w:t>
            </w:r>
          </w:p>
        </w:tc>
      </w:tr>
      <w:tr w:rsidRPr="00FB71BA" w:rsidR="002C7350" w:rsidTr="008C5955" w14:paraId="74B15081" w14:textId="77777777">
        <w:tc>
          <w:tcPr>
            <w:tcW w:w="14142" w:type="dxa"/>
            <w:gridSpan w:val="3"/>
          </w:tcPr>
          <w:p w:rsidRPr="00FB71BA" w:rsidR="002C7350" w:rsidP="008C5955" w:rsidRDefault="002C7350" w14:paraId="634F4FB2" w14:textId="77777777">
            <w:pPr>
              <w:pStyle w:val="Voetnoottekst"/>
              <w:rPr>
                <w:rFonts w:asciiTheme="minorHAnsi" w:hAnsiTheme="minorHAnsi"/>
                <w:i/>
                <w:sz w:val="22"/>
                <w:szCs w:val="22"/>
              </w:rPr>
            </w:pPr>
            <w:r w:rsidRPr="00FB71BA">
              <w:rPr>
                <w:rFonts w:asciiTheme="minorHAnsi" w:hAnsiTheme="minorHAnsi"/>
                <w:i/>
                <w:sz w:val="22"/>
                <w:szCs w:val="22"/>
              </w:rPr>
              <w:t>Uitgelicht: twee specifieke parlementaire instrumenten bij nieuw gepubliceerde EU-voorstellen</w:t>
            </w:r>
          </w:p>
        </w:tc>
      </w:tr>
      <w:tr w:rsidRPr="00FB71BA" w:rsidR="002C7350" w:rsidTr="008C5955" w14:paraId="4131C02E" w14:textId="77777777">
        <w:tc>
          <w:tcPr>
            <w:tcW w:w="2093" w:type="dxa"/>
          </w:tcPr>
          <w:p w:rsidRPr="00FB71BA" w:rsidR="002C7350" w:rsidP="008C5955" w:rsidRDefault="002C7350" w14:paraId="516A53D5" w14:textId="77777777">
            <w:pPr>
              <w:pStyle w:val="Voetnoottekst"/>
              <w:rPr>
                <w:rFonts w:asciiTheme="minorHAnsi" w:hAnsiTheme="minorHAnsi"/>
                <w:sz w:val="22"/>
                <w:szCs w:val="22"/>
              </w:rPr>
            </w:pPr>
            <w:r w:rsidRPr="00FB71BA">
              <w:rPr>
                <w:rFonts w:asciiTheme="minorHAnsi" w:hAnsiTheme="minorHAnsi"/>
                <w:sz w:val="22"/>
                <w:szCs w:val="22"/>
              </w:rPr>
              <w:t xml:space="preserve">Subsidiariteitstoets </w:t>
            </w:r>
          </w:p>
          <w:p w:rsidRPr="00FB71BA" w:rsidR="002C7350" w:rsidP="008C5955" w:rsidRDefault="002C7350" w14:paraId="771EECAA" w14:textId="77777777">
            <w:pPr>
              <w:pStyle w:val="Voetnoottekst"/>
              <w:rPr>
                <w:rFonts w:asciiTheme="minorHAnsi" w:hAnsiTheme="minorHAnsi"/>
                <w:sz w:val="22"/>
                <w:szCs w:val="22"/>
              </w:rPr>
            </w:pPr>
            <w:r w:rsidRPr="00FB71BA">
              <w:rPr>
                <w:rFonts w:asciiTheme="minorHAnsi" w:hAnsiTheme="minorHAnsi"/>
                <w:sz w:val="22"/>
                <w:szCs w:val="22"/>
              </w:rPr>
              <w:t>(richting EU)</w:t>
            </w:r>
          </w:p>
        </w:tc>
        <w:tc>
          <w:tcPr>
            <w:tcW w:w="6946" w:type="dxa"/>
          </w:tcPr>
          <w:p w:rsidRPr="00FB71BA" w:rsidR="002C7350" w:rsidP="008C5955" w:rsidRDefault="002C7350" w14:paraId="786A313D" w14:textId="77777777">
            <w:pPr>
              <w:pStyle w:val="Lijstalinea"/>
              <w:ind w:left="0"/>
              <w:rPr>
                <w:rFonts w:asciiTheme="minorHAnsi" w:hAnsiTheme="minorHAnsi"/>
                <w:sz w:val="22"/>
                <w:szCs w:val="22"/>
              </w:rPr>
            </w:pPr>
            <w:r w:rsidRPr="00FB71BA">
              <w:rPr>
                <w:rFonts w:asciiTheme="minorHAnsi" w:hAnsiTheme="minorHAnsi"/>
                <w:sz w:val="22"/>
                <w:szCs w:val="22"/>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w:t>
            </w:r>
            <w:r w:rsidRPr="00FB71BA">
              <w:rPr>
                <w:rFonts w:asciiTheme="minorHAnsi" w:hAnsiTheme="minorHAnsi"/>
                <w:sz w:val="22"/>
                <w:szCs w:val="22"/>
              </w:rPr>
              <w:lastRenderedPageBreak/>
              <w:t xml:space="preserve">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FB71BA">
              <w:rPr>
                <w:rFonts w:asciiTheme="minorHAnsi" w:hAnsiTheme="minorHAnsi" w:cstheme="minorHAnsi"/>
                <w:color w:val="000000" w:themeColor="text1"/>
                <w:sz w:val="22"/>
                <w:szCs w:val="22"/>
              </w:rPr>
              <w:t>Elk parlement krijgt 2 stemmen, maar bij een bicameraal stelsel, zoals in Nederland, krijgt elke kamer 1 stem</w:t>
            </w:r>
            <w:r w:rsidRPr="00FB71BA">
              <w:rPr>
                <w:rFonts w:asciiTheme="minorHAnsi" w:hAnsiTheme="minorHAnsi"/>
                <w:sz w:val="22"/>
                <w:szCs w:val="22"/>
              </w:rPr>
              <w:t>.</w:t>
            </w:r>
            <w:r w:rsidRPr="00FB71BA">
              <w:rPr>
                <w:rFonts w:asciiTheme="minorHAnsi" w:hAnsiTheme="minorHAnsi" w:cstheme="minorHAnsi"/>
                <w:color w:val="000000" w:themeColor="text1"/>
                <w:sz w:val="22"/>
                <w:szCs w:val="22"/>
              </w:rPr>
              <w:t xml:space="preserve"> Om een gele kaart te trekken moeten er 19 stemmen worden gehaald.</w:t>
            </w:r>
          </w:p>
        </w:tc>
        <w:tc>
          <w:tcPr>
            <w:tcW w:w="5103" w:type="dxa"/>
          </w:tcPr>
          <w:p w:rsidRPr="00FB71BA" w:rsidR="002C7350" w:rsidP="008C5955" w:rsidRDefault="002C7350" w14:paraId="1CEFD830"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bij wetgevende EU-voorstellen kan een Kamercommissie besluiten tot het uitvoeren van een subsidiariteitstoets. Let op: dit moet binnen acht weken na het uitkomen van alle taalversies van het voorstel.</w:t>
            </w:r>
          </w:p>
          <w:p w:rsidRPr="00FB71BA" w:rsidR="002C7350" w:rsidP="008C5955" w:rsidRDefault="002C7350" w14:paraId="384579FC"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lastRenderedPageBreak/>
              <w:t>kabinetsappreciatie (‘BNC-fiche’) komt voor aangekondigde subsidiariteitstoetsen binnen drie weken t.b.v. een snelle behandeling.</w:t>
            </w:r>
          </w:p>
          <w:p w:rsidRPr="00FB71BA" w:rsidR="002C7350" w:rsidP="008C5955" w:rsidRDefault="002C7350" w14:paraId="5C659C80"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 xml:space="preserve">met andere parlementen in overleg treden t.b.v. behalen meerderheid voor ’gele kaart’ (1/3 stemmen) via parlementaire vertegenwoordiging en/of fractielijnen. </w:t>
            </w:r>
          </w:p>
        </w:tc>
      </w:tr>
      <w:tr w:rsidRPr="00FB71BA" w:rsidR="002C7350" w:rsidTr="008C5955" w14:paraId="77D78B64" w14:textId="77777777">
        <w:tc>
          <w:tcPr>
            <w:tcW w:w="2093" w:type="dxa"/>
          </w:tcPr>
          <w:p w:rsidRPr="00FB71BA" w:rsidR="002C7350" w:rsidP="008C5955" w:rsidRDefault="002C7350" w14:paraId="2CA66AD8" w14:textId="77777777">
            <w:pPr>
              <w:pStyle w:val="Voetnoottekst"/>
              <w:rPr>
                <w:rFonts w:asciiTheme="minorHAnsi" w:hAnsiTheme="minorHAnsi"/>
                <w:sz w:val="22"/>
                <w:szCs w:val="22"/>
              </w:rPr>
            </w:pPr>
            <w:r w:rsidRPr="00FB71BA">
              <w:rPr>
                <w:rFonts w:asciiTheme="minorHAnsi" w:hAnsiTheme="minorHAnsi"/>
                <w:sz w:val="22"/>
                <w:szCs w:val="22"/>
              </w:rPr>
              <w:lastRenderedPageBreak/>
              <w:t>Behandel-voorbehoud (richting regering)</w:t>
            </w:r>
          </w:p>
        </w:tc>
        <w:tc>
          <w:tcPr>
            <w:tcW w:w="6946" w:type="dxa"/>
          </w:tcPr>
          <w:p w:rsidRPr="00FB71BA" w:rsidR="002C7350" w:rsidP="008C5955" w:rsidRDefault="002C7350" w14:paraId="075DBAE9" w14:textId="77777777">
            <w:pPr>
              <w:pStyle w:val="Lijstalinea"/>
              <w:ind w:left="34"/>
              <w:rPr>
                <w:rFonts w:asciiTheme="minorHAnsi" w:hAnsiTheme="minorHAnsi"/>
                <w:sz w:val="22"/>
                <w:szCs w:val="22"/>
              </w:rPr>
            </w:pPr>
            <w:r w:rsidRPr="00FB71BA">
              <w:rPr>
                <w:rFonts w:asciiTheme="minorHAnsi" w:hAnsiTheme="minorHAnsi"/>
                <w:sz w:val="22"/>
                <w:szCs w:val="22"/>
              </w:rPr>
              <w:t xml:space="preserve">Zodra de Europese Commissie een wetgevend voorstel heeft gepresenteerd, kan de Kamer binnen 8 weken 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informatieverstrekking door het kabinet aan de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Pr="00FB71BA" w:rsidR="002C7350" w:rsidP="008C5955" w:rsidRDefault="002C7350" w14:paraId="31D83956"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bij wetgevende EU-voorstellen kan een commissie besluiten tot het uitvoeren van een zgn. ‘behandelvoorbehoud’. Over deze brief moet plenair gestemd worden (let op de termijnen).</w:t>
            </w:r>
          </w:p>
          <w:p w:rsidRPr="00FB71BA" w:rsidR="002C7350" w:rsidP="008C5955" w:rsidRDefault="002C7350" w14:paraId="4F1C7707"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tijdens een speciaal overleg kan de commissie afspraken maken over informatieverstrekking (bv. in kwartaalrapportages) zolang het desbetreffende dossier in onderhandeling is.</w:t>
            </w:r>
          </w:p>
          <w:p w:rsidRPr="00FB71BA" w:rsidR="002C7350" w:rsidP="008C5955" w:rsidRDefault="002C7350" w14:paraId="120F18C5" w14:textId="77777777">
            <w:pPr>
              <w:pStyle w:val="Voetnoottekst"/>
              <w:numPr>
                <w:ilvl w:val="0"/>
                <w:numId w:val="1"/>
              </w:numPr>
              <w:rPr>
                <w:rFonts w:asciiTheme="minorHAnsi" w:hAnsiTheme="minorHAnsi"/>
                <w:sz w:val="22"/>
                <w:szCs w:val="22"/>
              </w:rPr>
            </w:pPr>
            <w:r w:rsidRPr="00FB71BA">
              <w:rPr>
                <w:rFonts w:asciiTheme="minorHAnsi" w:hAnsiTheme="minorHAnsi"/>
                <w:sz w:val="22"/>
                <w:szCs w:val="22"/>
              </w:rPr>
              <w:t>kabinetsappreciatie (‘BNC-fiche’) komt voor aangekondigde behandelvoorbehouden binnen drie weken t.b.v. een snelle behandeling.</w:t>
            </w:r>
          </w:p>
          <w:p w:rsidRPr="00FB71BA" w:rsidR="002C7350" w:rsidP="008C5955" w:rsidRDefault="002C7350" w14:paraId="6835ED25" w14:textId="77777777">
            <w:pPr>
              <w:pStyle w:val="Voetnoottekst"/>
              <w:rPr>
                <w:rFonts w:asciiTheme="minorHAnsi" w:hAnsiTheme="minorHAnsi"/>
                <w:sz w:val="22"/>
                <w:szCs w:val="22"/>
              </w:rPr>
            </w:pPr>
          </w:p>
        </w:tc>
      </w:tr>
    </w:tbl>
    <w:p w:rsidRPr="00FB71BA" w:rsidR="002C7350" w:rsidP="002C7350" w:rsidRDefault="002C7350" w14:paraId="230B6B33" w14:textId="77777777">
      <w:pPr>
        <w:rPr>
          <w:rFonts w:asciiTheme="minorHAnsi" w:hAnsiTheme="minorHAnsi"/>
          <w:sz w:val="22"/>
          <w:szCs w:val="22"/>
        </w:rPr>
      </w:pPr>
    </w:p>
    <w:p w:rsidRPr="00FB71BA" w:rsidR="002C7350" w:rsidP="002C7350" w:rsidRDefault="002C7350" w14:paraId="081C3E5A" w14:textId="77777777">
      <w:pPr>
        <w:rPr>
          <w:rFonts w:asciiTheme="minorHAnsi" w:hAnsiTheme="minorHAnsi"/>
          <w:sz w:val="22"/>
          <w:szCs w:val="22"/>
        </w:rPr>
      </w:pPr>
    </w:p>
    <w:p w:rsidRPr="00FB71BA" w:rsidR="002C7350" w:rsidP="002C7350" w:rsidRDefault="002C7350" w14:paraId="3E90A65D" w14:textId="77777777">
      <w:pPr>
        <w:rPr>
          <w:rFonts w:asciiTheme="minorHAnsi" w:hAnsiTheme="minorHAnsi"/>
          <w:sz w:val="22"/>
          <w:szCs w:val="22"/>
        </w:rPr>
      </w:pPr>
    </w:p>
    <w:p w:rsidR="002C7350" w:rsidP="002C7350" w:rsidRDefault="002C7350" w14:paraId="4E4B02F2" w14:textId="77777777"/>
    <w:p w:rsidR="002C7350" w:rsidP="002C7350" w:rsidRDefault="002C7350" w14:paraId="2EBCCA7E" w14:textId="77777777"/>
    <w:p w:rsidR="002C7350" w:rsidP="002C7350" w:rsidRDefault="002C7350" w14:paraId="1BB10FAE" w14:textId="77777777"/>
    <w:p w:rsidR="002C7350" w:rsidP="002C7350" w:rsidRDefault="002C7350" w14:paraId="72B339C2" w14:textId="77777777"/>
    <w:p w:rsidR="009C6562" w:rsidRDefault="009C6562" w14:paraId="60BBC67A" w14:textId="77777777"/>
    <w:sectPr w:rsidR="009C6562" w:rsidSect="000024F4">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841F5" w14:textId="77777777" w:rsidR="00022BE9" w:rsidRDefault="00022BE9" w:rsidP="002C7350">
      <w:r>
        <w:separator/>
      </w:r>
    </w:p>
  </w:endnote>
  <w:endnote w:type="continuationSeparator" w:id="0">
    <w:p w14:paraId="3B103211" w14:textId="77777777" w:rsidR="00022BE9" w:rsidRDefault="00022BE9" w:rsidP="002C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BA3207" w14:textId="77777777" w:rsidR="00022BE9" w:rsidRDefault="00022BE9" w:rsidP="002C7350">
      <w:r>
        <w:separator/>
      </w:r>
    </w:p>
  </w:footnote>
  <w:footnote w:type="continuationSeparator" w:id="0">
    <w:p w14:paraId="63C378A5" w14:textId="77777777" w:rsidR="00022BE9" w:rsidRDefault="00022BE9" w:rsidP="002C7350">
      <w:r>
        <w:continuationSeparator/>
      </w:r>
    </w:p>
  </w:footnote>
  <w:footnote w:id="1">
    <w:p w14:paraId="6A2897A7" w14:textId="77777777" w:rsidR="002C7350" w:rsidRPr="00B45904" w:rsidRDefault="002C7350" w:rsidP="002C7350">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2731134"/>
    <w:multiLevelType w:val="hybridMultilevel"/>
    <w:tmpl w:val="4F72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350"/>
    <w:rsid w:val="00022BE9"/>
    <w:rsid w:val="0005606A"/>
    <w:rsid w:val="000D3272"/>
    <w:rsid w:val="0011174C"/>
    <w:rsid w:val="002C7350"/>
    <w:rsid w:val="0040373A"/>
    <w:rsid w:val="00433D6E"/>
    <w:rsid w:val="005D65A7"/>
    <w:rsid w:val="00713EE2"/>
    <w:rsid w:val="009C6562"/>
    <w:rsid w:val="00A25A94"/>
    <w:rsid w:val="00B93DD3"/>
    <w:rsid w:val="00CB647E"/>
    <w:rsid w:val="00E0209B"/>
    <w:rsid w:val="00E347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1F4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C7350"/>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2C7350"/>
    <w:rPr>
      <w:color w:val="0000FF"/>
      <w:u w:val="single"/>
    </w:rPr>
  </w:style>
  <w:style w:type="character" w:styleId="Zwaar">
    <w:name w:val="Strong"/>
    <w:basedOn w:val="Standaardalinea-lettertype"/>
    <w:uiPriority w:val="22"/>
    <w:qFormat/>
    <w:rsid w:val="002C7350"/>
    <w:rPr>
      <w:b/>
      <w:bCs/>
    </w:rPr>
  </w:style>
  <w:style w:type="paragraph" w:styleId="Voetnoottekst">
    <w:name w:val="footnote text"/>
    <w:basedOn w:val="Standaard"/>
    <w:link w:val="VoetnoottekstChar"/>
    <w:rsid w:val="002C7350"/>
    <w:rPr>
      <w:sz w:val="20"/>
      <w:szCs w:val="20"/>
    </w:rPr>
  </w:style>
  <w:style w:type="character" w:customStyle="1" w:styleId="VoetnoottekstChar">
    <w:name w:val="Voetnoottekst Char"/>
    <w:basedOn w:val="Standaardalinea-lettertype"/>
    <w:link w:val="Voetnoottekst"/>
    <w:rsid w:val="002C7350"/>
  </w:style>
  <w:style w:type="table" w:styleId="Tabelraster">
    <w:name w:val="Table Grid"/>
    <w:basedOn w:val="Standaardtabel"/>
    <w:rsid w:val="002C73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2C7350"/>
    <w:pPr>
      <w:ind w:left="720"/>
    </w:pPr>
    <w:rPr>
      <w:rFonts w:eastAsiaTheme="minorHAnsi"/>
    </w:rPr>
  </w:style>
  <w:style w:type="character" w:styleId="Voetnootmarkering">
    <w:name w:val="footnote reference"/>
    <w:basedOn w:val="Standaardalinea-lettertype"/>
    <w:uiPriority w:val="99"/>
    <w:rsid w:val="002C7350"/>
    <w:rPr>
      <w:vertAlign w:val="superscript"/>
    </w:rPr>
  </w:style>
  <w:style w:type="paragraph" w:styleId="Ballontekst">
    <w:name w:val="Balloon Text"/>
    <w:basedOn w:val="Standaard"/>
    <w:link w:val="BallontekstChar"/>
    <w:rsid w:val="00B93DD3"/>
    <w:rPr>
      <w:rFonts w:ascii="Tahoma" w:hAnsi="Tahoma" w:cs="Tahoma"/>
      <w:sz w:val="16"/>
      <w:szCs w:val="16"/>
    </w:rPr>
  </w:style>
  <w:style w:type="character" w:customStyle="1" w:styleId="BallontekstChar">
    <w:name w:val="Ballontekst Char"/>
    <w:basedOn w:val="Standaardalinea-lettertype"/>
    <w:link w:val="Ballontekst"/>
    <w:rsid w:val="00B93D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319948">
      <w:bodyDiv w:val="1"/>
      <w:marLeft w:val="0"/>
      <w:marRight w:val="0"/>
      <w:marTop w:val="0"/>
      <w:marBottom w:val="0"/>
      <w:divBdr>
        <w:top w:val="none" w:sz="0" w:space="0" w:color="auto"/>
        <w:left w:val="none" w:sz="0" w:space="0" w:color="auto"/>
        <w:bottom w:val="none" w:sz="0" w:space="0" w:color="auto"/>
        <w:right w:val="none" w:sz="0" w:space="0" w:color="auto"/>
      </w:divBdr>
    </w:div>
    <w:div w:id="9539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ec.europa.eu/yourvoice/consultations/index_nl.htm" TargetMode="External" Id="rId13" /><Relationship Type="http://schemas.openxmlformats.org/officeDocument/2006/relationships/settings" Target="settings.xml" Id="rId7"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2" /><Relationship Type="http://schemas.microsoft.com/office/2007/relationships/stylesWithEffects" Target="stylesWithEffects.xml" Id="rId6" /><Relationship Type="http://schemas.openxmlformats.org/officeDocument/2006/relationships/hyperlink" Target="http://www.ipex.eu/IPEXL-WEB/dossier/document/COM20180548.do" TargetMode="Externa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2444</ap:Words>
  <ap:Characters>13443</ap:Characters>
  <ap:DocSecurity>0</ap:DocSecurity>
  <ap:Lines>112</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15856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2018-05-31T13:47:00.0000000Z</lastPrinted>
  <dcterms:created xsi:type="dcterms:W3CDTF">2018-09-06T08:53:00.0000000Z</dcterms:created>
  <dcterms:modified xsi:type="dcterms:W3CDTF">2018-09-06T08:55:00.0000000Z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0x0101004678F9D84384DC468B23A379E5E14FE5</vt:lpwstr>
  </property>
</Properties>
</file>