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w:t>
      </w:r>
      <w:r w:rsidRPr="00FC58C4">
        <w:rPr>
          <w:rFonts w:asciiTheme="minorHAnsi" w:hAnsiTheme="minorHAnsi"/>
          <w:sz w:val="22"/>
          <w:szCs w:val="22"/>
          <w:u w:val="single"/>
        </w:rPr>
        <w:t>overzicht met nieuw gepubliceerde EU-voorstellen we</w:t>
      </w:r>
      <w:r w:rsidRPr="00FC58C4" w:rsidR="005129ED">
        <w:rPr>
          <w:rFonts w:asciiTheme="minorHAnsi" w:hAnsiTheme="minorHAnsi"/>
          <w:sz w:val="22"/>
          <w:szCs w:val="22"/>
          <w:u w:val="single"/>
        </w:rPr>
        <w:t>ek</w:t>
      </w:r>
      <w:r w:rsidRPr="00FC58C4">
        <w:rPr>
          <w:rFonts w:asciiTheme="minorHAnsi" w:hAnsiTheme="minorHAnsi"/>
          <w:sz w:val="22"/>
          <w:szCs w:val="22"/>
          <w:u w:val="single"/>
        </w:rPr>
        <w:t xml:space="preserve"> </w:t>
      </w:r>
      <w:r w:rsidRPr="00BB2FE9" w:rsidR="006F6460">
        <w:rPr>
          <w:rFonts w:asciiTheme="minorHAnsi" w:hAnsiTheme="minorHAnsi"/>
          <w:sz w:val="22"/>
          <w:szCs w:val="22"/>
          <w:u w:val="single"/>
        </w:rPr>
        <w:t>2</w:t>
      </w:r>
      <w:r w:rsidR="000C5275">
        <w:rPr>
          <w:rFonts w:asciiTheme="minorHAnsi" w:hAnsiTheme="minorHAnsi"/>
          <w:sz w:val="22"/>
          <w:szCs w:val="22"/>
          <w:u w:val="single"/>
        </w:rPr>
        <w:t>5</w:t>
      </w:r>
      <w:r w:rsidRPr="00BB2FE9" w:rsidR="00510EEC">
        <w:rPr>
          <w:rFonts w:asciiTheme="minorHAnsi" w:hAnsiTheme="minorHAnsi"/>
          <w:sz w:val="22"/>
          <w:szCs w:val="22"/>
          <w:u w:val="single"/>
        </w:rPr>
        <w:t>-</w:t>
      </w:r>
      <w:r w:rsidR="00123491">
        <w:rPr>
          <w:rFonts w:asciiTheme="minorHAnsi" w:hAnsiTheme="minorHAnsi"/>
          <w:sz w:val="22"/>
          <w:szCs w:val="22"/>
          <w:u w:val="single"/>
        </w:rPr>
        <w:t>34</w:t>
      </w:r>
      <w:r w:rsidRPr="00BB2FE9" w:rsidR="00F60A6F">
        <w:rPr>
          <w:rFonts w:asciiTheme="minorHAnsi" w:hAnsiTheme="minorHAnsi"/>
          <w:sz w:val="22"/>
          <w:szCs w:val="22"/>
          <w:u w:val="single"/>
        </w:rPr>
        <w:t xml:space="preserve"> </w:t>
      </w:r>
      <w:r w:rsidRPr="00BB2FE9">
        <w:rPr>
          <w:rFonts w:asciiTheme="minorHAnsi" w:hAnsiTheme="minorHAnsi"/>
          <w:sz w:val="22"/>
          <w:szCs w:val="22"/>
          <w:u w:val="single"/>
        </w:rPr>
        <w:t>(</w:t>
      </w:r>
      <w:r w:rsidR="000C5275">
        <w:rPr>
          <w:rFonts w:asciiTheme="minorHAnsi" w:hAnsiTheme="minorHAnsi"/>
          <w:sz w:val="22"/>
          <w:szCs w:val="22"/>
          <w:u w:val="single"/>
        </w:rPr>
        <w:t>14 juni</w:t>
      </w:r>
      <w:r w:rsidRPr="00BB2FE9" w:rsidR="002D59FF">
        <w:rPr>
          <w:rFonts w:asciiTheme="minorHAnsi" w:hAnsiTheme="minorHAnsi"/>
          <w:sz w:val="22"/>
          <w:szCs w:val="22"/>
          <w:u w:val="single"/>
        </w:rPr>
        <w:t xml:space="preserve"> </w:t>
      </w:r>
      <w:r w:rsidRPr="00BB2FE9" w:rsidR="00181863">
        <w:rPr>
          <w:rFonts w:asciiTheme="minorHAnsi" w:hAnsiTheme="minorHAnsi"/>
          <w:sz w:val="22"/>
          <w:szCs w:val="22"/>
          <w:u w:val="single"/>
        </w:rPr>
        <w:t>2018</w:t>
      </w:r>
      <w:r w:rsidRPr="00BB2FE9" w:rsidR="00A74B8F">
        <w:rPr>
          <w:rFonts w:asciiTheme="minorHAnsi" w:hAnsiTheme="minorHAnsi"/>
          <w:sz w:val="22"/>
          <w:szCs w:val="22"/>
          <w:u w:val="single"/>
        </w:rPr>
        <w:t xml:space="preserve"> t/m </w:t>
      </w:r>
      <w:r w:rsidR="00123491">
        <w:rPr>
          <w:rFonts w:asciiTheme="minorHAnsi" w:hAnsiTheme="minorHAnsi"/>
          <w:sz w:val="22"/>
          <w:szCs w:val="22"/>
          <w:u w:val="single"/>
        </w:rPr>
        <w:t>23 augustus</w:t>
      </w:r>
      <w:r w:rsidRPr="00BB2FE9" w:rsidR="00510EEC">
        <w:rPr>
          <w:rFonts w:asciiTheme="minorHAnsi" w:hAnsiTheme="minorHAnsi"/>
          <w:sz w:val="22"/>
          <w:szCs w:val="22"/>
          <w:u w:val="single"/>
        </w:rPr>
        <w:t xml:space="preserve"> 2018</w:t>
      </w:r>
      <w:r w:rsidRPr="00BB2FE9">
        <w:rPr>
          <w:rFonts w:asciiTheme="minorHAnsi" w:hAnsiTheme="minorHAnsi"/>
          <w:sz w:val="22"/>
          <w:szCs w:val="22"/>
          <w:u w:val="single"/>
        </w:rPr>
        <w:t xml:space="preserve">) d.d. </w:t>
      </w:r>
      <w:r w:rsidR="000C5275">
        <w:rPr>
          <w:rFonts w:asciiTheme="minorHAnsi" w:hAnsiTheme="minorHAnsi"/>
          <w:sz w:val="22"/>
          <w:szCs w:val="22"/>
          <w:u w:val="single"/>
        </w:rPr>
        <w:t>23 augustus</w:t>
      </w:r>
      <w:r w:rsidRPr="00BB2FE9" w:rsidR="00DD508D">
        <w:rPr>
          <w:rFonts w:asciiTheme="minorHAnsi" w:hAnsiTheme="minorHAnsi"/>
          <w:sz w:val="22"/>
          <w:szCs w:val="22"/>
          <w:u w:val="single"/>
        </w:rPr>
        <w:t xml:space="preserve"> </w:t>
      </w:r>
      <w:r w:rsidRPr="00BB2FE9" w:rsidR="00A93A28">
        <w:rPr>
          <w:rFonts w:asciiTheme="minorHAnsi" w:hAnsiTheme="minorHAnsi"/>
          <w:sz w:val="22"/>
          <w:szCs w:val="22"/>
          <w:u w:val="single"/>
        </w:rPr>
        <w:t>2018</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 xml:space="preserve">Rood gemarkeerd betekent dat het desbetreffende EU-voorstel behoort tot een door de commissie als </w:t>
      </w:r>
      <w:proofErr w:type="gramStart"/>
      <w:r w:rsidRPr="00FD013F">
        <w:rPr>
          <w:rFonts w:asciiTheme="minorHAnsi" w:hAnsiTheme="minorHAnsi"/>
          <w:sz w:val="22"/>
          <w:szCs w:val="22"/>
        </w:rPr>
        <w:t>prioritair</w:t>
      </w:r>
      <w:proofErr w:type="gramEnd"/>
      <w:r w:rsidRPr="00FD013F">
        <w:rPr>
          <w:rFonts w:asciiTheme="minorHAnsi" w:hAnsiTheme="minorHAnsi"/>
          <w:sz w:val="22"/>
          <w:szCs w:val="22"/>
        </w:rPr>
        <w:t xml:space="preserve">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6F6460">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proofErr w:type="gramStart"/>
            <w:r w:rsidRPr="00F67F5B">
              <w:rPr>
                <w:rFonts w:asciiTheme="minorHAnsi" w:hAnsiTheme="minorHAnsi"/>
                <w:b/>
                <w:bCs/>
                <w:color w:val="000000"/>
                <w:sz w:val="22"/>
                <w:szCs w:val="22"/>
              </w:rPr>
              <w:t>Voortouw</w:t>
            </w:r>
            <w:proofErr w:type="gramEnd"/>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6F6460">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280DE1" w:rsidTr="00280DE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P="00280DE1" w:rsidRDefault="00280DE1">
            <w:pPr>
              <w:jc w:val="center"/>
              <w:rPr>
                <w:rFonts w:ascii="Calibri" w:hAnsi="Calibri"/>
                <w:color w:val="000000"/>
                <w:sz w:val="22"/>
                <w:szCs w:val="22"/>
              </w:rPr>
            </w:pPr>
            <w:r>
              <w:rPr>
                <w:rFonts w:ascii="Calibri" w:hAnsi="Calibri"/>
                <w:color w:val="000000"/>
                <w:sz w:val="22"/>
                <w:szCs w:val="22"/>
              </w:rPr>
              <w:t>13-jul-18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P="00280DE1" w:rsidRDefault="00280DE1">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P="00280DE1" w:rsidRDefault="00280DE1">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280DE1" w:rsidR="00280DE1" w:rsidRDefault="00280DE1">
            <w:pPr>
              <w:rPr>
                <w:rFonts w:ascii="Calibri" w:hAnsi="Calibri"/>
                <w:color w:val="000000"/>
                <w:sz w:val="22"/>
                <w:szCs w:val="22"/>
                <w:lang w:val="en-GB"/>
              </w:rPr>
            </w:pPr>
            <w:r w:rsidRPr="00280DE1">
              <w:rPr>
                <w:rFonts w:ascii="Calibri" w:hAnsi="Calibri"/>
                <w:color w:val="000000"/>
                <w:sz w:val="22"/>
                <w:szCs w:val="22"/>
                <w:lang w:val="en-GB"/>
              </w:rPr>
              <w:t>Public consultation on the Evaluation of the Urban Waste Water Treatment Directive</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RDefault="00820FD5">
            <w:pPr>
              <w:jc w:val="center"/>
              <w:rPr>
                <w:rFonts w:ascii="Calibri" w:hAnsi="Calibri"/>
                <w:color w:val="0000FF"/>
                <w:sz w:val="22"/>
                <w:szCs w:val="22"/>
                <w:u w:val="single"/>
              </w:rPr>
            </w:pPr>
            <w:hyperlink w:history="1" r:id="rId9">
              <w:r w:rsidR="00280DE1">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280DE1" w:rsidP="00280DE1" w:rsidRDefault="00280DE1">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280DE1" w:rsidP="00280DE1" w:rsidRDefault="00280DE1">
            <w:pPr>
              <w:rPr>
                <w:rFonts w:ascii="Calibri" w:hAnsi="Calibri"/>
                <w:color w:val="000000"/>
                <w:sz w:val="22"/>
                <w:szCs w:val="22"/>
              </w:rPr>
            </w:pPr>
            <w:r w:rsidRPr="00280DE1">
              <w:rPr>
                <w:rFonts w:ascii="Calibri" w:hAnsi="Calibri"/>
                <w:color w:val="000000"/>
                <w:sz w:val="22"/>
                <w:szCs w:val="22"/>
                <w:u w:val="single"/>
              </w:rPr>
              <w:t>Behandelvoorstel</w:t>
            </w:r>
            <w:r>
              <w:rPr>
                <w:rFonts w:ascii="Calibri" w:hAnsi="Calibri"/>
                <w:color w:val="000000"/>
                <w:sz w:val="22"/>
                <w:szCs w:val="22"/>
              </w:rPr>
              <w:t>: Ter informatie.</w:t>
            </w:r>
          </w:p>
          <w:p w:rsidR="00280DE1" w:rsidP="00280DE1" w:rsidRDefault="00280DE1">
            <w:pPr>
              <w:rPr>
                <w:rFonts w:ascii="Calibri" w:hAnsi="Calibri"/>
                <w:color w:val="000000"/>
                <w:sz w:val="22"/>
                <w:szCs w:val="22"/>
              </w:rPr>
            </w:pPr>
          </w:p>
          <w:p w:rsidR="00280DE1" w:rsidP="00280DE1" w:rsidRDefault="00280DE1">
            <w:pPr>
              <w:rPr>
                <w:rFonts w:ascii="Calibri" w:hAnsi="Calibri"/>
                <w:color w:val="000000"/>
                <w:sz w:val="22"/>
                <w:szCs w:val="22"/>
              </w:rPr>
            </w:pPr>
            <w:r>
              <w:rPr>
                <w:rFonts w:ascii="Calibri" w:hAnsi="Calibri"/>
                <w:color w:val="000000"/>
                <w:sz w:val="22"/>
                <w:szCs w:val="22"/>
              </w:rPr>
              <w:t>Noot: de reactietermijn voor deze raadpleging verloopt op 19 oktober 2018.</w:t>
            </w:r>
          </w:p>
        </w:tc>
      </w:tr>
      <w:tr w:rsidRPr="00931F2B" w:rsidR="00280DE1" w:rsidTr="00280DE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P="00280DE1" w:rsidRDefault="00280DE1">
            <w:pPr>
              <w:jc w:val="center"/>
              <w:rPr>
                <w:rFonts w:ascii="Calibri" w:hAnsi="Calibri"/>
                <w:color w:val="000000"/>
                <w:sz w:val="22"/>
                <w:szCs w:val="22"/>
              </w:rPr>
            </w:pPr>
            <w:r>
              <w:rPr>
                <w:rFonts w:ascii="Calibri" w:hAnsi="Calibri"/>
                <w:color w:val="000000"/>
                <w:sz w:val="22"/>
                <w:szCs w:val="22"/>
              </w:rPr>
              <w:t>2-jul-18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P="00280DE1" w:rsidRDefault="00280DE1">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P="00280DE1" w:rsidRDefault="00280DE1">
            <w:pPr>
              <w:jc w:val="center"/>
              <w:rPr>
                <w:rFonts w:ascii="Calibri" w:hAnsi="Calibri"/>
                <w:color w:val="000000"/>
                <w:sz w:val="22"/>
                <w:szCs w:val="22"/>
              </w:rPr>
            </w:pPr>
            <w:r>
              <w:rPr>
                <w:rFonts w:ascii="Calibri" w:hAnsi="Calibri"/>
                <w:color w:val="000000"/>
                <w:sz w:val="22"/>
                <w:szCs w:val="22"/>
              </w:rPr>
              <w:t>mededeling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280DE1" w:rsidRDefault="00280DE1">
            <w:pPr>
              <w:rPr>
                <w:rFonts w:ascii="Calibri" w:hAnsi="Calibri"/>
                <w:color w:val="000000"/>
                <w:sz w:val="22"/>
                <w:szCs w:val="22"/>
              </w:rPr>
            </w:pPr>
            <w:r>
              <w:rPr>
                <w:rFonts w:ascii="Calibri" w:hAnsi="Calibri"/>
                <w:color w:val="000000"/>
                <w:sz w:val="22"/>
                <w:szCs w:val="22"/>
              </w:rPr>
              <w:t xml:space="preserve">De aanpassing aan de inflatie van de minimumdekkingsbedragen die worden vermeld in Richtlijn 2009/103/EG betreffende de verzekering tegen de wettelijke aansprakelijkheid waartoe de deelneming aan het verkeer van </w:t>
            </w:r>
            <w:proofErr w:type="spellStart"/>
            <w:r>
              <w:rPr>
                <w:rFonts w:ascii="Calibri" w:hAnsi="Calibri"/>
                <w:color w:val="000000"/>
                <w:sz w:val="22"/>
                <w:szCs w:val="22"/>
              </w:rPr>
              <w:t>motorrrijtuigen</w:t>
            </w:r>
            <w:proofErr w:type="spellEnd"/>
            <w:r>
              <w:rPr>
                <w:rFonts w:ascii="Calibri" w:hAnsi="Calibri"/>
                <w:color w:val="000000"/>
                <w:sz w:val="22"/>
                <w:szCs w:val="22"/>
              </w:rPr>
              <w:t xml:space="preserve"> aanleiding kan geven en de controle op de verzekering tegen deze aansprakelijkheid</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80DE1" w:rsidRDefault="00820FD5">
            <w:pPr>
              <w:jc w:val="center"/>
              <w:rPr>
                <w:rFonts w:ascii="Calibri" w:hAnsi="Calibri"/>
                <w:color w:val="0000FF"/>
                <w:sz w:val="22"/>
                <w:szCs w:val="22"/>
                <w:u w:val="single"/>
              </w:rPr>
            </w:pPr>
            <w:hyperlink w:history="1" r:id="rId10">
              <w:r w:rsidR="00280DE1">
                <w:rPr>
                  <w:rStyle w:val="Hyperlink"/>
                  <w:rFonts w:ascii="Calibri" w:hAnsi="Calibri"/>
                  <w:sz w:val="22"/>
                  <w:szCs w:val="22"/>
                </w:rPr>
                <w:t>COM (2018) 504</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280DE1" w:rsidP="00280DE1" w:rsidRDefault="00280DE1">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280DE1" w:rsidP="00280DE1" w:rsidRDefault="00280DE1">
            <w:pPr>
              <w:rPr>
                <w:rFonts w:ascii="Calibri" w:hAnsi="Calibri"/>
                <w:color w:val="000000"/>
                <w:sz w:val="22"/>
                <w:szCs w:val="22"/>
              </w:rPr>
            </w:pPr>
            <w:r w:rsidRPr="00280DE1">
              <w:rPr>
                <w:rFonts w:ascii="Calibri" w:hAnsi="Calibri"/>
                <w:color w:val="000000"/>
                <w:sz w:val="22"/>
                <w:szCs w:val="22"/>
                <w:u w:val="single"/>
              </w:rPr>
              <w:t>Behandelvoorstel</w:t>
            </w:r>
            <w:r>
              <w:rPr>
                <w:rFonts w:ascii="Calibri" w:hAnsi="Calibri"/>
                <w:color w:val="000000"/>
                <w:sz w:val="22"/>
                <w:szCs w:val="22"/>
              </w:rPr>
              <w:t>: BNC-fiche afwachten.</w:t>
            </w:r>
          </w:p>
          <w:p w:rsidRPr="00AD4E0E" w:rsidR="00280DE1" w:rsidP="00F766B3" w:rsidRDefault="00280DE1">
            <w:pPr>
              <w:rPr>
                <w:rFonts w:asciiTheme="minorHAnsi" w:hAnsiTheme="minorHAnsi"/>
                <w:color w:val="000000"/>
                <w:sz w:val="22"/>
                <w:szCs w:val="22"/>
                <w:u w:val="single"/>
              </w:rPr>
            </w:pPr>
          </w:p>
        </w:tc>
      </w:tr>
    </w:tbl>
    <w:p w:rsidR="00BC11B7" w:rsidRDefault="00BC11B7">
      <w:pPr>
        <w:rPr>
          <w:rFonts w:ascii="Verdana" w:hAnsi="Verdana"/>
          <w:b/>
          <w:sz w:val="20"/>
          <w:szCs w:val="20"/>
        </w:rPr>
      </w:pPr>
    </w:p>
    <w:p w:rsidR="00BB2FE9" w:rsidRDefault="00BB2FE9">
      <w:pPr>
        <w:rPr>
          <w:rFonts w:ascii="Verdana" w:hAnsi="Verdana"/>
          <w:b/>
          <w:sz w:val="20"/>
          <w:szCs w:val="20"/>
        </w:rPr>
      </w:pPr>
    </w:p>
    <w:p w:rsidR="00BB2FE9" w:rsidRDefault="00BB2FE9">
      <w:pPr>
        <w:rPr>
          <w:rFonts w:ascii="Verdana" w:hAnsi="Verdana"/>
          <w:b/>
          <w:sz w:val="20"/>
          <w:szCs w:val="20"/>
        </w:rPr>
      </w:pPr>
    </w:p>
    <w:p w:rsidR="00BB2FE9" w:rsidRDefault="00BB2FE9">
      <w:pPr>
        <w:rPr>
          <w:rFonts w:ascii="Verdana" w:hAnsi="Verdana"/>
          <w:b/>
          <w:sz w:val="20"/>
          <w:szCs w:val="20"/>
        </w:rPr>
      </w:pPr>
    </w:p>
    <w:p w:rsidR="00123491" w:rsidP="00D0746E" w:rsidRDefault="00123491">
      <w:pPr>
        <w:rPr>
          <w:rFonts w:ascii="Verdana" w:hAnsi="Verdana"/>
          <w:b/>
          <w:sz w:val="20"/>
          <w:szCs w:val="20"/>
        </w:rPr>
      </w:pP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proofErr w:type="gramStart"/>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w:t>
      </w:r>
      <w:proofErr w:type="gramStart"/>
      <w:r w:rsidRPr="00A32873">
        <w:rPr>
          <w:rFonts w:ascii="Verdana" w:hAnsi="Verdana"/>
          <w:sz w:val="18"/>
          <w:szCs w:val="18"/>
        </w:rPr>
        <w:t>prioritair</w:t>
      </w:r>
      <w:proofErr w:type="gramEnd"/>
      <w:r w:rsidRPr="00A32873">
        <w:rPr>
          <w:rFonts w:ascii="Verdana" w:hAnsi="Verdana"/>
          <w:sz w:val="18"/>
          <w:szCs w:val="18"/>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subsidiariteitstoets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behandelvoorbehoud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w:t>
            </w:r>
            <w:proofErr w:type="gramStart"/>
            <w:r w:rsidRPr="00A32873">
              <w:rPr>
                <w:rFonts w:ascii="Verdana" w:hAnsi="Verdana"/>
                <w:sz w:val="18"/>
                <w:szCs w:val="18"/>
              </w:rPr>
              <w:t>staatssteun</w:t>
            </w:r>
            <w:proofErr w:type="gramEnd"/>
            <w:r w:rsidRPr="00A32873">
              <w:rPr>
                <w:rFonts w:ascii="Verdana" w:hAnsi="Verdana"/>
                <w:sz w:val="18"/>
                <w:szCs w:val="18"/>
              </w:rPr>
              <w:t>)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w:t>
            </w:r>
            <w:proofErr w:type="gramStart"/>
            <w:r w:rsidRPr="00A32873">
              <w:rPr>
                <w:rFonts w:ascii="Verdana" w:hAnsi="Verdana"/>
                <w:sz w:val="18"/>
                <w:szCs w:val="18"/>
              </w:rPr>
              <w:t xml:space="preserve">Veiligheidsbeleid </w:t>
            </w:r>
            <w:r>
              <w:rPr>
                <w:rFonts w:ascii="Verdana" w:hAnsi="Verdana"/>
                <w:sz w:val="18"/>
                <w:szCs w:val="18"/>
              </w:rPr>
              <w:t xml:space="preserve"> </w:t>
            </w:r>
            <w:proofErr w:type="gramEnd"/>
            <w:r>
              <w:rPr>
                <w:rFonts w:ascii="Verdana" w:hAnsi="Verdana"/>
                <w:sz w:val="18"/>
                <w:szCs w:val="18"/>
              </w:rPr>
              <w:t>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A32873">
              <w:rPr>
                <w:rFonts w:ascii="Verdana" w:hAnsi="Verdana"/>
                <w:sz w:val="18"/>
                <w:szCs w:val="18"/>
              </w:rPr>
              <w:t>derhalve</w:t>
            </w:r>
            <w:proofErr w:type="gramEnd"/>
            <w:r w:rsidRPr="00A32873">
              <w:rPr>
                <w:rFonts w:ascii="Verdana" w:hAnsi="Verdana"/>
                <w:sz w:val="18"/>
                <w:szCs w:val="18"/>
              </w:rPr>
              <w:t xml:space="preser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w:t>
            </w:r>
            <w:proofErr w:type="gramStart"/>
            <w:r w:rsidRPr="00A32873">
              <w:rPr>
                <w:rFonts w:ascii="Verdana" w:hAnsi="Verdana"/>
                <w:sz w:val="18"/>
                <w:szCs w:val="18"/>
              </w:rPr>
              <w:t>implementatie</w:t>
            </w:r>
            <w:proofErr w:type="gramEnd"/>
            <w:r w:rsidRPr="00A32873">
              <w:rPr>
                <w:rFonts w:ascii="Verdana" w:hAnsi="Verdana"/>
                <w:sz w:val="18"/>
                <w:szCs w:val="18"/>
              </w:rPr>
              <w:t xml:space="preserv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w:t>
            </w:r>
            <w:proofErr w:type="gramStart"/>
            <w:r w:rsidRPr="0015137B">
              <w:rPr>
                <w:rFonts w:ascii="Verdana" w:hAnsi="Verdana"/>
                <w:sz w:val="18"/>
                <w:szCs w:val="18"/>
              </w:rPr>
              <w:t xml:space="preserve">met  </w:t>
            </w:r>
            <w:proofErr w:type="gramEnd"/>
            <w:r w:rsidRPr="0015137B">
              <w:rPr>
                <w:rFonts w:ascii="Verdana" w:hAnsi="Verdana"/>
                <w:sz w:val="18"/>
                <w:szCs w:val="18"/>
              </w:rPr>
              <w:t xml:space="preserve">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w:t>
            </w:r>
            <w:proofErr w:type="gramStart"/>
            <w:r w:rsidRPr="00EF0FC5">
              <w:rPr>
                <w:rFonts w:ascii="Verdana" w:hAnsi="Verdana"/>
                <w:sz w:val="18"/>
                <w:szCs w:val="18"/>
              </w:rPr>
              <w:t>bevragen</w:t>
            </w:r>
            <w:proofErr w:type="gramEnd"/>
            <w:r w:rsidRPr="00EF0FC5">
              <w:rPr>
                <w:rFonts w:ascii="Verdana" w:hAnsi="Verdana"/>
                <w:sz w:val="18"/>
                <w:szCs w:val="18"/>
              </w:rPr>
              <w:t xml:space="preserve">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proofErr w:type="gramStart"/>
            <w:r>
              <w:rPr>
                <w:rFonts w:ascii="Verdana" w:hAnsi="Verdana"/>
                <w:sz w:val="18"/>
                <w:szCs w:val="18"/>
              </w:rPr>
              <w:t>n</w:t>
            </w:r>
            <w:r w:rsidRPr="00A32873">
              <w:rPr>
                <w:rFonts w:ascii="Verdana" w:hAnsi="Verdana"/>
                <w:sz w:val="18"/>
                <w:szCs w:val="18"/>
              </w:rPr>
              <w:t>ationale</w:t>
            </w:r>
            <w:proofErr w:type="gramEnd"/>
            <w:r w:rsidRPr="00A32873">
              <w:rPr>
                <w:rFonts w:ascii="Verdana" w:hAnsi="Verdana"/>
                <w:sz w:val="18"/>
                <w:szCs w:val="18"/>
              </w:rPr>
              <w:t xml:space="preserv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w:t>
            </w:r>
            <w:proofErr w:type="gramStart"/>
            <w:r w:rsidRPr="00A32873">
              <w:rPr>
                <w:rFonts w:ascii="Verdana" w:hAnsi="Verdana"/>
                <w:sz w:val="18"/>
                <w:szCs w:val="18"/>
              </w:rPr>
              <w:t>soft</w:t>
            </w:r>
            <w:proofErr w:type="gramEnd"/>
            <w:r w:rsidRPr="00A32873">
              <w:rPr>
                <w:rFonts w:ascii="Verdana" w:hAnsi="Verdana"/>
                <w:sz w:val="18"/>
                <w:szCs w:val="18"/>
              </w:rPr>
              <w:t xml:space="preserve">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w:t>
            </w:r>
            <w:proofErr w:type="gramStart"/>
            <w:r w:rsidRPr="00A32873">
              <w:rPr>
                <w:rFonts w:ascii="Verdana" w:hAnsi="Verdana" w:cs="Arial"/>
                <w:sz w:val="18"/>
                <w:szCs w:val="18"/>
              </w:rPr>
              <w:t>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roofErr w:type="gramEnd"/>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Groenboek: een discussiestuk, waarmee de Europese Commissie de stand van zaken inventariseert </w:t>
            </w:r>
            <w:proofErr w:type="gramStart"/>
            <w:r w:rsidRPr="00A32873">
              <w:rPr>
                <w:rFonts w:ascii="Verdana" w:hAnsi="Verdana"/>
                <w:sz w:val="18"/>
                <w:szCs w:val="18"/>
              </w:rPr>
              <w:t>omtrent</w:t>
            </w:r>
            <w:proofErr w:type="gramEnd"/>
            <w:r w:rsidRPr="00A32873">
              <w:rPr>
                <w:rFonts w:ascii="Verdana" w:hAnsi="Verdana"/>
                <w:sz w:val="18"/>
                <w:szCs w:val="18"/>
              </w:rPr>
              <w:t xml:space="preserve">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 xml:space="preserve">reactie op Groen- en Witboeken </w:t>
            </w:r>
            <w:proofErr w:type="gramStart"/>
            <w:r w:rsidRPr="00A32873">
              <w:rPr>
                <w:rFonts w:ascii="Verdana" w:hAnsi="Verdana"/>
                <w:sz w:val="18"/>
                <w:szCs w:val="18"/>
              </w:rPr>
              <w:t>tenminste</w:t>
            </w:r>
            <w:proofErr w:type="gramEnd"/>
            <w:r w:rsidRPr="00A32873">
              <w:rPr>
                <w:rFonts w:ascii="Verdana" w:hAnsi="Verdana"/>
                <w:sz w:val="18"/>
                <w:szCs w:val="18"/>
              </w:rPr>
              <w:t xml:space="preserv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 xml:space="preserve">kabinet verzoeken om de concept-kabinetsreactie naar de Kamer te sturen voordat de definitieve versie naar de Europese Commissie wordt gestuurd, </w:t>
            </w:r>
            <w:proofErr w:type="gramStart"/>
            <w:r w:rsidRPr="00782306">
              <w:rPr>
                <w:rFonts w:ascii="Verdana" w:hAnsi="Verdana"/>
                <w:sz w:val="18"/>
                <w:szCs w:val="18"/>
              </w:rPr>
              <w:t>teneinde</w:t>
            </w:r>
            <w:proofErr w:type="gramEnd"/>
            <w:r w:rsidRPr="00782306">
              <w:rPr>
                <w:rFonts w:ascii="Verdana" w:hAnsi="Verdana"/>
                <w:sz w:val="18"/>
                <w:szCs w:val="18"/>
              </w:rPr>
              <w:t xml:space="preserv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 xml:space="preserve">e Kamer ontvangt </w:t>
            </w:r>
            <w:proofErr w:type="gramStart"/>
            <w:r w:rsidRPr="00782306">
              <w:rPr>
                <w:rFonts w:ascii="Verdana" w:hAnsi="Verdana"/>
                <w:sz w:val="18"/>
                <w:szCs w:val="18"/>
              </w:rPr>
              <w:t>krachtens</w:t>
            </w:r>
            <w:proofErr w:type="gramEnd"/>
            <w:r w:rsidRPr="00782306">
              <w:rPr>
                <w:rFonts w:ascii="Verdana" w:hAnsi="Verdana"/>
                <w:sz w:val="18"/>
                <w:szCs w:val="18"/>
              </w:rPr>
              <w:t xml:space="preserve">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et andere parlementen in overleg treden t.b.v. behalen meerderheid voor ’gele kaart’ (</w:t>
            </w:r>
            <w:proofErr w:type="gramStart"/>
            <w:r w:rsidRPr="00A32873">
              <w:rPr>
                <w:rFonts w:ascii="Verdana" w:hAnsi="Verdana"/>
                <w:sz w:val="18"/>
                <w:szCs w:val="18"/>
              </w:rPr>
              <w:t>1</w:t>
            </w:r>
            <w:proofErr w:type="gramEnd"/>
            <w:r w:rsidRPr="00A32873">
              <w:rPr>
                <w:rFonts w:ascii="Verdana" w:hAnsi="Verdana"/>
                <w:sz w:val="18"/>
                <w:szCs w:val="18"/>
              </w:rPr>
              <w:t xml:space="preserve">/3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 xml:space="preserve">onderhandelingen. De Kamer stelt het kabinet hiervan schriftelijk op de hoogte. Binnen vier weken na dit besluit vindt er een overleg plaats met het kabinet - tot aan dit overleg wordt het kabinet geacht op de onderhandelingen </w:t>
            </w:r>
            <w:proofErr w:type="gramStart"/>
            <w:r w:rsidRPr="00A32873">
              <w:rPr>
                <w:rFonts w:ascii="Verdana" w:hAnsi="Verdana"/>
                <w:sz w:val="18"/>
                <w:szCs w:val="18"/>
              </w:rPr>
              <w:t>inzake</w:t>
            </w:r>
            <w:proofErr w:type="gramEnd"/>
            <w:r w:rsidRPr="00A32873">
              <w:rPr>
                <w:rFonts w:ascii="Verdana" w:hAnsi="Verdana"/>
                <w:sz w:val="18"/>
                <w:szCs w:val="18"/>
              </w:rPr>
              <w:t xml:space="preserv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w:t>
            </w:r>
            <w:proofErr w:type="gramStart"/>
            <w:r w:rsidRPr="00782306">
              <w:rPr>
                <w:rFonts w:ascii="Verdana" w:hAnsi="Verdana"/>
                <w:sz w:val="18"/>
                <w:szCs w:val="18"/>
              </w:rPr>
              <w:t>plenair</w:t>
            </w:r>
            <w:proofErr w:type="gramEnd"/>
            <w:r w:rsidRPr="00782306">
              <w:rPr>
                <w:rFonts w:ascii="Verdana" w:hAnsi="Verdana"/>
                <w:sz w:val="18"/>
                <w:szCs w:val="18"/>
              </w:rPr>
              <w:t xml:space="preserve">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34" w:rsidRDefault="00293A34" w:rsidP="00E34A2D">
      <w:r>
        <w:separator/>
      </w:r>
    </w:p>
  </w:endnote>
  <w:endnote w:type="continuationSeparator" w:id="0">
    <w:p w:rsidR="00293A34" w:rsidRDefault="00293A34"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34" w:rsidRDefault="00293A34" w:rsidP="00E34A2D">
      <w:r>
        <w:separator/>
      </w:r>
    </w:p>
  </w:footnote>
  <w:footnote w:type="continuationSeparator" w:id="0">
    <w:p w:rsidR="00293A34" w:rsidRDefault="00293A34"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C5275"/>
    <w:rsid w:val="000D1E1E"/>
    <w:rsid w:val="000E65C9"/>
    <w:rsid w:val="000F7673"/>
    <w:rsid w:val="00123491"/>
    <w:rsid w:val="001717B9"/>
    <w:rsid w:val="00181863"/>
    <w:rsid w:val="00191F74"/>
    <w:rsid w:val="001E7EC0"/>
    <w:rsid w:val="00200C1D"/>
    <w:rsid w:val="00206E5B"/>
    <w:rsid w:val="00207620"/>
    <w:rsid w:val="00214592"/>
    <w:rsid w:val="00223DF9"/>
    <w:rsid w:val="0022783E"/>
    <w:rsid w:val="0025194F"/>
    <w:rsid w:val="00273611"/>
    <w:rsid w:val="00280DE1"/>
    <w:rsid w:val="00293A34"/>
    <w:rsid w:val="002A1C59"/>
    <w:rsid w:val="002D59FF"/>
    <w:rsid w:val="002D63DE"/>
    <w:rsid w:val="002E6DA8"/>
    <w:rsid w:val="00316C98"/>
    <w:rsid w:val="003510B5"/>
    <w:rsid w:val="00376ACC"/>
    <w:rsid w:val="003776E2"/>
    <w:rsid w:val="003B762C"/>
    <w:rsid w:val="003D4485"/>
    <w:rsid w:val="003E0BCD"/>
    <w:rsid w:val="003E45D0"/>
    <w:rsid w:val="0040455A"/>
    <w:rsid w:val="00420496"/>
    <w:rsid w:val="00420609"/>
    <w:rsid w:val="00435D03"/>
    <w:rsid w:val="0045252E"/>
    <w:rsid w:val="0046641F"/>
    <w:rsid w:val="00473EEE"/>
    <w:rsid w:val="00473F02"/>
    <w:rsid w:val="004C4E53"/>
    <w:rsid w:val="004C5A17"/>
    <w:rsid w:val="004C7A6A"/>
    <w:rsid w:val="004E4562"/>
    <w:rsid w:val="00505AFF"/>
    <w:rsid w:val="00506FCC"/>
    <w:rsid w:val="00507AC9"/>
    <w:rsid w:val="00510EEC"/>
    <w:rsid w:val="005129ED"/>
    <w:rsid w:val="005212C9"/>
    <w:rsid w:val="00545D82"/>
    <w:rsid w:val="00546B1D"/>
    <w:rsid w:val="0059713E"/>
    <w:rsid w:val="005A0456"/>
    <w:rsid w:val="005B7672"/>
    <w:rsid w:val="005C22AC"/>
    <w:rsid w:val="005E0DD1"/>
    <w:rsid w:val="005E30E3"/>
    <w:rsid w:val="00610EE8"/>
    <w:rsid w:val="00622303"/>
    <w:rsid w:val="00622E62"/>
    <w:rsid w:val="00634096"/>
    <w:rsid w:val="00640A4E"/>
    <w:rsid w:val="006605C6"/>
    <w:rsid w:val="00666395"/>
    <w:rsid w:val="006732E8"/>
    <w:rsid w:val="00685915"/>
    <w:rsid w:val="00694BCA"/>
    <w:rsid w:val="00695652"/>
    <w:rsid w:val="006A0D87"/>
    <w:rsid w:val="006B380C"/>
    <w:rsid w:val="006B440C"/>
    <w:rsid w:val="006D4A88"/>
    <w:rsid w:val="006E2751"/>
    <w:rsid w:val="006F2576"/>
    <w:rsid w:val="006F6460"/>
    <w:rsid w:val="00707B33"/>
    <w:rsid w:val="00726889"/>
    <w:rsid w:val="00736970"/>
    <w:rsid w:val="007410C6"/>
    <w:rsid w:val="0074305F"/>
    <w:rsid w:val="007529D4"/>
    <w:rsid w:val="0076598A"/>
    <w:rsid w:val="00777493"/>
    <w:rsid w:val="0078302F"/>
    <w:rsid w:val="00794D5C"/>
    <w:rsid w:val="00796A54"/>
    <w:rsid w:val="007B3194"/>
    <w:rsid w:val="007B34BC"/>
    <w:rsid w:val="007C06EA"/>
    <w:rsid w:val="007D24B1"/>
    <w:rsid w:val="007D40B9"/>
    <w:rsid w:val="007E3D88"/>
    <w:rsid w:val="00811362"/>
    <w:rsid w:val="00820FD5"/>
    <w:rsid w:val="008309FF"/>
    <w:rsid w:val="008E0742"/>
    <w:rsid w:val="008E28F7"/>
    <w:rsid w:val="008E7DE0"/>
    <w:rsid w:val="008F5846"/>
    <w:rsid w:val="00906E1E"/>
    <w:rsid w:val="009160FA"/>
    <w:rsid w:val="00916D21"/>
    <w:rsid w:val="00917FCF"/>
    <w:rsid w:val="0092554C"/>
    <w:rsid w:val="00931F2B"/>
    <w:rsid w:val="009419E4"/>
    <w:rsid w:val="009464F8"/>
    <w:rsid w:val="00964C2E"/>
    <w:rsid w:val="00974103"/>
    <w:rsid w:val="009A0FC6"/>
    <w:rsid w:val="009A4778"/>
    <w:rsid w:val="009B44DE"/>
    <w:rsid w:val="009C388A"/>
    <w:rsid w:val="009D2F9F"/>
    <w:rsid w:val="009E3021"/>
    <w:rsid w:val="00A01356"/>
    <w:rsid w:val="00A137D8"/>
    <w:rsid w:val="00A3314F"/>
    <w:rsid w:val="00A54D1F"/>
    <w:rsid w:val="00A7095F"/>
    <w:rsid w:val="00A74B8F"/>
    <w:rsid w:val="00A90DC2"/>
    <w:rsid w:val="00A93A28"/>
    <w:rsid w:val="00A95F68"/>
    <w:rsid w:val="00AC7F3C"/>
    <w:rsid w:val="00AD2751"/>
    <w:rsid w:val="00AD4E0E"/>
    <w:rsid w:val="00AE5D29"/>
    <w:rsid w:val="00AF3F1D"/>
    <w:rsid w:val="00B06716"/>
    <w:rsid w:val="00B31027"/>
    <w:rsid w:val="00B35E56"/>
    <w:rsid w:val="00B464EB"/>
    <w:rsid w:val="00B46FB7"/>
    <w:rsid w:val="00B76BD3"/>
    <w:rsid w:val="00BB0A70"/>
    <w:rsid w:val="00BB2FE9"/>
    <w:rsid w:val="00BC11B7"/>
    <w:rsid w:val="00BC696D"/>
    <w:rsid w:val="00BF542D"/>
    <w:rsid w:val="00C00CFA"/>
    <w:rsid w:val="00C40D4F"/>
    <w:rsid w:val="00C44C39"/>
    <w:rsid w:val="00C70943"/>
    <w:rsid w:val="00CD2557"/>
    <w:rsid w:val="00CD3A5D"/>
    <w:rsid w:val="00CD43B9"/>
    <w:rsid w:val="00D004FC"/>
    <w:rsid w:val="00D04C69"/>
    <w:rsid w:val="00D0746E"/>
    <w:rsid w:val="00D33133"/>
    <w:rsid w:val="00D51C73"/>
    <w:rsid w:val="00D52CF9"/>
    <w:rsid w:val="00D729AB"/>
    <w:rsid w:val="00D775CA"/>
    <w:rsid w:val="00D9615E"/>
    <w:rsid w:val="00D96C24"/>
    <w:rsid w:val="00DA08F5"/>
    <w:rsid w:val="00DD508D"/>
    <w:rsid w:val="00DE2C83"/>
    <w:rsid w:val="00E048A7"/>
    <w:rsid w:val="00E209EB"/>
    <w:rsid w:val="00E34A2D"/>
    <w:rsid w:val="00E52F23"/>
    <w:rsid w:val="00E60E54"/>
    <w:rsid w:val="00E72B18"/>
    <w:rsid w:val="00E77821"/>
    <w:rsid w:val="00EA2272"/>
    <w:rsid w:val="00EC0FC2"/>
    <w:rsid w:val="00ED40CC"/>
    <w:rsid w:val="00F04FFD"/>
    <w:rsid w:val="00F3194C"/>
    <w:rsid w:val="00F552B9"/>
    <w:rsid w:val="00F60A6F"/>
    <w:rsid w:val="00F74ED7"/>
    <w:rsid w:val="00F766B3"/>
    <w:rsid w:val="00FA15B5"/>
    <w:rsid w:val="00FA27D6"/>
    <w:rsid w:val="00FB2ADB"/>
    <w:rsid w:val="00FB5B27"/>
    <w:rsid w:val="00FC58C4"/>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632201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www.ipex.eu/IPEXL-WEB/dossier/document/COM20180504.do" TargetMode="External" Id="rId10" /><Relationship Type="http://schemas.microsoft.com/office/2007/relationships/stylesWithEffects" Target="stylesWithEffects.xml" Id="rId4" /><Relationship Type="http://schemas.openxmlformats.org/officeDocument/2006/relationships/hyperlink" Target="https://ec.europa.eu/info/consultations/public-consultation-evaluation-urban-waste-water-treatment-directive_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2490</ap:Words>
  <ap:Characters>13699</ap:Characters>
  <ap:DocSecurity>4</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2018-06-07T07:31:00.0000000Z</lastPrinted>
  <dcterms:created xsi:type="dcterms:W3CDTF">2018-08-23T08:51:00.0000000Z</dcterms:created>
  <dcterms:modified xsi:type="dcterms:W3CDTF">2018-08-23T08:51:00.0000000Z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0x0101003750BE45392E19468BC909E13959DEE6</vt:lpwstr>
  </property>
</Properties>
</file>