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activeX/activeX1.xml" ContentType="application/vnd.ms-office.activeX+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74" w:rsidP="00A77274" w:rsidRDefault="00A77274">
      <w:pPr>
        <w:rPr>
          <w:b/>
        </w:rPr>
      </w:pPr>
      <w:r>
        <w:rPr>
          <w:b/>
        </w:rPr>
        <w:t>Bijlage: overzicht van toezeggingen en moties</w:t>
      </w:r>
    </w:p>
    <w:p w:rsidR="00A77274" w:rsidP="00A77274" w:rsidRDefault="00A77274">
      <w:pPr>
        <w:rPr>
          <w:b/>
        </w:rPr>
      </w:pP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toegezegd</w:t>
      </w:r>
      <w:r>
        <w:rPr>
          <w:rStyle w:val="Voetnootmarkering"/>
          <w:rFonts w:ascii="Verdana" w:hAnsi="Verdana"/>
          <w:sz w:val="18"/>
          <w:szCs w:val="18"/>
        </w:rPr>
        <w:footnoteReference w:id="1"/>
      </w:r>
      <w:r>
        <w:rPr>
          <w:rFonts w:ascii="Verdana" w:hAnsi="Verdana"/>
          <w:sz w:val="18"/>
          <w:szCs w:val="18"/>
        </w:rPr>
        <w:t xml:space="preserve"> om in te gaan op de motie van het lid van den Berg cs die inhield […] een commissie van deskundigen voor 1 juli 2018 te laten adviseren over een herinrichting van de kwaliteitsregistraties van de gehele zorg in relatie tot de kosten en resultaten met als uitgangspunt «eenmalig vastleggen, meervoudig gebruik», en daarbij goede voorbeelden uit het binnen- en buitenland te betrekken […]. Het samenstellen van een dergelijke commissie is geborgd in het hoofdlijnenakkoord en opgenomen in het plan.</w:t>
      </w: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toegezegd</w:t>
      </w:r>
      <w:r>
        <w:rPr>
          <w:rStyle w:val="Voetnootmarkering"/>
          <w:rFonts w:ascii="Verdana" w:hAnsi="Verdana"/>
          <w:sz w:val="18"/>
          <w:szCs w:val="18"/>
        </w:rPr>
        <w:footnoteReference w:id="2"/>
      </w:r>
      <w:r>
        <w:rPr>
          <w:rFonts w:ascii="Verdana" w:hAnsi="Verdana"/>
          <w:sz w:val="18"/>
          <w:szCs w:val="18"/>
        </w:rPr>
        <w:t xml:space="preserve"> om terug te komen op de zorg voor ouderen in het ziekenhuis en de nazorg. Dat is integraal onderdeel van deze ontwikkeling en te vinden in de bijlage.</w:t>
      </w: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toegezegd</w:t>
      </w:r>
      <w:r>
        <w:rPr>
          <w:rStyle w:val="Voetnootmarkering"/>
          <w:rFonts w:ascii="Verdana" w:hAnsi="Verdana"/>
          <w:sz w:val="18"/>
          <w:szCs w:val="18"/>
        </w:rPr>
        <w:footnoteReference w:id="3"/>
      </w:r>
      <w:r>
        <w:rPr>
          <w:rFonts w:ascii="Verdana" w:hAnsi="Verdana"/>
          <w:sz w:val="18"/>
          <w:szCs w:val="18"/>
        </w:rPr>
        <w:t xml:space="preserve"> dat de Kamer wordt geïnformeerd over de mogelijkheden voor het Zorginstituut om meerdere behandelingen weer te geven per richtlijn. Dit wordt opgenomen in een aangepast toetsingskader dat naar verwachting juli 2018 zal worden gepubliceerd. </w:t>
      </w: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toegezegd dat de Kamer jaarlijks informatie ontvangt over de voortgang van de aanpak voor het belonen van uitkomsten en samen beslissen, te beginnen met deze brief.</w:t>
      </w:r>
      <w:r>
        <w:rPr>
          <w:rStyle w:val="Voetnootmarkering"/>
          <w:rFonts w:ascii="Verdana" w:hAnsi="Verdana"/>
          <w:sz w:val="18"/>
          <w:szCs w:val="18"/>
        </w:rPr>
        <w:footnoteReference w:id="4"/>
      </w:r>
      <w:r>
        <w:rPr>
          <w:rStyle w:val="Voetnootmarkering"/>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w:t>
      </w: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een taakopdracht toegezegd</w:t>
      </w:r>
      <w:r>
        <w:rPr>
          <w:rStyle w:val="Voetnootmarkering"/>
          <w:rFonts w:ascii="Verdana" w:hAnsi="Verdana"/>
          <w:sz w:val="18"/>
          <w:szCs w:val="18"/>
        </w:rPr>
        <w:footnoteReference w:id="6"/>
      </w:r>
      <w:r>
        <w:rPr>
          <w:rFonts w:ascii="Verdana" w:hAnsi="Verdana"/>
          <w:sz w:val="18"/>
          <w:szCs w:val="18"/>
        </w:rPr>
        <w:t xml:space="preserve"> over value based healthcare ten behoeve van de pilot lerend evalueren. Deze is bijgevoegd als bijlage bij het programmaplan.</w:t>
      </w:r>
    </w:p>
    <w:p w:rsidR="00A77274" w:rsidP="00A77274" w:rsidRDefault="00A77274">
      <w:pPr>
        <w:pStyle w:val="Lijstalinea"/>
        <w:numPr>
          <w:ilvl w:val="0"/>
          <w:numId w:val="1"/>
        </w:numPr>
        <w:rPr>
          <w:rFonts w:ascii="Verdana" w:hAnsi="Verdana"/>
          <w:sz w:val="18"/>
          <w:szCs w:val="18"/>
        </w:rPr>
      </w:pPr>
      <w:r>
        <w:rPr>
          <w:rFonts w:ascii="Verdana" w:hAnsi="Verdana"/>
          <w:sz w:val="18"/>
          <w:szCs w:val="18"/>
        </w:rPr>
        <w:t>Ik heb toegezegd</w:t>
      </w:r>
      <w:r>
        <w:rPr>
          <w:rStyle w:val="Voetnootmarkering"/>
          <w:rFonts w:ascii="Verdana" w:hAnsi="Verdana"/>
          <w:sz w:val="18"/>
          <w:szCs w:val="18"/>
        </w:rPr>
        <w:footnoteReference w:id="7"/>
      </w:r>
      <w:r>
        <w:rPr>
          <w:rFonts w:ascii="Verdana" w:hAnsi="Verdana"/>
          <w:sz w:val="18"/>
          <w:szCs w:val="18"/>
        </w:rPr>
        <w:t xml:space="preserve"> dat - wanneer de voortgang daartoe aanleiding geeft – ik u zal informeren over de potentie van algemene indicatoren voor meer transparantie zonder toename van de administratieve lasten. In het bijgevoegde programmaplan is daartoe opgenomen dat wordt onderzocht hoe data uit bestaande bronnen kan worden hergebruikt.</w:t>
      </w:r>
    </w:p>
    <w:p w:rsidR="000F6FB9" w:rsidRDefault="00B35A0D"/>
    <w:sectPr w:rsidR="000F6FB9" w:rsidSect="009E58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74" w:rsidRDefault="00A77274" w:rsidP="00A77274">
      <w:pPr>
        <w:spacing w:line="240" w:lineRule="auto"/>
      </w:pPr>
      <w:r>
        <w:separator/>
      </w:r>
    </w:p>
  </w:endnote>
  <w:endnote w:type="continuationSeparator" w:id="0">
    <w:p w:rsidR="00A77274" w:rsidRDefault="00A77274" w:rsidP="00A772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74" w:rsidRDefault="00A77274" w:rsidP="00A77274">
      <w:pPr>
        <w:spacing w:line="240" w:lineRule="auto"/>
      </w:pPr>
      <w:r>
        <w:separator/>
      </w:r>
    </w:p>
  </w:footnote>
  <w:footnote w:type="continuationSeparator" w:id="0">
    <w:p w:rsidR="00A77274" w:rsidRDefault="00A77274" w:rsidP="00A77274">
      <w:pPr>
        <w:spacing w:line="240" w:lineRule="auto"/>
      </w:pPr>
      <w:r>
        <w:continuationSeparator/>
      </w:r>
    </w:p>
  </w:footnote>
  <w:footnote w:id="1">
    <w:p w:rsidR="00A77274" w:rsidRDefault="00A77274" w:rsidP="00A772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TK 34 775 XVI - 78</w:t>
      </w:r>
    </w:p>
  </w:footnote>
  <w:footnote w:id="2">
    <w:p w:rsidR="00A77274" w:rsidRDefault="00A77274" w:rsidP="00A772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Toezegging 7439, AO Kwaliteitszorg 21 december 2017</w:t>
      </w:r>
    </w:p>
  </w:footnote>
  <w:footnote w:id="3">
    <w:p w:rsidR="00A77274" w:rsidRDefault="00A77274" w:rsidP="00A772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Toezegging 7443, AO Kwaliteitszorg 21 december 2017</w:t>
      </w:r>
    </w:p>
  </w:footnote>
  <w:footnote w:id="4">
    <w:p w:rsidR="00A77274" w:rsidRDefault="00A77274" w:rsidP="00A772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Toezegging 7436, AO Kwaliteitszorg 21 december 2017</w:t>
      </w:r>
    </w:p>
  </w:footnote>
  <w:footnote w:id="5">
    <w:p w:rsidR="00A77274" w:rsidRDefault="00A77274" w:rsidP="00A772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Toezegging 7357 en 7624,  AO Kwaliteitszorg 21 december 2017</w:t>
      </w:r>
    </w:p>
  </w:footnote>
  <w:footnote w:id="6">
    <w:p w:rsidR="00A77274" w:rsidRDefault="00A77274" w:rsidP="00A77274">
      <w:pPr>
        <w:pStyle w:val="Voetnoottekst"/>
      </w:pPr>
      <w:r>
        <w:rPr>
          <w:rStyle w:val="Voetnootmarkering"/>
          <w:rFonts w:ascii="Verdana" w:hAnsi="Verdana"/>
          <w:sz w:val="16"/>
          <w:szCs w:val="16"/>
        </w:rPr>
        <w:footnoteRef/>
      </w:r>
      <w:r>
        <w:rPr>
          <w:rFonts w:ascii="Verdana" w:hAnsi="Verdana"/>
          <w:sz w:val="16"/>
          <w:szCs w:val="16"/>
        </w:rPr>
        <w:t xml:space="preserve"> Toezegging 7520, in Kamerstukken 31865-108, 31865-99</w:t>
      </w:r>
    </w:p>
  </w:footnote>
  <w:footnote w:id="7">
    <w:tbl>
      <w:tblPr>
        <w:tblW w:w="0" w:type="auto"/>
        <w:tblCellSpacing w:w="15" w:type="dxa"/>
        <w:tblLook w:val="04A0"/>
      </w:tblPr>
      <w:tblGrid>
        <w:gridCol w:w="4975"/>
      </w:tblGrid>
      <w:tr w:rsidR="00A77274" w:rsidRPr="00A77274">
        <w:trPr>
          <w:tblCellSpacing w:w="15" w:type="dxa"/>
        </w:trPr>
        <w:tc>
          <w:tcPr>
            <w:tcW w:w="0" w:type="auto"/>
            <w:tcMar>
              <w:top w:w="15" w:type="dxa"/>
              <w:left w:w="15" w:type="dxa"/>
              <w:bottom w:w="15" w:type="dxa"/>
              <w:right w:w="15" w:type="dxa"/>
            </w:tcMar>
            <w:vAlign w:val="center"/>
            <w:hideMark/>
          </w:tcPr>
          <w:p w:rsidR="00A77274" w:rsidRPr="00A77274" w:rsidRDefault="00A77274">
            <w:pPr>
              <w:pStyle w:val="Voetnoottekst"/>
              <w:suppressAutoHyphens/>
              <w:autoSpaceDN w:val="0"/>
              <w:rPr>
                <w:rStyle w:val="Voetnootmarkering"/>
                <w:rFonts w:ascii="Verdana" w:hAnsi="Verdana"/>
                <w:kern w:val="3"/>
                <w:sz w:val="16"/>
                <w:szCs w:val="16"/>
                <w:vertAlign w:val="baseline"/>
                <w:lang w:bidi="hi-IN"/>
              </w:rPr>
            </w:pPr>
            <w:r w:rsidRPr="00A77274">
              <w:rPr>
                <w:rStyle w:val="Voetnootmarkering"/>
                <w:rFonts w:ascii="Verdana" w:hAnsi="Verdana"/>
                <w:kern w:val="3"/>
                <w:sz w:val="16"/>
                <w:szCs w:val="16"/>
                <w:vertAlign w:val="baseline"/>
                <w:lang w:bidi="hi-IN"/>
              </w:rPr>
              <w:footnoteRef/>
            </w:r>
            <w:r w:rsidRPr="00A77274">
              <w:rPr>
                <w:rStyle w:val="Voetnootmarkering"/>
                <w:rFonts w:ascii="Verdana" w:hAnsi="Verdana"/>
                <w:kern w:val="3"/>
                <w:sz w:val="16"/>
                <w:szCs w:val="16"/>
                <w:vertAlign w:val="baseline"/>
                <w:lang w:bidi="hi-IN"/>
              </w:rPr>
              <w:t xml:space="preserve"> Toezegging 6370, </w:t>
            </w:r>
            <w:hyperlink r:id="rId1" w:history="1">
              <w:r w:rsidRPr="00A77274">
                <w:rPr>
                  <w:rStyle w:val="Voetnootmarkering"/>
                  <w:rFonts w:ascii="Verdana" w:hAnsi="Verdana"/>
                  <w:kern w:val="3"/>
                  <w:sz w:val="16"/>
                  <w:szCs w:val="16"/>
                  <w:vertAlign w:val="baseline"/>
                  <w:lang w:bidi="hi-IN"/>
                </w:rPr>
                <w:t>Verzamelbrief (34300-XVI-155) (19026)</w:t>
              </w:r>
            </w:hyperlink>
          </w:p>
        </w:tc>
      </w:tr>
    </w:tbl>
    <w:p w:rsidR="00A77274" w:rsidRDefault="00A77274" w:rsidP="00A77274">
      <w:pPr>
        <w:rPr>
          <w:vanish/>
          <w:color w:val="000000"/>
          <w:sz w:val="17"/>
          <w:szCs w:val="17"/>
        </w:rPr>
      </w:pPr>
    </w:p>
    <w:tbl>
      <w:tblPr>
        <w:tblW w:w="0" w:type="auto"/>
        <w:tblCellSpacing w:w="15" w:type="dxa"/>
        <w:tblLook w:val="04A0"/>
      </w:tblPr>
      <w:tblGrid>
        <w:gridCol w:w="96"/>
      </w:tblGrid>
      <w:tr w:rsidR="00A77274">
        <w:trPr>
          <w:trHeight w:val="240"/>
          <w:tblCellSpacing w:w="15" w:type="dxa"/>
          <w:hidden/>
        </w:trPr>
        <w:tc>
          <w:tcPr>
            <w:tcW w:w="0" w:type="auto"/>
            <w:vMerge w:val="restart"/>
            <w:tcMar>
              <w:top w:w="15" w:type="dxa"/>
              <w:left w:w="15" w:type="dxa"/>
              <w:bottom w:w="15" w:type="dxa"/>
              <w:right w:w="15" w:type="dxa"/>
            </w:tcMar>
            <w:vAlign w:val="center"/>
            <w:hideMark/>
          </w:tcPr>
          <w:p w:rsidR="00A77274" w:rsidRDefault="008134E1">
            <w:pPr>
              <w:rPr>
                <w:color w:val="000000"/>
                <w:sz w:val="17"/>
                <w:szCs w:val="17"/>
              </w:rPr>
            </w:pPr>
            <w:r w:rsidRPr="008134E1">
              <w:rPr>
                <w:vanish/>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v:imagedata r:id="rId2" o:title=""/>
                </v:shape>
              </w:pict>
            </w:r>
            <w:r>
              <w:rPr>
                <w:vanish/>
                <w:sz w:val="17"/>
                <w:szCs w:val="17"/>
              </w:rPr>
              <w:object w:dxaOrig="225" w:dyaOrig="225">
                <v:shape id="_x0000_i1031" type="#_x0000_t75" style="width:1in;height:18pt" o:ole="">
                  <v:imagedata r:id="rId3" o:title=""/>
                </v:shape>
                <w:control r:id="rId4" w:name="DefaultOcxName" w:shapeid="_x0000_i1031"/>
              </w:object>
            </w:r>
          </w:p>
        </w:tc>
      </w:tr>
      <w:tr w:rsidR="00A77274">
        <w:trPr>
          <w:trHeight w:val="240"/>
          <w:tblCellSpacing w:w="15" w:type="dxa"/>
        </w:trPr>
        <w:tc>
          <w:tcPr>
            <w:tcW w:w="0" w:type="auto"/>
            <w:vMerge/>
            <w:vAlign w:val="center"/>
            <w:hideMark/>
          </w:tcPr>
          <w:p w:rsidR="00A77274" w:rsidRDefault="00A77274">
            <w:pPr>
              <w:widowControl/>
              <w:suppressAutoHyphens w:val="0"/>
              <w:autoSpaceDN/>
              <w:spacing w:line="240" w:lineRule="auto"/>
              <w:rPr>
                <w:color w:val="000000"/>
                <w:sz w:val="17"/>
                <w:szCs w:val="17"/>
              </w:rPr>
            </w:pPr>
          </w:p>
        </w:tc>
      </w:tr>
    </w:tbl>
    <w:p w:rsidR="00A77274" w:rsidRDefault="00A77274" w:rsidP="00A77274">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0D" w:rsidRDefault="00B35A0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0245E"/>
    <w:multiLevelType w:val="hybridMultilevel"/>
    <w:tmpl w:val="DC9A845E"/>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77274"/>
    <w:rsid w:val="00191F1B"/>
    <w:rsid w:val="003D52E5"/>
    <w:rsid w:val="003E7724"/>
    <w:rsid w:val="00471F36"/>
    <w:rsid w:val="004E1DF0"/>
    <w:rsid w:val="008134E1"/>
    <w:rsid w:val="00923604"/>
    <w:rsid w:val="009E47FD"/>
    <w:rsid w:val="009E5827"/>
    <w:rsid w:val="00A77274"/>
    <w:rsid w:val="00A828CB"/>
    <w:rsid w:val="00B35A0D"/>
    <w:rsid w:val="00E96376"/>
    <w:rsid w:val="00FF04B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7274"/>
    <w:pPr>
      <w:widowControl w:val="0"/>
      <w:suppressAutoHyphens/>
      <w:autoSpaceDN w:val="0"/>
      <w:spacing w:after="0" w:line="240" w:lineRule="exact"/>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77274"/>
    <w:pPr>
      <w:widowControl/>
      <w:suppressAutoHyphens w:val="0"/>
      <w:autoSpaceDN/>
      <w:spacing w:line="240" w:lineRule="auto"/>
    </w:pPr>
    <w:rPr>
      <w:rFonts w:ascii="Calibri" w:eastAsia="Calibri" w:hAnsi="Calibri" w:cs="Calibri"/>
      <w:kern w:val="0"/>
      <w:sz w:val="20"/>
      <w:szCs w:val="20"/>
      <w:lang w:eastAsia="en-US" w:bidi="ar-SA"/>
    </w:rPr>
  </w:style>
  <w:style w:type="character" w:customStyle="1" w:styleId="VoetnoottekstChar">
    <w:name w:val="Voetnoottekst Char"/>
    <w:basedOn w:val="Standaardalinea-lettertype"/>
    <w:link w:val="Voetnoottekst"/>
    <w:uiPriority w:val="99"/>
    <w:rsid w:val="00A77274"/>
    <w:rPr>
      <w:rFonts w:ascii="Calibri" w:eastAsia="Calibri" w:hAnsi="Calibri" w:cs="Calibri"/>
      <w:sz w:val="20"/>
      <w:szCs w:val="20"/>
    </w:rPr>
  </w:style>
  <w:style w:type="paragraph" w:styleId="Lijstalinea">
    <w:name w:val="List Paragraph"/>
    <w:basedOn w:val="Standaard"/>
    <w:uiPriority w:val="34"/>
    <w:qFormat/>
    <w:rsid w:val="00A77274"/>
    <w:pPr>
      <w:widowControl/>
      <w:suppressAutoHyphens w:val="0"/>
      <w:autoSpaceDN/>
      <w:spacing w:line="260" w:lineRule="atLeast"/>
      <w:ind w:left="720"/>
      <w:contextualSpacing/>
    </w:pPr>
    <w:rPr>
      <w:rFonts w:ascii="Calibri" w:eastAsia="Calibri" w:hAnsi="Calibri" w:cs="Calibri"/>
      <w:kern w:val="0"/>
      <w:sz w:val="22"/>
      <w:szCs w:val="22"/>
      <w:lang w:eastAsia="en-US" w:bidi="ar-SA"/>
    </w:rPr>
  </w:style>
  <w:style w:type="character" w:styleId="Voetnootmarkering">
    <w:name w:val="footnote reference"/>
    <w:basedOn w:val="Standaardalinea-lettertype"/>
    <w:uiPriority w:val="99"/>
    <w:semiHidden/>
    <w:unhideWhenUsed/>
    <w:rsid w:val="00A77274"/>
    <w:rPr>
      <w:vertAlign w:val="superscript"/>
    </w:rPr>
  </w:style>
  <w:style w:type="paragraph" w:styleId="Koptekst">
    <w:name w:val="header"/>
    <w:basedOn w:val="Standaard"/>
    <w:link w:val="KoptekstChar"/>
    <w:uiPriority w:val="99"/>
    <w:semiHidden/>
    <w:unhideWhenUsed/>
    <w:rsid w:val="00B35A0D"/>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semiHidden/>
    <w:rsid w:val="00B35A0D"/>
    <w:rPr>
      <w:rFonts w:ascii="Verdana" w:eastAsia="DejaVu Sans" w:hAnsi="Verdana" w:cs="Mangal"/>
      <w:kern w:val="3"/>
      <w:sz w:val="18"/>
      <w:szCs w:val="24"/>
      <w:lang w:eastAsia="zh-CN" w:bidi="hi-IN"/>
    </w:rPr>
  </w:style>
  <w:style w:type="paragraph" w:styleId="Voettekst">
    <w:name w:val="footer"/>
    <w:basedOn w:val="Standaard"/>
    <w:link w:val="VoettekstChar"/>
    <w:uiPriority w:val="99"/>
    <w:semiHidden/>
    <w:unhideWhenUsed/>
    <w:rsid w:val="00B35A0D"/>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B35A0D"/>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divs>
    <w:div w:id="3183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wmf"/><Relationship Id="rId1" Type="http://schemas.openxmlformats.org/officeDocument/2006/relationships/hyperlink" Target="https://vws.delphioverheid.nl/minvwsdotnet/DetailRapport/UBRapport.aspx?id=19026&amp;CalledFrom=DetailRapport" TargetMode="External"/><Relationship Id="rId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1406</ap:Characters>
  <ap:DocSecurity>0</ap:DocSecurity>
  <ap:Lines>11</ap:Lines>
  <ap:Paragraphs>3</ap:Paragraphs>
  <ap:ScaleCrop>false</ap:ScaleCrop>
  <ap:LinksUpToDate>false</ap:LinksUpToDate>
  <ap:CharactersWithSpaces>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2018-06-29T10:07:00.0000000Z</dcterms:created>
  <dcterms:modified xsi:type="dcterms:W3CDTF">2018-06-29T10:09:00.0000000Z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0x01010052B2D78576143740B663D0672417D20D</vt:lpwstr>
  </property>
</Properties>
</file>