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74" w:rsidP="00576674" w:rsidRDefault="00F50A0B">
      <w:pPr>
        <w:rPr>
          <w:rFonts w:asciiTheme="minorHAnsi" w:hAnsiTheme="minorHAnsi"/>
          <w:b/>
          <w:sz w:val="22"/>
          <w:szCs w:val="22"/>
        </w:rPr>
      </w:pPr>
      <w:r>
        <w:rPr>
          <w:rFonts w:asciiTheme="minorHAnsi" w:hAnsiTheme="minorHAnsi"/>
          <w:b/>
          <w:sz w:val="22"/>
          <w:szCs w:val="22"/>
        </w:rPr>
        <w:t>Overzicht nieuw gepubliceerde EU-voorstellen</w:t>
      </w:r>
      <w:r w:rsidRPr="00F67F5B" w:rsidR="00576674">
        <w:rPr>
          <w:rFonts w:asciiTheme="minorHAnsi" w:hAnsiTheme="minorHAnsi"/>
          <w:b/>
          <w:sz w:val="22"/>
          <w:szCs w:val="22"/>
        </w:rPr>
        <w:t xml:space="preserve"> </w:t>
      </w:r>
      <w:r w:rsidR="00B422B1">
        <w:rPr>
          <w:rFonts w:asciiTheme="minorHAnsi" w:hAnsiTheme="minorHAnsi"/>
          <w:b/>
          <w:sz w:val="22"/>
          <w:szCs w:val="22"/>
        </w:rPr>
        <w:t xml:space="preserve">op het terrein van Defensie </w:t>
      </w:r>
    </w:p>
    <w:p w:rsidRPr="00F67F5B" w:rsidR="00F50A0B" w:rsidP="00576674" w:rsidRDefault="00F50A0B">
      <w:pPr>
        <w:rPr>
          <w:rFonts w:asciiTheme="minorHAnsi" w:hAnsiTheme="minorHAnsi"/>
          <w:sz w:val="22"/>
          <w:szCs w:val="22"/>
        </w:rPr>
      </w:pPr>
    </w:p>
    <w:p w:rsidRPr="00BF35EE" w:rsidR="00576674" w:rsidP="00576674" w:rsidRDefault="00576674">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proofErr w:type="spellStart"/>
      <w:r w:rsidR="002B1A2E">
        <w:rPr>
          <w:rFonts w:asciiTheme="minorHAnsi" w:hAnsiTheme="minorHAnsi"/>
          <w:sz w:val="22"/>
          <w:szCs w:val="22"/>
          <w:u w:val="single"/>
        </w:rPr>
        <w:t>d.d</w:t>
      </w:r>
      <w:proofErr w:type="spellEnd"/>
      <w:r w:rsidR="002B1A2E">
        <w:rPr>
          <w:rFonts w:asciiTheme="minorHAnsi" w:hAnsiTheme="minorHAnsi"/>
          <w:sz w:val="22"/>
          <w:szCs w:val="22"/>
          <w:u w:val="single"/>
        </w:rPr>
        <w:t xml:space="preserve"> 22 jun 2018</w:t>
      </w:r>
    </w:p>
    <w:p w:rsidRPr="00F67F5B" w:rsidR="00576674" w:rsidP="00576674" w:rsidRDefault="00576674">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49"/>
        <w:gridCol w:w="1034"/>
        <w:gridCol w:w="1254"/>
        <w:gridCol w:w="4624"/>
        <w:gridCol w:w="1356"/>
        <w:gridCol w:w="715"/>
        <w:gridCol w:w="4523"/>
      </w:tblGrid>
      <w:tr w:rsidRPr="00F67F5B" w:rsidR="00576674" w:rsidTr="002A6C83">
        <w:trPr>
          <w:trHeight w:val="1550"/>
        </w:trPr>
        <w:tc>
          <w:tcPr>
            <w:tcW w:w="1149" w:type="dxa"/>
            <w:shd w:val="clear" w:color="auto" w:fill="auto"/>
            <w:textDirection w:val="btLr"/>
            <w:vAlign w:val="bottom"/>
            <w:hideMark/>
          </w:tcPr>
          <w:p w:rsidRPr="00F50A0B" w:rsidR="00454C0B" w:rsidP="00651515" w:rsidRDefault="00454C0B">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576674" w:rsidP="00651515" w:rsidRDefault="00576674">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034" w:type="dxa"/>
            <w:shd w:val="clear" w:color="auto" w:fill="auto"/>
            <w:textDirection w:val="btLr"/>
            <w:vAlign w:val="bottom"/>
            <w:hideMark/>
          </w:tcPr>
          <w:p w:rsidRPr="00F67F5B" w:rsidR="00576674" w:rsidP="00E512BF"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683"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245" w:type="dxa"/>
            <w:shd w:val="clear" w:color="auto" w:fill="auto"/>
            <w:textDirection w:val="btLr"/>
            <w:vAlign w:val="bottom"/>
            <w:hideMark/>
          </w:tcPr>
          <w:p w:rsidRPr="00F67F5B" w:rsidR="00576674" w:rsidP="00827F2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sidR="00827F25">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715" w:type="dxa"/>
            <w:textDirection w:val="btLr"/>
          </w:tcPr>
          <w:p w:rsidR="00454C0B" w:rsidP="00651515" w:rsidRDefault="00454C0B">
            <w:pPr>
              <w:jc w:val="center"/>
              <w:rPr>
                <w:rFonts w:asciiTheme="minorHAnsi" w:hAnsiTheme="minorHAnsi"/>
                <w:b/>
                <w:bCs/>
                <w:color w:val="000000"/>
                <w:sz w:val="22"/>
                <w:szCs w:val="22"/>
              </w:rPr>
            </w:pPr>
          </w:p>
          <w:p w:rsidRPr="00F50A0B" w:rsidR="00576674" w:rsidP="00651515" w:rsidRDefault="00454C0B">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454C0B" w:rsidP="00454C0B" w:rsidRDefault="00454C0B">
            <w:pPr>
              <w:jc w:val="center"/>
              <w:rPr>
                <w:rFonts w:asciiTheme="minorHAnsi" w:hAnsiTheme="minorHAnsi"/>
                <w:b/>
                <w:bCs/>
                <w:color w:val="000000"/>
                <w:sz w:val="22"/>
                <w:szCs w:val="22"/>
              </w:rPr>
            </w:pPr>
          </w:p>
        </w:tc>
        <w:tc>
          <w:tcPr>
            <w:tcW w:w="4575" w:type="dxa"/>
            <w:shd w:val="clear" w:color="auto" w:fill="auto"/>
            <w:textDirection w:val="btLr"/>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576674" w:rsidTr="002A6C83">
        <w:trPr>
          <w:trHeight w:val="300"/>
        </w:trPr>
        <w:tc>
          <w:tcPr>
            <w:tcW w:w="1149"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4"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576674" w:rsidP="00651515" w:rsidRDefault="00576674">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683"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45" w:type="dxa"/>
            <w:tcBorders>
              <w:bottom w:val="single" w:color="auto" w:sz="4" w:space="0"/>
            </w:tcBorders>
            <w:shd w:val="clear" w:color="000000" w:fill="538DD5"/>
            <w:vAlign w:val="bottom"/>
            <w:hideMark/>
          </w:tcPr>
          <w:p w:rsidRPr="00F67F5B" w:rsidR="00576674" w:rsidP="00651515" w:rsidRDefault="00576674">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15" w:type="dxa"/>
            <w:tcBorders>
              <w:bottom w:val="single" w:color="auto" w:sz="4" w:space="0"/>
            </w:tcBorders>
            <w:shd w:val="clear" w:color="000000" w:fill="538DD5"/>
          </w:tcPr>
          <w:p w:rsidRPr="00F67F5B" w:rsidR="00576674" w:rsidP="00651515" w:rsidRDefault="00576674">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576674" w:rsidP="00651515" w:rsidRDefault="00576674">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F67F5B" w:rsidR="00575472" w:rsidTr="002A6C83">
        <w:trPr>
          <w:trHeight w:val="884"/>
        </w:trPr>
        <w:tc>
          <w:tcPr>
            <w:tcW w:w="1149" w:type="dxa"/>
            <w:shd w:val="clear" w:color="auto" w:fill="auto"/>
            <w:noWrap/>
          </w:tcPr>
          <w:p w:rsidRPr="00F67F5B" w:rsidR="00575472" w:rsidP="00683DAA" w:rsidRDefault="00683DAA">
            <w:pPr>
              <w:rPr>
                <w:rFonts w:asciiTheme="minorHAnsi" w:hAnsiTheme="minorHAnsi"/>
                <w:color w:val="000000"/>
                <w:sz w:val="22"/>
                <w:szCs w:val="22"/>
              </w:rPr>
            </w:pPr>
            <w:r>
              <w:rPr>
                <w:rFonts w:asciiTheme="minorHAnsi" w:hAnsiTheme="minorHAnsi"/>
                <w:color w:val="000000"/>
                <w:sz w:val="22"/>
                <w:szCs w:val="22"/>
              </w:rPr>
              <w:t>13-juni-18</w:t>
            </w:r>
          </w:p>
        </w:tc>
        <w:tc>
          <w:tcPr>
            <w:tcW w:w="1034" w:type="dxa"/>
            <w:shd w:val="clear" w:color="auto" w:fill="auto"/>
            <w:noWrap/>
          </w:tcPr>
          <w:p w:rsidRPr="00F67F5B" w:rsidR="00575472" w:rsidP="00651515" w:rsidRDefault="009A3B9C">
            <w:pPr>
              <w:jc w:val="center"/>
              <w:rPr>
                <w:rFonts w:asciiTheme="minorHAnsi" w:hAnsiTheme="minorHAnsi"/>
                <w:color w:val="000000"/>
                <w:sz w:val="22"/>
                <w:szCs w:val="22"/>
              </w:rPr>
            </w:pPr>
            <w:r>
              <w:rPr>
                <w:rFonts w:asciiTheme="minorHAnsi" w:hAnsiTheme="minorHAnsi"/>
                <w:color w:val="000000"/>
                <w:sz w:val="22"/>
                <w:szCs w:val="22"/>
              </w:rPr>
              <w:t>Defensie</w:t>
            </w:r>
          </w:p>
        </w:tc>
        <w:tc>
          <w:tcPr>
            <w:tcW w:w="1254" w:type="dxa"/>
            <w:shd w:val="clear" w:color="auto" w:fill="auto"/>
            <w:noWrap/>
          </w:tcPr>
          <w:p w:rsidRPr="00F67F5B" w:rsidR="00575472" w:rsidP="00575D2D" w:rsidRDefault="009A3B9C">
            <w:pPr>
              <w:rPr>
                <w:rFonts w:asciiTheme="minorHAnsi" w:hAnsiTheme="minorHAnsi"/>
                <w:color w:val="000000"/>
                <w:sz w:val="22"/>
                <w:szCs w:val="22"/>
              </w:rPr>
            </w:pPr>
            <w:r>
              <w:rPr>
                <w:rFonts w:asciiTheme="minorHAnsi" w:hAnsiTheme="minorHAnsi"/>
                <w:color w:val="000000"/>
                <w:sz w:val="22"/>
                <w:szCs w:val="22"/>
              </w:rPr>
              <w:t>Mededeling</w:t>
            </w:r>
          </w:p>
        </w:tc>
        <w:tc>
          <w:tcPr>
            <w:tcW w:w="4683" w:type="dxa"/>
            <w:shd w:val="clear" w:color="auto" w:fill="auto"/>
          </w:tcPr>
          <w:p w:rsidRPr="00607C13" w:rsidR="00683DAA" w:rsidP="00607C13" w:rsidRDefault="009A3B9C">
            <w:pPr>
              <w:rPr>
                <w:rFonts w:ascii="Calibri" w:hAnsi="Calibri"/>
                <w:color w:val="000000"/>
                <w:sz w:val="22"/>
                <w:szCs w:val="22"/>
              </w:rPr>
            </w:pPr>
            <w:r>
              <w:rPr>
                <w:rFonts w:ascii="Calibri" w:hAnsi="Calibri"/>
                <w:color w:val="000000"/>
                <w:sz w:val="22"/>
                <w:szCs w:val="22"/>
              </w:rPr>
              <w:t xml:space="preserve">Gezamenlijke Mededeling </w:t>
            </w:r>
            <w:r w:rsidRPr="002B1A2E" w:rsidR="00607C13">
              <w:rPr>
                <w:rFonts w:ascii="Calibri" w:hAnsi="Calibri"/>
                <w:color w:val="000000"/>
                <w:sz w:val="22"/>
                <w:szCs w:val="22"/>
              </w:rPr>
              <w:t>van het Europees Parlement, de Europese Raad en de R</w:t>
            </w:r>
            <w:r w:rsidRPr="002B1A2E" w:rsidR="00683DAA">
              <w:rPr>
                <w:rFonts w:ascii="Calibri" w:hAnsi="Calibri"/>
                <w:color w:val="000000"/>
                <w:sz w:val="22"/>
                <w:szCs w:val="22"/>
              </w:rPr>
              <w:t>aad</w:t>
            </w:r>
            <w:r w:rsidRPr="002B1A2E" w:rsidR="00607C13">
              <w:rPr>
                <w:rFonts w:ascii="Calibri" w:hAnsi="Calibri"/>
                <w:color w:val="000000"/>
                <w:sz w:val="22"/>
                <w:szCs w:val="22"/>
              </w:rPr>
              <w:t>:</w:t>
            </w:r>
            <w:r w:rsidRPr="002B1A2E" w:rsidR="00683DAA">
              <w:rPr>
                <w:rFonts w:ascii="Calibri" w:hAnsi="Calibri"/>
                <w:color w:val="000000"/>
                <w:sz w:val="22"/>
                <w:szCs w:val="22"/>
              </w:rPr>
              <w:t xml:space="preserve"> </w:t>
            </w:r>
            <w:r w:rsidRPr="002B1A2E" w:rsidR="00683DAA">
              <w:rPr>
                <w:rFonts w:ascii="Calibri" w:hAnsi="Calibri"/>
                <w:color w:val="000000"/>
                <w:sz w:val="22"/>
                <w:szCs w:val="22"/>
              </w:rPr>
              <w:t>Het opbouwen van weerbaarheid en reactiecapaciteit tegen hybride bedreiginge</w:t>
            </w:r>
            <w:r w:rsidRPr="002B1A2E" w:rsidR="00607C13">
              <w:rPr>
                <w:rFonts w:ascii="Calibri" w:hAnsi="Calibri"/>
                <w:color w:val="000000"/>
                <w:sz w:val="22"/>
                <w:szCs w:val="22"/>
              </w:rPr>
              <w:t>n</w:t>
            </w:r>
          </w:p>
        </w:tc>
        <w:tc>
          <w:tcPr>
            <w:tcW w:w="1245" w:type="dxa"/>
            <w:shd w:val="clear" w:color="auto" w:fill="auto"/>
            <w:noWrap/>
          </w:tcPr>
          <w:p w:rsidRPr="009A3B9C" w:rsidR="00575472" w:rsidP="009A3B9C" w:rsidRDefault="002B1A2E">
            <w:pPr>
              <w:rPr>
                <w:rFonts w:ascii="Calibri" w:hAnsi="Calibri"/>
                <w:color w:val="000000"/>
                <w:sz w:val="22"/>
                <w:szCs w:val="22"/>
              </w:rPr>
            </w:pPr>
            <w:hyperlink w:history="1" r:id="rId8">
              <w:r w:rsidRPr="002B1A2E" w:rsidR="009A3B9C">
                <w:rPr>
                  <w:rStyle w:val="Hyperlink"/>
                  <w:rFonts w:ascii="Calibri" w:hAnsi="Calibri"/>
                  <w:sz w:val="22"/>
                  <w:szCs w:val="22"/>
                </w:rPr>
                <w:t>JOIN(2018)</w:t>
              </w:r>
              <w:r w:rsidRPr="002B1A2E" w:rsidR="00607C13">
                <w:rPr>
                  <w:rStyle w:val="Hyperlink"/>
                  <w:rFonts w:ascii="Calibri" w:hAnsi="Calibri"/>
                  <w:sz w:val="22"/>
                  <w:szCs w:val="22"/>
                </w:rPr>
                <w:t>16</w:t>
              </w:r>
            </w:hyperlink>
          </w:p>
        </w:tc>
        <w:tc>
          <w:tcPr>
            <w:tcW w:w="715" w:type="dxa"/>
          </w:tcPr>
          <w:p w:rsidRPr="009A3B9C" w:rsidR="00575472" w:rsidP="009A3B9C" w:rsidRDefault="009A3B9C">
            <w:pPr>
              <w:rPr>
                <w:rFonts w:ascii="Calibri" w:hAnsi="Calibri"/>
                <w:color w:val="000000"/>
                <w:sz w:val="22"/>
                <w:szCs w:val="22"/>
              </w:rPr>
            </w:pPr>
            <w:r>
              <w:rPr>
                <w:rFonts w:ascii="Calibri" w:hAnsi="Calibri"/>
                <w:color w:val="000000"/>
                <w:sz w:val="22"/>
                <w:szCs w:val="22"/>
              </w:rPr>
              <w:t>n.v.t.</w:t>
            </w:r>
          </w:p>
        </w:tc>
        <w:tc>
          <w:tcPr>
            <w:tcW w:w="4575" w:type="dxa"/>
            <w:shd w:val="clear" w:color="auto" w:fill="auto"/>
          </w:tcPr>
          <w:p w:rsidR="00607C13" w:rsidP="009A3B9C" w:rsidRDefault="00575472">
            <w:pPr>
              <w:rPr>
                <w:rFonts w:ascii="Calibri" w:hAnsi="Calibri"/>
                <w:color w:val="000000"/>
                <w:sz w:val="22"/>
                <w:szCs w:val="22"/>
              </w:rPr>
            </w:pPr>
            <w:r w:rsidRPr="00E839B7">
              <w:rPr>
                <w:rFonts w:ascii="Calibri" w:hAnsi="Calibri"/>
                <w:color w:val="000000"/>
                <w:sz w:val="22"/>
                <w:szCs w:val="22"/>
                <w:u w:val="single"/>
              </w:rPr>
              <w:t>Behandelvoorstel:</w:t>
            </w:r>
            <w:r w:rsidRPr="009A3B9C">
              <w:rPr>
                <w:rFonts w:ascii="Calibri" w:hAnsi="Calibri"/>
                <w:color w:val="000000"/>
                <w:sz w:val="22"/>
                <w:szCs w:val="22"/>
              </w:rPr>
              <w:t xml:space="preserve"> </w:t>
            </w:r>
            <w:r w:rsidRPr="009A3B9C" w:rsidR="009A3B9C">
              <w:rPr>
                <w:rFonts w:ascii="Calibri" w:hAnsi="Calibri"/>
                <w:color w:val="000000"/>
                <w:sz w:val="22"/>
                <w:szCs w:val="22"/>
              </w:rPr>
              <w:t>desgewenst b</w:t>
            </w:r>
            <w:r w:rsidR="0098120E">
              <w:rPr>
                <w:rFonts w:ascii="Calibri" w:hAnsi="Calibri"/>
                <w:color w:val="000000"/>
                <w:sz w:val="22"/>
                <w:szCs w:val="22"/>
              </w:rPr>
              <w:t xml:space="preserve">etrekken bij het </w:t>
            </w:r>
            <w:r w:rsidR="00607C13">
              <w:rPr>
                <w:rFonts w:ascii="Calibri" w:hAnsi="Calibri"/>
                <w:color w:val="000000"/>
                <w:sz w:val="22"/>
                <w:szCs w:val="22"/>
              </w:rPr>
              <w:t>algemeen overleg over de informele Defensieraad van 29-30 augustus 2018</w:t>
            </w:r>
            <w:r w:rsidR="002B1A2E">
              <w:rPr>
                <w:rFonts w:ascii="Calibri" w:hAnsi="Calibri"/>
                <w:color w:val="000000"/>
                <w:sz w:val="22"/>
                <w:szCs w:val="22"/>
              </w:rPr>
              <w:t>.</w:t>
            </w:r>
          </w:p>
          <w:p w:rsidR="00607C13" w:rsidP="009A3B9C" w:rsidRDefault="00607C13">
            <w:pPr>
              <w:rPr>
                <w:rFonts w:ascii="Calibri" w:hAnsi="Calibri"/>
                <w:color w:val="000000"/>
                <w:sz w:val="22"/>
                <w:szCs w:val="22"/>
              </w:rPr>
            </w:pPr>
            <w:r>
              <w:rPr>
                <w:rFonts w:ascii="Calibri" w:hAnsi="Calibri"/>
                <w:color w:val="000000"/>
                <w:sz w:val="22"/>
                <w:szCs w:val="22"/>
              </w:rPr>
              <w:t xml:space="preserve">(NB: de commissie besluit op </w:t>
            </w:r>
            <w:r w:rsidR="002B1A2E">
              <w:rPr>
                <w:rFonts w:ascii="Calibri" w:hAnsi="Calibri"/>
                <w:color w:val="000000"/>
                <w:sz w:val="22"/>
                <w:szCs w:val="22"/>
              </w:rPr>
              <w:t xml:space="preserve">28 juni of het AO wordt omgezet </w:t>
            </w:r>
            <w:r>
              <w:rPr>
                <w:rFonts w:ascii="Calibri" w:hAnsi="Calibri"/>
                <w:color w:val="000000"/>
                <w:sz w:val="22"/>
                <w:szCs w:val="22"/>
              </w:rPr>
              <w:t xml:space="preserve">in een SO </w:t>
            </w:r>
            <w:r w:rsidR="002B1A2E">
              <w:rPr>
                <w:rFonts w:ascii="Calibri" w:hAnsi="Calibri"/>
                <w:color w:val="000000"/>
                <w:sz w:val="22"/>
                <w:szCs w:val="22"/>
              </w:rPr>
              <w:t>i.v.m.</w:t>
            </w:r>
            <w:r>
              <w:rPr>
                <w:rFonts w:ascii="Calibri" w:hAnsi="Calibri"/>
                <w:color w:val="000000"/>
                <w:sz w:val="22"/>
                <w:szCs w:val="22"/>
              </w:rPr>
              <w:t xml:space="preserve"> het zomerreces)</w:t>
            </w:r>
          </w:p>
          <w:p w:rsidR="00F852E4" w:rsidP="009A3B9C" w:rsidRDefault="00F852E4">
            <w:pPr>
              <w:rPr>
                <w:rFonts w:ascii="Calibri" w:hAnsi="Calibri"/>
                <w:color w:val="000000"/>
                <w:sz w:val="22"/>
                <w:szCs w:val="22"/>
              </w:rPr>
            </w:pPr>
          </w:p>
          <w:p w:rsidRPr="002B1A2E" w:rsidR="002B1A2E" w:rsidP="009A3B9C" w:rsidRDefault="002B1A2E">
            <w:pPr>
              <w:rPr>
                <w:rFonts w:ascii="Calibri" w:hAnsi="Calibri"/>
                <w:i/>
                <w:color w:val="000000"/>
                <w:sz w:val="22"/>
                <w:szCs w:val="22"/>
              </w:rPr>
            </w:pPr>
            <w:r w:rsidRPr="002B1A2E">
              <w:rPr>
                <w:rFonts w:ascii="Calibri" w:hAnsi="Calibri"/>
                <w:i/>
                <w:color w:val="000000"/>
                <w:sz w:val="22"/>
                <w:szCs w:val="22"/>
              </w:rPr>
              <w:t xml:space="preserve">In dit actieplan  </w:t>
            </w:r>
            <w:r w:rsidRPr="002B1A2E">
              <w:rPr>
                <w:rFonts w:ascii="Calibri" w:hAnsi="Calibri"/>
                <w:i/>
                <w:color w:val="000000"/>
                <w:sz w:val="22"/>
                <w:szCs w:val="22"/>
              </w:rPr>
              <w:t xml:space="preserve">stellen de Europese Commissie </w:t>
            </w:r>
            <w:r w:rsidRPr="002B1A2E">
              <w:rPr>
                <w:rFonts w:ascii="Calibri" w:hAnsi="Calibri"/>
                <w:i/>
                <w:color w:val="000000"/>
                <w:sz w:val="22"/>
                <w:szCs w:val="22"/>
              </w:rPr>
              <w:t>en de hoge vertegenwoordiger</w:t>
            </w:r>
            <w:r w:rsidRPr="002B1A2E">
              <w:rPr>
                <w:rFonts w:ascii="Calibri" w:hAnsi="Calibri"/>
                <w:i/>
                <w:color w:val="000000"/>
                <w:sz w:val="22"/>
                <w:szCs w:val="22"/>
              </w:rPr>
              <w:t xml:space="preserve"> verdere maatregelen</w:t>
            </w:r>
            <w:r w:rsidRPr="002B1A2E">
              <w:rPr>
                <w:rFonts w:ascii="Calibri" w:hAnsi="Calibri"/>
                <w:i/>
                <w:color w:val="000000"/>
                <w:sz w:val="22"/>
                <w:szCs w:val="22"/>
              </w:rPr>
              <w:t xml:space="preserve"> voor </w:t>
            </w:r>
            <w:r w:rsidRPr="002B1A2E">
              <w:rPr>
                <w:rFonts w:ascii="Calibri" w:hAnsi="Calibri"/>
                <w:i/>
                <w:color w:val="000000"/>
                <w:sz w:val="22"/>
                <w:szCs w:val="22"/>
              </w:rPr>
              <w:t>om hybride en chemische, biologische, radiologische en nucleaire (CBRN) dreigingen het hoofd te bieden</w:t>
            </w:r>
            <w:r w:rsidRPr="002B1A2E">
              <w:rPr>
                <w:rFonts w:ascii="Calibri" w:hAnsi="Calibri"/>
                <w:i/>
                <w:color w:val="000000"/>
                <w:sz w:val="22"/>
                <w:szCs w:val="22"/>
              </w:rPr>
              <w:t>. De maatregelen beslaan de volgende terreinen: situationeel bewustzijn, strategische communicatie, opbouw van weerbaarheid en afschrikking op het gebied van cyberbeveiliging en opbouw van weerbaarheid tegen vijandig inlichtingenwerk</w:t>
            </w:r>
            <w:r>
              <w:rPr>
                <w:rFonts w:ascii="Calibri" w:hAnsi="Calibri"/>
                <w:i/>
                <w:color w:val="000000"/>
                <w:sz w:val="22"/>
                <w:szCs w:val="22"/>
              </w:rPr>
              <w:t>.</w:t>
            </w:r>
            <w:bookmarkStart w:name="_GoBack" w:id="0"/>
            <w:bookmarkEnd w:id="0"/>
          </w:p>
          <w:p w:rsidR="00143B93" w:rsidP="009A3B9C" w:rsidRDefault="00143B93">
            <w:pPr>
              <w:rPr>
                <w:rFonts w:ascii="Calibri" w:hAnsi="Calibri"/>
                <w:i/>
                <w:color w:val="000000"/>
                <w:sz w:val="22"/>
                <w:szCs w:val="22"/>
              </w:rPr>
            </w:pPr>
          </w:p>
          <w:p w:rsidRPr="00E839B7" w:rsidR="009A3B9C" w:rsidP="002B1A2E" w:rsidRDefault="00143B93">
            <w:pPr>
              <w:rPr>
                <w:rFonts w:ascii="Calibri" w:hAnsi="Calibri"/>
                <w:i/>
                <w:color w:val="000000"/>
                <w:sz w:val="22"/>
                <w:szCs w:val="22"/>
              </w:rPr>
            </w:pPr>
            <w:r>
              <w:rPr>
                <w:rFonts w:ascii="Calibri" w:hAnsi="Calibri"/>
                <w:i/>
                <w:color w:val="000000"/>
                <w:sz w:val="22"/>
                <w:szCs w:val="22"/>
              </w:rPr>
              <w:t xml:space="preserve">Het BNC-fiche zal </w:t>
            </w:r>
            <w:r w:rsidRPr="00625AFA" w:rsidR="009A3B9C">
              <w:rPr>
                <w:rFonts w:ascii="Calibri" w:hAnsi="Calibri"/>
                <w:i/>
                <w:color w:val="000000"/>
                <w:sz w:val="22"/>
                <w:szCs w:val="22"/>
              </w:rPr>
              <w:t>naar verwachtin</w:t>
            </w:r>
            <w:r w:rsidR="009C7DE9">
              <w:rPr>
                <w:rFonts w:ascii="Calibri" w:hAnsi="Calibri"/>
                <w:i/>
                <w:color w:val="000000"/>
                <w:sz w:val="22"/>
                <w:szCs w:val="22"/>
              </w:rPr>
              <w:t xml:space="preserve">g </w:t>
            </w:r>
            <w:r w:rsidR="002B1A2E">
              <w:rPr>
                <w:rFonts w:ascii="Calibri" w:hAnsi="Calibri"/>
                <w:i/>
                <w:color w:val="000000"/>
                <w:sz w:val="22"/>
                <w:szCs w:val="22"/>
              </w:rPr>
              <w:t>eind juli a</w:t>
            </w:r>
            <w:r w:rsidR="009C7DE9">
              <w:rPr>
                <w:rFonts w:ascii="Calibri" w:hAnsi="Calibri"/>
                <w:i/>
                <w:color w:val="000000"/>
                <w:sz w:val="22"/>
                <w:szCs w:val="22"/>
              </w:rPr>
              <w:t>an</w:t>
            </w:r>
            <w:r w:rsidRPr="00625AFA" w:rsidR="009A3B9C">
              <w:rPr>
                <w:rFonts w:ascii="Calibri" w:hAnsi="Calibri"/>
                <w:i/>
                <w:color w:val="000000"/>
                <w:sz w:val="22"/>
                <w:szCs w:val="22"/>
              </w:rPr>
              <w:t xml:space="preserve"> de Kamer worden verzonden.</w:t>
            </w:r>
            <w:r>
              <w:rPr>
                <w:rFonts w:ascii="Calibri" w:hAnsi="Calibri"/>
                <w:i/>
                <w:color w:val="000000"/>
                <w:sz w:val="22"/>
                <w:szCs w:val="22"/>
              </w:rPr>
              <w:t xml:space="preserve"> </w:t>
            </w:r>
          </w:p>
        </w:tc>
      </w:tr>
    </w:tbl>
    <w:p w:rsidRPr="00A923E5" w:rsidR="0098120E" w:rsidP="0098120E" w:rsidRDefault="0098120E">
      <w:pPr>
        <w:pStyle w:val="Voetnoottekst"/>
        <w:rPr>
          <w:rFonts w:ascii="Verdana" w:hAnsi="Verdana"/>
          <w:b/>
        </w:rPr>
      </w:pPr>
      <w:r w:rsidRPr="00A923E5">
        <w:rPr>
          <w:rFonts w:ascii="Verdana" w:hAnsi="Verdana"/>
          <w:b/>
        </w:rPr>
        <w:t>Bijlage: behandelmogelijkheden EU-voorstellen</w:t>
      </w:r>
    </w:p>
    <w:p w:rsidRPr="00A923E5" w:rsidR="0098120E" w:rsidP="0098120E" w:rsidRDefault="0098120E">
      <w:pPr>
        <w:pStyle w:val="Voetnoottekst"/>
        <w:rPr>
          <w:rFonts w:ascii="Verdana" w:hAnsi="Verdana"/>
          <w:sz w:val="18"/>
          <w:szCs w:val="18"/>
        </w:rPr>
      </w:pPr>
    </w:p>
    <w:p w:rsidRPr="00A923E5" w:rsidR="0098120E" w:rsidP="0098120E" w:rsidRDefault="0098120E">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98120E" w:rsidP="0098120E" w:rsidRDefault="0098120E">
      <w:pPr>
        <w:rPr>
          <w:rFonts w:ascii="Verdana" w:hAnsi="Verdana"/>
          <w:sz w:val="18"/>
          <w:szCs w:val="18"/>
        </w:rPr>
      </w:pPr>
      <w:r w:rsidRPr="00A923E5">
        <w:rPr>
          <w:rFonts w:ascii="Verdana" w:hAnsi="Verdana"/>
          <w:sz w:val="18"/>
          <w:szCs w:val="18"/>
        </w:rPr>
        <w:lastRenderedPageBreak/>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98120E" w:rsidP="0098120E" w:rsidRDefault="0098120E">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98120E" w:rsidTr="009874A7">
        <w:tc>
          <w:tcPr>
            <w:tcW w:w="2093" w:type="dxa"/>
          </w:tcPr>
          <w:p w:rsidRPr="00A923E5" w:rsidR="0098120E" w:rsidP="009874A7" w:rsidRDefault="0098120E">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98120E" w:rsidP="009874A7" w:rsidRDefault="0098120E">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98120E" w:rsidP="009874A7" w:rsidRDefault="0098120E">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98120E" w:rsidTr="009874A7">
        <w:tc>
          <w:tcPr>
            <w:tcW w:w="14142" w:type="dxa"/>
            <w:gridSpan w:val="3"/>
          </w:tcPr>
          <w:p w:rsidRPr="00A923E5" w:rsidR="0098120E" w:rsidP="009874A7" w:rsidRDefault="0098120E">
            <w:pPr>
              <w:pStyle w:val="Voetnoottekst"/>
              <w:rPr>
                <w:rFonts w:ascii="Verdana" w:hAnsi="Verdana"/>
                <w:i/>
                <w:sz w:val="18"/>
                <w:szCs w:val="18"/>
              </w:rPr>
            </w:pPr>
          </w:p>
          <w:p w:rsidRPr="00A923E5" w:rsidR="0098120E" w:rsidP="009874A7" w:rsidRDefault="0098120E">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subsidiariteitstoets overwegen: let op termijn (zie hieronder).</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behandelvoorbehoud overwegen: let op termijn (zie hieronder).</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ad-hoc rapporteur(s) binnen de commissie(s) benoemen.</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98120E" w:rsidP="009874A7" w:rsidRDefault="0098120E">
            <w:pPr>
              <w:pStyle w:val="Voetnoottekst"/>
              <w:numPr>
                <w:ilvl w:val="0"/>
                <w:numId w:val="2"/>
              </w:numPr>
              <w:ind w:left="317" w:hanging="283"/>
              <w:rPr>
                <w:rFonts w:ascii="Verdana" w:hAnsi="Verdana"/>
                <w:sz w:val="18"/>
                <w:szCs w:val="18"/>
              </w:rPr>
            </w:pP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w:t>
            </w:r>
            <w:r w:rsidRPr="00A923E5">
              <w:rPr>
                <w:rFonts w:ascii="Verdana" w:hAnsi="Verdana"/>
                <w:sz w:val="18"/>
                <w:szCs w:val="18"/>
              </w:rPr>
              <w:lastRenderedPageBreak/>
              <w:t xml:space="preserve">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98120E" w:rsidP="009874A7" w:rsidRDefault="0098120E">
            <w:pPr>
              <w:pStyle w:val="Voetnoottekst"/>
              <w:numPr>
                <w:ilvl w:val="0"/>
                <w:numId w:val="2"/>
              </w:numPr>
              <w:ind w:left="317" w:hanging="283"/>
              <w:rPr>
                <w:rFonts w:ascii="Verdana" w:hAnsi="Verdana"/>
                <w:sz w:val="18"/>
                <w:szCs w:val="18"/>
              </w:rPr>
            </w:pPr>
          </w:p>
        </w:tc>
      </w:tr>
      <w:tr w:rsidRPr="00A923E5" w:rsidR="0098120E" w:rsidTr="009874A7">
        <w:tc>
          <w:tcPr>
            <w:tcW w:w="14142" w:type="dxa"/>
            <w:gridSpan w:val="3"/>
          </w:tcPr>
          <w:p w:rsidRPr="00A923E5" w:rsidR="0098120E" w:rsidP="009874A7" w:rsidRDefault="0098120E">
            <w:pPr>
              <w:pStyle w:val="Voetnoottekst"/>
              <w:rPr>
                <w:rFonts w:ascii="Verdana" w:hAnsi="Verdana"/>
                <w:i/>
                <w:sz w:val="18"/>
                <w:szCs w:val="18"/>
              </w:rPr>
            </w:pPr>
            <w:r w:rsidRPr="00A923E5">
              <w:rPr>
                <w:rFonts w:ascii="Verdana" w:hAnsi="Verdana"/>
                <w:i/>
                <w:sz w:val="18"/>
                <w:szCs w:val="18"/>
              </w:rPr>
              <w:lastRenderedPageBreak/>
              <w:t>Niet-wetgevende bindende rechtshandelingen</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98120E" w:rsidP="009874A7" w:rsidRDefault="0098120E">
            <w:pPr>
              <w:pStyle w:val="Voetnoottekst"/>
              <w:ind w:left="360"/>
              <w:rPr>
                <w:rFonts w:ascii="Verdana" w:hAnsi="Verdana"/>
                <w:sz w:val="18"/>
                <w:szCs w:val="18"/>
              </w:rPr>
            </w:pP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proofErr w:type="spellStart"/>
            <w:r w:rsidRPr="00A923E5">
              <w:rPr>
                <w:rFonts w:ascii="Verdana" w:hAnsi="Verdana"/>
                <w:sz w:val="18"/>
                <w:szCs w:val="18"/>
              </w:rPr>
              <w:t>Uitvoerings-handeling</w:t>
            </w:r>
            <w:proofErr w:type="spellEnd"/>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98120E" w:rsidP="009874A7" w:rsidRDefault="0098120E">
            <w:pPr>
              <w:numPr>
                <w:ilvl w:val="0"/>
                <w:numId w:val="1"/>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9">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98120E" w:rsidP="009874A7" w:rsidRDefault="0098120E">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98120E" w:rsidP="009874A7" w:rsidRDefault="0098120E">
            <w:pPr>
              <w:pStyle w:val="Voetnoottekst"/>
              <w:numPr>
                <w:ilvl w:val="0"/>
                <w:numId w:val="1"/>
              </w:numPr>
              <w:rPr>
                <w:rFonts w:ascii="Verdana" w:hAnsi="Verdana"/>
                <w:sz w:val="18"/>
                <w:szCs w:val="18"/>
              </w:rPr>
            </w:pP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A923E5" w:rsidR="0098120E" w:rsidP="009874A7" w:rsidRDefault="0098120E">
            <w:pPr>
              <w:pStyle w:val="Voetnoottekst"/>
              <w:rPr>
                <w:rFonts w:ascii="Verdana" w:hAnsi="Verdana"/>
                <w:sz w:val="18"/>
                <w:szCs w:val="18"/>
              </w:rPr>
            </w:pP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lastRenderedPageBreak/>
              <w:t>kabinetsappreciatie (‘BNC-fiche’) vragen, bespreken.</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ambtenaren of Commissaris van Europese Commissie (de ‘auteurs’) uitnodigen voor briefing/gesprek, evt. via videoconferentie</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 xml:space="preserve">indien het Europees Parlement een rapporteur </w:t>
            </w:r>
            <w:r w:rsidRPr="00A923E5">
              <w:rPr>
                <w:rFonts w:ascii="Verdana" w:hAnsi="Verdana"/>
                <w:sz w:val="18"/>
                <w:szCs w:val="18"/>
              </w:rPr>
              <w:lastRenderedPageBreak/>
              <w:t>heeft aangesteld kan deze desgewenst worden uitgenodigd voor een gesprek.</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uw commissie kan op dit onderwerp een ad-hoc rapporteur benoemen</w:t>
            </w:r>
          </w:p>
          <w:p w:rsidRPr="00A923E5" w:rsidR="0098120E" w:rsidP="009874A7" w:rsidRDefault="0098120E">
            <w:pPr>
              <w:pStyle w:val="Voetnoottekst"/>
              <w:ind w:left="360"/>
              <w:rPr>
                <w:rFonts w:ascii="Verdana" w:hAnsi="Verdana"/>
                <w:sz w:val="18"/>
                <w:szCs w:val="18"/>
              </w:rPr>
            </w:pPr>
            <w:r w:rsidRPr="00A923E5">
              <w:rPr>
                <w:rFonts w:ascii="Verdana" w:hAnsi="Verdana"/>
                <w:sz w:val="18"/>
                <w:szCs w:val="18"/>
              </w:rPr>
              <w:t>nationale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98120E" w:rsidTr="009874A7">
        <w:tc>
          <w:tcPr>
            <w:tcW w:w="14142" w:type="dxa"/>
            <w:gridSpan w:val="3"/>
          </w:tcPr>
          <w:p w:rsidRPr="00A923E5" w:rsidR="0098120E" w:rsidP="009874A7" w:rsidRDefault="0098120E">
            <w:pPr>
              <w:pStyle w:val="Voetnoottekst"/>
              <w:rPr>
                <w:rFonts w:ascii="Verdana" w:hAnsi="Verdana"/>
                <w:i/>
                <w:sz w:val="18"/>
                <w:szCs w:val="18"/>
              </w:rPr>
            </w:pPr>
            <w:r w:rsidRPr="00A923E5">
              <w:rPr>
                <w:rFonts w:ascii="Verdana" w:hAnsi="Verdana"/>
                <w:i/>
                <w:sz w:val="18"/>
                <w:szCs w:val="18"/>
              </w:rPr>
              <w:lastRenderedPageBreak/>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Advies, aanbeveling, mededeling</w:t>
            </w:r>
          </w:p>
          <w:p w:rsidRPr="00A923E5" w:rsidR="0098120E" w:rsidP="009874A7" w:rsidRDefault="0098120E">
            <w:pPr>
              <w:jc w:val="right"/>
              <w:rPr>
                <w:rFonts w:ascii="Verdana" w:hAnsi="Verdana"/>
              </w:rPr>
            </w:pPr>
          </w:p>
          <w:p w:rsidRPr="00A923E5" w:rsidR="0098120E" w:rsidP="009874A7" w:rsidRDefault="0098120E">
            <w:pPr>
              <w:jc w:val="right"/>
              <w:rPr>
                <w:rFonts w:ascii="Verdana" w:hAnsi="Verdana"/>
              </w:rPr>
            </w:pPr>
          </w:p>
          <w:p w:rsidRPr="00A923E5" w:rsidR="0098120E" w:rsidP="009874A7" w:rsidRDefault="0098120E">
            <w:pPr>
              <w:jc w:val="right"/>
              <w:rPr>
                <w:rFonts w:ascii="Verdana" w:hAnsi="Verdana"/>
              </w:rPr>
            </w:pPr>
          </w:p>
          <w:p w:rsidRPr="00A923E5" w:rsidR="0098120E" w:rsidP="009874A7" w:rsidRDefault="0098120E">
            <w:pPr>
              <w:jc w:val="right"/>
              <w:rPr>
                <w:rFonts w:ascii="Verdana" w:hAnsi="Verdana"/>
              </w:rPr>
            </w:pPr>
          </w:p>
          <w:p w:rsidRPr="00A923E5" w:rsidR="0098120E" w:rsidP="009874A7" w:rsidRDefault="0098120E">
            <w:pPr>
              <w:jc w:val="right"/>
              <w:rPr>
                <w:rFonts w:ascii="Verdana" w:hAnsi="Verdana"/>
              </w:rPr>
            </w:pPr>
          </w:p>
        </w:tc>
        <w:tc>
          <w:tcPr>
            <w:tcW w:w="6946" w:type="dxa"/>
          </w:tcPr>
          <w:p w:rsidRPr="00A923E5" w:rsidR="0098120E" w:rsidP="009874A7" w:rsidRDefault="0098120E">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98120E" w:rsidP="009874A7" w:rsidRDefault="0098120E">
            <w:pPr>
              <w:pStyle w:val="Voetnoottekst"/>
              <w:rPr>
                <w:rFonts w:ascii="Verdana" w:hAnsi="Verdana"/>
                <w:sz w:val="18"/>
                <w:szCs w:val="18"/>
              </w:rPr>
            </w:pPr>
          </w:p>
          <w:p w:rsidRPr="00A923E5" w:rsidR="0098120E" w:rsidP="009874A7" w:rsidRDefault="0098120E">
            <w:pPr>
              <w:pStyle w:val="Voetnoottekst"/>
              <w:rPr>
                <w:rFonts w:ascii="Verdana" w:hAnsi="Verdana"/>
                <w:sz w:val="18"/>
                <w:szCs w:val="18"/>
              </w:rPr>
            </w:pPr>
          </w:p>
          <w:p w:rsidRPr="00A923E5" w:rsidR="0098120E" w:rsidP="009874A7" w:rsidRDefault="0098120E">
            <w:pPr>
              <w:pStyle w:val="Voetnoottekst"/>
              <w:rPr>
                <w:rFonts w:ascii="Verdana" w:hAnsi="Verdana"/>
                <w:sz w:val="18"/>
                <w:szCs w:val="18"/>
              </w:rPr>
            </w:pPr>
          </w:p>
          <w:p w:rsidRPr="00A923E5" w:rsidR="0098120E" w:rsidP="009874A7" w:rsidRDefault="0098120E">
            <w:pPr>
              <w:pStyle w:val="Voetnoottekst"/>
              <w:rPr>
                <w:rFonts w:ascii="Verdana" w:hAnsi="Verdana"/>
                <w:sz w:val="18"/>
                <w:szCs w:val="18"/>
              </w:rPr>
            </w:pPr>
          </w:p>
          <w:p w:rsidRPr="00A923E5" w:rsidR="0098120E" w:rsidP="009874A7" w:rsidRDefault="0098120E">
            <w:pPr>
              <w:pStyle w:val="Voetnoottekst"/>
              <w:rPr>
                <w:rFonts w:ascii="Verdana" w:hAnsi="Verdana"/>
                <w:sz w:val="18"/>
                <w:szCs w:val="18"/>
              </w:rPr>
            </w:pPr>
          </w:p>
        </w:tc>
      </w:tr>
      <w:tr w:rsidRPr="00A923E5" w:rsidR="0098120E" w:rsidTr="009874A7">
        <w:tc>
          <w:tcPr>
            <w:tcW w:w="14142" w:type="dxa"/>
            <w:gridSpan w:val="3"/>
          </w:tcPr>
          <w:p w:rsidRPr="00A923E5" w:rsidR="0098120E" w:rsidP="009874A7" w:rsidRDefault="0098120E">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98120E" w:rsidP="009874A7" w:rsidRDefault="0098120E">
            <w:pPr>
              <w:pStyle w:val="Voetnoottekst"/>
              <w:rPr>
                <w:rFonts w:ascii="Verdana" w:hAnsi="Verdana"/>
                <w:sz w:val="18"/>
                <w:szCs w:val="18"/>
              </w:rPr>
            </w:pPr>
          </w:p>
          <w:p w:rsidRPr="00A923E5" w:rsidR="0098120E" w:rsidP="009874A7" w:rsidRDefault="0098120E">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Openbare raadpleging (consultatie)</w:t>
            </w:r>
          </w:p>
        </w:tc>
        <w:tc>
          <w:tcPr>
            <w:tcW w:w="6946" w:type="dxa"/>
          </w:tcPr>
          <w:p w:rsidRPr="00A923E5" w:rsidR="0098120E" w:rsidP="009874A7" w:rsidRDefault="0098120E">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w:t>
            </w:r>
            <w:r w:rsidRPr="00A923E5">
              <w:rPr>
                <w:rFonts w:ascii="Verdana" w:hAnsi="Verdana"/>
                <w:sz w:val="18"/>
                <w:szCs w:val="18"/>
              </w:rPr>
              <w:lastRenderedPageBreak/>
              <w:t xml:space="preserve">expertise op het betrokken gebied kunnen de Commissie helpen om invulling te geven aan haar voorstellen, voordat ze die ter bespreking en goedkeuring naar de Raad en het Europees Parlement stuurt. </w:t>
            </w:r>
            <w:hyperlink w:history="1" r:id="rId10">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98120E" w:rsidP="009874A7" w:rsidRDefault="0098120E">
            <w:pPr>
              <w:pStyle w:val="Voetnoottekst"/>
              <w:numPr>
                <w:ilvl w:val="0"/>
                <w:numId w:val="1"/>
              </w:numPr>
              <w:autoSpaceDE w:val="0"/>
              <w:autoSpaceDN w:val="0"/>
              <w:rPr>
                <w:rFonts w:ascii="Verdana" w:hAnsi="Verdana"/>
                <w:sz w:val="18"/>
                <w:szCs w:val="18"/>
              </w:rPr>
            </w:pPr>
            <w:r w:rsidRPr="00A923E5">
              <w:rPr>
                <w:rFonts w:ascii="Verdana" w:hAnsi="Verdana"/>
                <w:sz w:val="18"/>
                <w:szCs w:val="18"/>
              </w:rPr>
              <w:lastRenderedPageBreak/>
              <w:t xml:space="preserve">als burger, lid, fractie of in commissieverband (via schriftelijke inbreng in de vorm van een politieke dialoog). meedoen aan de openbare </w:t>
            </w:r>
            <w:r w:rsidRPr="00A923E5">
              <w:rPr>
                <w:rFonts w:ascii="Verdana" w:hAnsi="Verdana"/>
                <w:sz w:val="18"/>
                <w:szCs w:val="18"/>
              </w:rPr>
              <w:lastRenderedPageBreak/>
              <w:t>raadpleging.</w:t>
            </w:r>
          </w:p>
          <w:p w:rsidRPr="00A923E5" w:rsidR="0098120E" w:rsidP="009874A7" w:rsidRDefault="0098120E">
            <w:pPr>
              <w:pStyle w:val="Voetnoottekst"/>
              <w:numPr>
                <w:ilvl w:val="0"/>
                <w:numId w:val="1"/>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98120E" w:rsidP="009874A7" w:rsidRDefault="0098120E">
            <w:pPr>
              <w:pStyle w:val="Voetnoottekst"/>
              <w:numPr>
                <w:ilvl w:val="0"/>
                <w:numId w:val="1"/>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98120E" w:rsidTr="009874A7">
        <w:tc>
          <w:tcPr>
            <w:tcW w:w="14142" w:type="dxa"/>
            <w:gridSpan w:val="3"/>
          </w:tcPr>
          <w:p w:rsidRPr="00A923E5" w:rsidR="0098120E" w:rsidP="009874A7" w:rsidRDefault="0098120E">
            <w:pPr>
              <w:pStyle w:val="Voetnoottekst"/>
              <w:rPr>
                <w:rFonts w:ascii="Verdana" w:hAnsi="Verdana"/>
                <w:i/>
                <w:sz w:val="18"/>
                <w:szCs w:val="18"/>
              </w:rPr>
            </w:pPr>
            <w:r w:rsidRPr="00A923E5">
              <w:rPr>
                <w:rFonts w:ascii="Verdana" w:hAnsi="Verdana"/>
                <w:i/>
                <w:sz w:val="18"/>
                <w:szCs w:val="18"/>
              </w:rPr>
              <w:lastRenderedPageBreak/>
              <w:t>Uitgelicht: twee specifieke parlementaire instrumenten bij nieuw gepubliceerde EU-voorstellen</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 xml:space="preserve">Subsidiariteitstoets </w:t>
            </w:r>
          </w:p>
          <w:p w:rsidRPr="00A923E5" w:rsidR="0098120E" w:rsidP="009874A7" w:rsidRDefault="0098120E">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98120E" w:rsidP="009874A7" w:rsidRDefault="0098120E">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98120E" w:rsidTr="009874A7">
        <w:tc>
          <w:tcPr>
            <w:tcW w:w="2093" w:type="dxa"/>
          </w:tcPr>
          <w:p w:rsidRPr="00A923E5" w:rsidR="0098120E" w:rsidP="009874A7" w:rsidRDefault="0098120E">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98120E" w:rsidP="009874A7" w:rsidRDefault="0098120E">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bij wetgevende EU-voorstellen kan een commissie besluiten tot het uitvoeren van een zgn. ‘behandelvoorbehoud’. Over deze brief moet plenair gestemd worden (let op de termijnen).</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98120E" w:rsidP="009874A7" w:rsidRDefault="0098120E">
            <w:pPr>
              <w:pStyle w:val="Voetnoottekst"/>
              <w:numPr>
                <w:ilvl w:val="0"/>
                <w:numId w:val="1"/>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drie weken t.b.v. een snelle behandeling.</w:t>
            </w:r>
          </w:p>
          <w:p w:rsidRPr="00A923E5" w:rsidR="0098120E" w:rsidP="009874A7" w:rsidRDefault="0098120E">
            <w:pPr>
              <w:pStyle w:val="Voetnoottekst"/>
              <w:rPr>
                <w:rFonts w:ascii="Verdana" w:hAnsi="Verdana"/>
                <w:sz w:val="18"/>
                <w:szCs w:val="18"/>
              </w:rPr>
            </w:pPr>
          </w:p>
        </w:tc>
      </w:tr>
    </w:tbl>
    <w:p w:rsidRPr="00A923E5" w:rsidR="0098120E" w:rsidP="0098120E" w:rsidRDefault="0098120E">
      <w:pPr>
        <w:rPr>
          <w:rFonts w:ascii="Verdana" w:hAnsi="Verdana"/>
          <w:sz w:val="18"/>
          <w:szCs w:val="18"/>
        </w:rPr>
      </w:pPr>
    </w:p>
    <w:p w:rsidRPr="00A923E5" w:rsidR="0098120E" w:rsidP="0098120E" w:rsidRDefault="0098120E">
      <w:pPr>
        <w:rPr>
          <w:rFonts w:ascii="Verdana" w:hAnsi="Verdana"/>
        </w:rPr>
      </w:pPr>
    </w:p>
    <w:p w:rsidRPr="00A923E5" w:rsidR="0098120E" w:rsidP="0098120E" w:rsidRDefault="0098120E">
      <w:pPr>
        <w:rPr>
          <w:rFonts w:ascii="Verdana" w:hAnsi="Verdana"/>
        </w:rPr>
      </w:pPr>
    </w:p>
    <w:p w:rsidRPr="00A923E5" w:rsidR="0098120E" w:rsidP="0098120E" w:rsidRDefault="0098120E">
      <w:pPr>
        <w:pStyle w:val="Voetnoottekst"/>
        <w:rPr>
          <w:rFonts w:ascii="Verdana" w:hAnsi="Verdana"/>
        </w:rPr>
      </w:pPr>
    </w:p>
    <w:p w:rsidRPr="00D76AEE" w:rsidR="0098120E" w:rsidP="001F5DC2" w:rsidRDefault="0098120E"/>
    <w:sectPr w:rsidRPr="00D76AEE" w:rsidR="0098120E" w:rsidSect="00BF35EE">
      <w:footerReference w:type="default" r:id="rId11"/>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8B" w:rsidRDefault="00F73A8B">
      <w:r>
        <w:separator/>
      </w:r>
    </w:p>
  </w:endnote>
  <w:endnote w:type="continuationSeparator" w:id="0">
    <w:p w:rsidR="00F73A8B" w:rsidRDefault="00F7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2E144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2B1A2E">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2B1A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8B" w:rsidRDefault="00F73A8B">
      <w:r>
        <w:separator/>
      </w:r>
    </w:p>
  </w:footnote>
  <w:footnote w:type="continuationSeparator" w:id="0">
    <w:p w:rsidR="00F73A8B" w:rsidRDefault="00F73A8B">
      <w:r>
        <w:continuationSeparator/>
      </w:r>
    </w:p>
  </w:footnote>
  <w:footnote w:id="1">
    <w:p w:rsidR="0098120E" w:rsidRDefault="0098120E" w:rsidP="0098120E">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8120E" w:rsidRPr="00B45904" w:rsidRDefault="0098120E" w:rsidP="0098120E">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170F8"/>
    <w:rsid w:val="000354FF"/>
    <w:rsid w:val="000441AB"/>
    <w:rsid w:val="00053E3A"/>
    <w:rsid w:val="00073A38"/>
    <w:rsid w:val="000B7B3D"/>
    <w:rsid w:val="00143B93"/>
    <w:rsid w:val="0014628A"/>
    <w:rsid w:val="001544E9"/>
    <w:rsid w:val="001662DC"/>
    <w:rsid w:val="00183694"/>
    <w:rsid w:val="00183EFD"/>
    <w:rsid w:val="00191421"/>
    <w:rsid w:val="001F5DC2"/>
    <w:rsid w:val="00207E0A"/>
    <w:rsid w:val="00220EED"/>
    <w:rsid w:val="00221D64"/>
    <w:rsid w:val="002341C3"/>
    <w:rsid w:val="00270661"/>
    <w:rsid w:val="00274896"/>
    <w:rsid w:val="002A6C83"/>
    <w:rsid w:val="002B1A2E"/>
    <w:rsid w:val="002E1447"/>
    <w:rsid w:val="002E5201"/>
    <w:rsid w:val="002F6156"/>
    <w:rsid w:val="0030144C"/>
    <w:rsid w:val="00393358"/>
    <w:rsid w:val="003C35BA"/>
    <w:rsid w:val="003E6633"/>
    <w:rsid w:val="00406E35"/>
    <w:rsid w:val="00454C0B"/>
    <w:rsid w:val="004C7A6A"/>
    <w:rsid w:val="00506219"/>
    <w:rsid w:val="00516474"/>
    <w:rsid w:val="00575472"/>
    <w:rsid w:val="00575D2D"/>
    <w:rsid w:val="00576674"/>
    <w:rsid w:val="00582DB1"/>
    <w:rsid w:val="00605823"/>
    <w:rsid w:val="00607C13"/>
    <w:rsid w:val="00625AFA"/>
    <w:rsid w:val="00641F6A"/>
    <w:rsid w:val="00642934"/>
    <w:rsid w:val="00683DAA"/>
    <w:rsid w:val="00693109"/>
    <w:rsid w:val="006B0088"/>
    <w:rsid w:val="006C7E1C"/>
    <w:rsid w:val="006D1F70"/>
    <w:rsid w:val="0071340D"/>
    <w:rsid w:val="007529D4"/>
    <w:rsid w:val="0077637D"/>
    <w:rsid w:val="007D1ED6"/>
    <w:rsid w:val="007E6EE7"/>
    <w:rsid w:val="00811A22"/>
    <w:rsid w:val="00825CF8"/>
    <w:rsid w:val="00827831"/>
    <w:rsid w:val="00827F25"/>
    <w:rsid w:val="00920730"/>
    <w:rsid w:val="00967BD4"/>
    <w:rsid w:val="0098120E"/>
    <w:rsid w:val="0099016B"/>
    <w:rsid w:val="009A3B9C"/>
    <w:rsid w:val="009C7DE9"/>
    <w:rsid w:val="009D2B40"/>
    <w:rsid w:val="00A04982"/>
    <w:rsid w:val="00A22B5D"/>
    <w:rsid w:val="00A32824"/>
    <w:rsid w:val="00A74437"/>
    <w:rsid w:val="00A762AC"/>
    <w:rsid w:val="00A7766A"/>
    <w:rsid w:val="00A84063"/>
    <w:rsid w:val="00A91CAE"/>
    <w:rsid w:val="00AB7F45"/>
    <w:rsid w:val="00AF6F60"/>
    <w:rsid w:val="00B30C96"/>
    <w:rsid w:val="00B36C03"/>
    <w:rsid w:val="00B422B1"/>
    <w:rsid w:val="00B823EF"/>
    <w:rsid w:val="00C33F38"/>
    <w:rsid w:val="00CB3F59"/>
    <w:rsid w:val="00CD1A2C"/>
    <w:rsid w:val="00CE1C77"/>
    <w:rsid w:val="00CE5408"/>
    <w:rsid w:val="00D22A8E"/>
    <w:rsid w:val="00D51B60"/>
    <w:rsid w:val="00D66EED"/>
    <w:rsid w:val="00D76AEE"/>
    <w:rsid w:val="00DB6BE1"/>
    <w:rsid w:val="00DD5B86"/>
    <w:rsid w:val="00DF3FBF"/>
    <w:rsid w:val="00E02472"/>
    <w:rsid w:val="00E132FF"/>
    <w:rsid w:val="00E22175"/>
    <w:rsid w:val="00E32EA8"/>
    <w:rsid w:val="00E37641"/>
    <w:rsid w:val="00E512BF"/>
    <w:rsid w:val="00E7302E"/>
    <w:rsid w:val="00E770E7"/>
    <w:rsid w:val="00E839B7"/>
    <w:rsid w:val="00EA2272"/>
    <w:rsid w:val="00EA5DDF"/>
    <w:rsid w:val="00F41C79"/>
    <w:rsid w:val="00F50A0B"/>
    <w:rsid w:val="00F537C4"/>
    <w:rsid w:val="00F739E8"/>
    <w:rsid w:val="00F73A8B"/>
    <w:rsid w:val="00F76A90"/>
    <w:rsid w:val="00F852E4"/>
    <w:rsid w:val="00FA7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6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character" w:styleId="GevolgdeHyperlink">
    <w:name w:val="FollowedHyperlink"/>
    <w:basedOn w:val="Standaardalinea-lettertype"/>
    <w:rsid w:val="00693109"/>
    <w:rPr>
      <w:color w:val="800080" w:themeColor="followedHyperlink"/>
      <w:u w:val="single"/>
    </w:rPr>
  </w:style>
  <w:style w:type="character" w:styleId="Zwaar">
    <w:name w:val="Strong"/>
    <w:basedOn w:val="Standaardalinea-lettertype"/>
    <w:uiPriority w:val="22"/>
    <w:qFormat/>
    <w:rsid w:val="00605823"/>
    <w:rPr>
      <w:b/>
      <w:bCs/>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605823"/>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605823"/>
  </w:style>
  <w:style w:type="table" w:styleId="Tabelraster">
    <w:name w:val="Table Grid"/>
    <w:basedOn w:val="Standaardtabel"/>
    <w:rsid w:val="0060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605823"/>
    <w:pPr>
      <w:ind w:left="720"/>
    </w:pPr>
    <w:rPr>
      <w:rFonts w:eastAsiaTheme="minorHAnsi"/>
    </w:rPr>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605823"/>
    <w:rPr>
      <w:vertAlign w:val="superscript"/>
    </w:rPr>
  </w:style>
  <w:style w:type="character" w:styleId="Nadruk">
    <w:name w:val="Emphasis"/>
    <w:basedOn w:val="Standaardalinea-lettertype"/>
    <w:uiPriority w:val="20"/>
    <w:qFormat/>
    <w:rsid w:val="00625AFA"/>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98120E"/>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98120E"/>
    <w:rPr>
      <w:rFonts w:eastAsiaTheme="minorHAnsi"/>
      <w:sz w:val="24"/>
      <w:szCs w:val="24"/>
    </w:rPr>
  </w:style>
  <w:style w:type="paragraph" w:customStyle="1" w:styleId="Default">
    <w:name w:val="Default"/>
    <w:rsid w:val="00683DA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67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character" w:styleId="GevolgdeHyperlink">
    <w:name w:val="FollowedHyperlink"/>
    <w:basedOn w:val="Standaardalinea-lettertype"/>
    <w:rsid w:val="00693109"/>
    <w:rPr>
      <w:color w:val="800080" w:themeColor="followedHyperlink"/>
      <w:u w:val="single"/>
    </w:rPr>
  </w:style>
  <w:style w:type="character" w:styleId="Zwaar">
    <w:name w:val="Strong"/>
    <w:basedOn w:val="Standaardalinea-lettertype"/>
    <w:uiPriority w:val="22"/>
    <w:qFormat/>
    <w:rsid w:val="00605823"/>
    <w:rPr>
      <w:b/>
      <w:bCs/>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605823"/>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605823"/>
  </w:style>
  <w:style w:type="table" w:styleId="Tabelraster">
    <w:name w:val="Table Grid"/>
    <w:basedOn w:val="Standaardtabel"/>
    <w:rsid w:val="0060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605823"/>
    <w:pPr>
      <w:ind w:left="720"/>
    </w:pPr>
    <w:rPr>
      <w:rFonts w:eastAsiaTheme="minorHAnsi"/>
    </w:rPr>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605823"/>
    <w:rPr>
      <w:vertAlign w:val="superscript"/>
    </w:rPr>
  </w:style>
  <w:style w:type="character" w:styleId="Nadruk">
    <w:name w:val="Emphasis"/>
    <w:basedOn w:val="Standaardalinea-lettertype"/>
    <w:uiPriority w:val="20"/>
    <w:qFormat/>
    <w:rsid w:val="00625AFA"/>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98120E"/>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98120E"/>
    <w:rPr>
      <w:rFonts w:eastAsiaTheme="minorHAnsi"/>
      <w:sz w:val="24"/>
      <w:szCs w:val="24"/>
    </w:rPr>
  </w:style>
  <w:style w:type="paragraph" w:customStyle="1" w:styleId="Default">
    <w:name w:val="Default"/>
    <w:rsid w:val="00683D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11700397">
      <w:bodyDiv w:val="1"/>
      <w:marLeft w:val="0"/>
      <w:marRight w:val="0"/>
      <w:marTop w:val="0"/>
      <w:marBottom w:val="0"/>
      <w:divBdr>
        <w:top w:val="none" w:sz="0" w:space="0" w:color="auto"/>
        <w:left w:val="none" w:sz="0" w:space="0" w:color="auto"/>
        <w:bottom w:val="none" w:sz="0" w:space="0" w:color="auto"/>
        <w:right w:val="none" w:sz="0" w:space="0" w:color="auto"/>
      </w:divBdr>
      <w:divsChild>
        <w:div w:id="992677899">
          <w:marLeft w:val="0"/>
          <w:marRight w:val="0"/>
          <w:marTop w:val="0"/>
          <w:marBottom w:val="0"/>
          <w:divBdr>
            <w:top w:val="none" w:sz="0" w:space="0" w:color="auto"/>
            <w:left w:val="none" w:sz="0" w:space="0" w:color="auto"/>
            <w:bottom w:val="none" w:sz="0" w:space="0" w:color="auto"/>
            <w:right w:val="none" w:sz="0" w:space="0" w:color="auto"/>
          </w:divBdr>
          <w:divsChild>
            <w:div w:id="1652784745">
              <w:marLeft w:val="0"/>
              <w:marRight w:val="0"/>
              <w:marTop w:val="0"/>
              <w:marBottom w:val="0"/>
              <w:divBdr>
                <w:top w:val="none" w:sz="0" w:space="0" w:color="auto"/>
                <w:left w:val="none" w:sz="0" w:space="0" w:color="auto"/>
                <w:bottom w:val="none" w:sz="0" w:space="0" w:color="auto"/>
                <w:right w:val="none" w:sz="0" w:space="0" w:color="auto"/>
              </w:divBdr>
              <w:divsChild>
                <w:div w:id="1902323420">
                  <w:marLeft w:val="0"/>
                  <w:marRight w:val="0"/>
                  <w:marTop w:val="0"/>
                  <w:marBottom w:val="0"/>
                  <w:divBdr>
                    <w:top w:val="none" w:sz="0" w:space="0" w:color="auto"/>
                    <w:left w:val="none" w:sz="0" w:space="0" w:color="auto"/>
                    <w:bottom w:val="none" w:sz="0" w:space="0" w:color="auto"/>
                    <w:right w:val="none" w:sz="0" w:space="0" w:color="auto"/>
                  </w:divBdr>
                  <w:divsChild>
                    <w:div w:id="1531407050">
                      <w:marLeft w:val="0"/>
                      <w:marRight w:val="0"/>
                      <w:marTop w:val="0"/>
                      <w:marBottom w:val="0"/>
                      <w:divBdr>
                        <w:top w:val="none" w:sz="0" w:space="0" w:color="auto"/>
                        <w:left w:val="none" w:sz="0" w:space="0" w:color="auto"/>
                        <w:bottom w:val="none" w:sz="0" w:space="0" w:color="auto"/>
                        <w:right w:val="none" w:sz="0" w:space="0" w:color="auto"/>
                      </w:divBdr>
                      <w:divsChild>
                        <w:div w:id="1081103258">
                          <w:marLeft w:val="0"/>
                          <w:marRight w:val="0"/>
                          <w:marTop w:val="0"/>
                          <w:marBottom w:val="0"/>
                          <w:divBdr>
                            <w:top w:val="none" w:sz="0" w:space="0" w:color="auto"/>
                            <w:left w:val="none" w:sz="0" w:space="0" w:color="auto"/>
                            <w:bottom w:val="none" w:sz="0" w:space="0" w:color="auto"/>
                            <w:right w:val="none" w:sz="0" w:space="0" w:color="auto"/>
                          </w:divBdr>
                          <w:divsChild>
                            <w:div w:id="363554181">
                              <w:marLeft w:val="-225"/>
                              <w:marRight w:val="-225"/>
                              <w:marTop w:val="0"/>
                              <w:marBottom w:val="0"/>
                              <w:divBdr>
                                <w:top w:val="none" w:sz="0" w:space="0" w:color="auto"/>
                                <w:left w:val="none" w:sz="0" w:space="0" w:color="auto"/>
                                <w:bottom w:val="none" w:sz="0" w:space="0" w:color="auto"/>
                                <w:right w:val="none" w:sz="0" w:space="0" w:color="auto"/>
                              </w:divBdr>
                              <w:divsChild>
                                <w:div w:id="1541210700">
                                  <w:marLeft w:val="0"/>
                                  <w:marRight w:val="0"/>
                                  <w:marTop w:val="0"/>
                                  <w:marBottom w:val="0"/>
                                  <w:divBdr>
                                    <w:top w:val="none" w:sz="0" w:space="0" w:color="auto"/>
                                    <w:left w:val="none" w:sz="0" w:space="0" w:color="auto"/>
                                    <w:bottom w:val="none" w:sz="0" w:space="0" w:color="auto"/>
                                    <w:right w:val="none" w:sz="0" w:space="0" w:color="auto"/>
                                  </w:divBdr>
                                  <w:divsChild>
                                    <w:div w:id="1519201359">
                                      <w:marLeft w:val="0"/>
                                      <w:marRight w:val="0"/>
                                      <w:marTop w:val="0"/>
                                      <w:marBottom w:val="133"/>
                                      <w:divBdr>
                                        <w:top w:val="none" w:sz="0" w:space="0" w:color="auto"/>
                                        <w:left w:val="none" w:sz="0" w:space="0" w:color="auto"/>
                                        <w:bottom w:val="none" w:sz="0" w:space="0" w:color="auto"/>
                                        <w:right w:val="none" w:sz="0" w:space="0" w:color="auto"/>
                                      </w:divBdr>
                                      <w:divsChild>
                                        <w:div w:id="21427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626737169">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1010714905">
      <w:bodyDiv w:val="1"/>
      <w:marLeft w:val="0"/>
      <w:marRight w:val="0"/>
      <w:marTop w:val="0"/>
      <w:marBottom w:val="0"/>
      <w:divBdr>
        <w:top w:val="none" w:sz="0" w:space="0" w:color="auto"/>
        <w:left w:val="none" w:sz="0" w:space="0" w:color="auto"/>
        <w:bottom w:val="none" w:sz="0" w:space="0" w:color="auto"/>
        <w:right w:val="none" w:sz="0" w:space="0" w:color="auto"/>
      </w:divBdr>
      <w:divsChild>
        <w:div w:id="1017581764">
          <w:marLeft w:val="0"/>
          <w:marRight w:val="0"/>
          <w:marTop w:val="0"/>
          <w:marBottom w:val="0"/>
          <w:divBdr>
            <w:top w:val="none" w:sz="0" w:space="0" w:color="auto"/>
            <w:left w:val="none" w:sz="0" w:space="0" w:color="auto"/>
            <w:bottom w:val="none" w:sz="0" w:space="0" w:color="auto"/>
            <w:right w:val="none" w:sz="0" w:space="0" w:color="auto"/>
          </w:divBdr>
          <w:divsChild>
            <w:div w:id="815295017">
              <w:marLeft w:val="0"/>
              <w:marRight w:val="0"/>
              <w:marTop w:val="0"/>
              <w:marBottom w:val="0"/>
              <w:divBdr>
                <w:top w:val="none" w:sz="0" w:space="0" w:color="auto"/>
                <w:left w:val="none" w:sz="0" w:space="0" w:color="auto"/>
                <w:bottom w:val="none" w:sz="0" w:space="0" w:color="auto"/>
                <w:right w:val="none" w:sz="0" w:space="0" w:color="auto"/>
              </w:divBdr>
              <w:divsChild>
                <w:div w:id="1217934981">
                  <w:marLeft w:val="0"/>
                  <w:marRight w:val="0"/>
                  <w:marTop w:val="0"/>
                  <w:marBottom w:val="0"/>
                  <w:divBdr>
                    <w:top w:val="none" w:sz="0" w:space="0" w:color="auto"/>
                    <w:left w:val="none" w:sz="0" w:space="0" w:color="auto"/>
                    <w:bottom w:val="none" w:sz="0" w:space="0" w:color="auto"/>
                    <w:right w:val="none" w:sz="0" w:space="0" w:color="auto"/>
                  </w:divBdr>
                  <w:divsChild>
                    <w:div w:id="1303543028">
                      <w:marLeft w:val="0"/>
                      <w:marRight w:val="0"/>
                      <w:marTop w:val="0"/>
                      <w:marBottom w:val="0"/>
                      <w:divBdr>
                        <w:top w:val="none" w:sz="0" w:space="0" w:color="auto"/>
                        <w:left w:val="none" w:sz="0" w:space="0" w:color="auto"/>
                        <w:bottom w:val="none" w:sz="0" w:space="0" w:color="auto"/>
                        <w:right w:val="none" w:sz="0" w:space="0" w:color="auto"/>
                      </w:divBdr>
                      <w:divsChild>
                        <w:div w:id="767241715">
                          <w:marLeft w:val="0"/>
                          <w:marRight w:val="0"/>
                          <w:marTop w:val="0"/>
                          <w:marBottom w:val="0"/>
                          <w:divBdr>
                            <w:top w:val="none" w:sz="0" w:space="0" w:color="auto"/>
                            <w:left w:val="none" w:sz="0" w:space="0" w:color="auto"/>
                            <w:bottom w:val="none" w:sz="0" w:space="0" w:color="auto"/>
                            <w:right w:val="none" w:sz="0" w:space="0" w:color="auto"/>
                          </w:divBdr>
                          <w:divsChild>
                            <w:div w:id="1986858153">
                              <w:marLeft w:val="-225"/>
                              <w:marRight w:val="-225"/>
                              <w:marTop w:val="0"/>
                              <w:marBottom w:val="0"/>
                              <w:divBdr>
                                <w:top w:val="none" w:sz="0" w:space="0" w:color="auto"/>
                                <w:left w:val="none" w:sz="0" w:space="0" w:color="auto"/>
                                <w:bottom w:val="none" w:sz="0" w:space="0" w:color="auto"/>
                                <w:right w:val="none" w:sz="0" w:space="0" w:color="auto"/>
                              </w:divBdr>
                              <w:divsChild>
                                <w:div w:id="1961112339">
                                  <w:marLeft w:val="0"/>
                                  <w:marRight w:val="0"/>
                                  <w:marTop w:val="0"/>
                                  <w:marBottom w:val="0"/>
                                  <w:divBdr>
                                    <w:top w:val="none" w:sz="0" w:space="0" w:color="auto"/>
                                    <w:left w:val="none" w:sz="0" w:space="0" w:color="auto"/>
                                    <w:bottom w:val="none" w:sz="0" w:space="0" w:color="auto"/>
                                    <w:right w:val="none" w:sz="0" w:space="0" w:color="auto"/>
                                  </w:divBdr>
                                  <w:divsChild>
                                    <w:div w:id="593975208">
                                      <w:marLeft w:val="0"/>
                                      <w:marRight w:val="0"/>
                                      <w:marTop w:val="0"/>
                                      <w:marBottom w:val="133"/>
                                      <w:divBdr>
                                        <w:top w:val="none" w:sz="0" w:space="0" w:color="auto"/>
                                        <w:left w:val="none" w:sz="0" w:space="0" w:color="auto"/>
                                        <w:bottom w:val="none" w:sz="0" w:space="0" w:color="auto"/>
                                        <w:right w:val="none" w:sz="0" w:space="0" w:color="auto"/>
                                      </w:divBdr>
                                      <w:divsChild>
                                        <w:div w:id="1738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207422">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32784285">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20166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files/download/082dbcc5641f6e34016422cf12940909.do"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ec.europa.eu/yourvoice/consultations/index_nl.htm" TargetMode="External" Id="rId10" /><Relationship Type="http://schemas.openxmlformats.org/officeDocument/2006/relationships/settings" Target="settings.xml" Id="rId4"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2456</ap:Words>
  <ap:Characters>13513</ap:Characters>
  <ap:DocSecurity>4</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2018-03-05T09:57:00.0000000Z</lastPrinted>
  <dcterms:created xsi:type="dcterms:W3CDTF">2018-06-22T13:07:00.0000000Z</dcterms:created>
  <dcterms:modified xsi:type="dcterms:W3CDTF">2018-06-22T13:07:00.0000000Z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0x010100006C90B1B25EDC4BAD76523921BBBF50</vt:lpwstr>
  </property>
</Properties>
</file>