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E2E18" w:rsidR="00FE2E18" w:rsidP="00FE2E18" w:rsidRDefault="00FE2E18">
      <w:pPr>
        <w:keepNext/>
        <w:spacing w:before="240" w:after="240"/>
        <w:ind w:right="680"/>
        <w:jc w:val="left"/>
        <w:outlineLvl w:val="1"/>
        <w:rPr>
          <w:b/>
          <w:bCs/>
          <w:color w:val="4E81BD"/>
          <w:sz w:val="24"/>
          <w:szCs w:val="20"/>
          <w:lang w:val="nl-NL" w:eastAsia="en-US"/>
        </w:rPr>
      </w:pPr>
    </w:p>
    <w:p w:rsidRPr="00FE2E18" w:rsidR="00FE2E18" w:rsidP="00FE2E18" w:rsidRDefault="00FE2E18">
      <w:pPr>
        <w:tabs>
          <w:tab w:val="clear" w:pos="850"/>
          <w:tab w:val="clear" w:pos="1191"/>
          <w:tab w:val="clear" w:pos="1531"/>
        </w:tabs>
        <w:jc w:val="left"/>
        <w:rPr>
          <w:szCs w:val="20"/>
          <w:lang w:val="nl-NL" w:eastAsia="en-US"/>
        </w:rPr>
      </w:pPr>
    </w:p>
    <w:p w:rsidR="006B0254" w:rsidP="006B0254" w:rsidRDefault="006B0254">
      <w:pPr>
        <w:ind w:left="567" w:right="397"/>
        <w:rPr>
          <w:b/>
          <w:lang w:val="nl-NL" w:eastAsia="en-US"/>
        </w:rPr>
      </w:pPr>
    </w:p>
    <w:p w:rsidR="004F540A" w:rsidP="004F540A" w:rsidRDefault="00FE2E18">
      <w:pPr>
        <w:ind w:left="567" w:right="397"/>
        <w:jc w:val="center"/>
        <w:rPr>
          <w:b/>
          <w:lang w:val="nl-NL" w:eastAsia="en-US"/>
        </w:rPr>
      </w:pPr>
      <w:r w:rsidRPr="00FE2E18">
        <w:rPr>
          <w:b/>
          <w:lang w:val="nl-NL" w:eastAsia="en-US"/>
        </w:rPr>
        <w:t>Tweede Kamer der Staten-Generaal; Vaste Commissie voor Sociale Zaken en Werkgelegenheid</w:t>
      </w:r>
    </w:p>
    <w:p w:rsidR="004F540A" w:rsidP="004F540A" w:rsidRDefault="004F540A">
      <w:pPr>
        <w:ind w:left="567" w:right="397"/>
        <w:jc w:val="center"/>
        <w:rPr>
          <w:b/>
          <w:lang w:val="nl-NL" w:eastAsia="en-US"/>
        </w:rPr>
      </w:pPr>
    </w:p>
    <w:p w:rsidR="004F540A" w:rsidP="004F540A" w:rsidRDefault="00FE2E18">
      <w:pPr>
        <w:ind w:left="567" w:right="397"/>
        <w:jc w:val="center"/>
        <w:rPr>
          <w:b/>
          <w:lang w:val="nl-NL" w:eastAsia="en-US"/>
        </w:rPr>
      </w:pPr>
      <w:r w:rsidRPr="00FE2E18">
        <w:rPr>
          <w:b/>
          <w:lang w:val="nl-NL" w:eastAsia="en-US"/>
        </w:rPr>
        <w:t xml:space="preserve">Rondetafelgesprek “Gelijke </w:t>
      </w:r>
      <w:r w:rsidR="00B91D69">
        <w:rPr>
          <w:b/>
          <w:lang w:val="nl-NL" w:eastAsia="en-US"/>
        </w:rPr>
        <w:t>beloning van mannen en vrouwen”</w:t>
      </w:r>
    </w:p>
    <w:p w:rsidRPr="00FE2E18" w:rsidR="00FE2E18" w:rsidP="004F540A" w:rsidRDefault="00FE2E18">
      <w:pPr>
        <w:ind w:left="567" w:right="397"/>
        <w:jc w:val="center"/>
        <w:rPr>
          <w:b/>
          <w:lang w:val="nl-NL" w:eastAsia="en-US"/>
        </w:rPr>
      </w:pPr>
      <w:r w:rsidRPr="00FE2E18">
        <w:rPr>
          <w:b/>
          <w:lang w:val="nl-NL" w:eastAsia="en-US"/>
        </w:rPr>
        <w:t>25 Juni 2018, ’s-Gravenhage.</w:t>
      </w:r>
    </w:p>
    <w:p w:rsidRPr="00FE2E18" w:rsidR="00FE2E18" w:rsidP="00FE2E18" w:rsidRDefault="00FE2E18">
      <w:pPr>
        <w:tabs>
          <w:tab w:val="clear" w:pos="850"/>
          <w:tab w:val="clear" w:pos="1191"/>
          <w:tab w:val="clear" w:pos="1531"/>
        </w:tabs>
        <w:jc w:val="left"/>
        <w:rPr>
          <w:szCs w:val="20"/>
          <w:lang w:val="nl-NL" w:eastAsia="en-US"/>
        </w:rPr>
      </w:pPr>
    </w:p>
    <w:p w:rsidR="00FE2E18" w:rsidP="00FE2E18" w:rsidRDefault="00FE2E18">
      <w:pPr>
        <w:tabs>
          <w:tab w:val="clear" w:pos="850"/>
          <w:tab w:val="clear" w:pos="1191"/>
          <w:tab w:val="clear" w:pos="1531"/>
        </w:tabs>
        <w:jc w:val="left"/>
        <w:rPr>
          <w:szCs w:val="20"/>
          <w:lang w:val="nl-NL" w:eastAsia="en-US"/>
        </w:rPr>
      </w:pPr>
    </w:p>
    <w:p w:rsidR="004F540A" w:rsidP="00FE2E18" w:rsidRDefault="004F540A">
      <w:pPr>
        <w:tabs>
          <w:tab w:val="clear" w:pos="850"/>
          <w:tab w:val="clear" w:pos="1191"/>
          <w:tab w:val="clear" w:pos="1531"/>
        </w:tabs>
        <w:jc w:val="left"/>
        <w:rPr>
          <w:szCs w:val="20"/>
          <w:lang w:val="nl-NL" w:eastAsia="en-US"/>
        </w:rPr>
      </w:pPr>
    </w:p>
    <w:p w:rsidR="004F540A" w:rsidP="00FE2E18" w:rsidRDefault="004F540A">
      <w:pPr>
        <w:tabs>
          <w:tab w:val="clear" w:pos="850"/>
          <w:tab w:val="clear" w:pos="1191"/>
          <w:tab w:val="clear" w:pos="1531"/>
        </w:tabs>
        <w:jc w:val="left"/>
        <w:rPr>
          <w:szCs w:val="20"/>
          <w:lang w:val="nl-NL" w:eastAsia="en-US"/>
        </w:rPr>
      </w:pPr>
    </w:p>
    <w:p w:rsidR="004F540A" w:rsidP="00FE2E18" w:rsidRDefault="004F540A">
      <w:pPr>
        <w:tabs>
          <w:tab w:val="clear" w:pos="850"/>
          <w:tab w:val="clear" w:pos="1191"/>
          <w:tab w:val="clear" w:pos="1531"/>
        </w:tabs>
        <w:jc w:val="left"/>
        <w:rPr>
          <w:szCs w:val="20"/>
          <w:lang w:val="nl-NL" w:eastAsia="en-US"/>
        </w:rPr>
      </w:pPr>
    </w:p>
    <w:p w:rsidRPr="00FE2E18" w:rsidR="004F540A" w:rsidP="00FE2E18" w:rsidRDefault="004F540A">
      <w:pPr>
        <w:tabs>
          <w:tab w:val="clear" w:pos="850"/>
          <w:tab w:val="clear" w:pos="1191"/>
          <w:tab w:val="clear" w:pos="1531"/>
        </w:tabs>
        <w:jc w:val="left"/>
        <w:rPr>
          <w:szCs w:val="20"/>
          <w:lang w:val="nl-NL" w:eastAsia="en-US"/>
        </w:rPr>
      </w:pPr>
    </w:p>
    <w:p w:rsidRPr="00B91D69" w:rsidR="00FE2E18" w:rsidP="006B0254" w:rsidRDefault="00FE2E18">
      <w:pPr>
        <w:tabs>
          <w:tab w:val="clear" w:pos="850"/>
          <w:tab w:val="clear" w:pos="1191"/>
          <w:tab w:val="clear" w:pos="1531"/>
        </w:tabs>
        <w:ind w:left="567" w:right="397"/>
        <w:jc w:val="left"/>
        <w:rPr>
          <w:szCs w:val="20"/>
          <w:lang w:eastAsia="en-US"/>
        </w:rPr>
      </w:pPr>
      <w:r w:rsidRPr="00FE2E18">
        <w:rPr>
          <w:szCs w:val="20"/>
          <w:lang w:val="nl-NL" w:eastAsia="en-US"/>
        </w:rPr>
        <w:t>“Position paper”</w:t>
      </w:r>
      <w:r>
        <w:rPr>
          <w:szCs w:val="20"/>
          <w:lang w:val="nl-NL" w:eastAsia="en-US"/>
        </w:rPr>
        <w:t>, dr.</w:t>
      </w:r>
      <w:r w:rsidRPr="00FE2E18">
        <w:rPr>
          <w:szCs w:val="20"/>
          <w:lang w:val="nl-NL" w:eastAsia="en-US"/>
        </w:rPr>
        <w:t xml:space="preserve"> W. Adema, OECD Social Policy Division (OESO, Afdeling Sociaal Beleid). </w:t>
      </w:r>
      <w:r w:rsidRPr="00B91D69">
        <w:rPr>
          <w:szCs w:val="20"/>
          <w:lang w:eastAsia="en-US"/>
        </w:rPr>
        <w:t xml:space="preserve">Voor meer informatie, zie </w:t>
      </w:r>
      <w:r w:rsidRPr="00B91D69">
        <w:rPr>
          <w:i/>
          <w:szCs w:val="20"/>
          <w:lang w:eastAsia="en-US"/>
        </w:rPr>
        <w:t>OECD Gender Portal</w:t>
      </w:r>
      <w:r w:rsidRPr="00B91D69">
        <w:rPr>
          <w:szCs w:val="20"/>
          <w:lang w:eastAsia="en-US"/>
        </w:rPr>
        <w:t xml:space="preserve"> - </w:t>
      </w:r>
      <w:hyperlink w:history="1" r:id="rId7">
        <w:r w:rsidRPr="00B91D69">
          <w:rPr>
            <w:rStyle w:val="Hyperlink"/>
            <w:szCs w:val="20"/>
            <w:lang w:eastAsia="en-US"/>
          </w:rPr>
          <w:t>http://www.oecd.org/gender/</w:t>
        </w:r>
      </w:hyperlink>
      <w:r w:rsidRPr="00B91D69">
        <w:rPr>
          <w:szCs w:val="20"/>
          <w:lang w:eastAsia="en-US"/>
        </w:rPr>
        <w:t xml:space="preserve">, en OECD (2017), </w:t>
      </w:r>
      <w:r w:rsidRPr="00B91D69">
        <w:rPr>
          <w:i/>
          <w:szCs w:val="20"/>
          <w:lang w:eastAsia="en-US"/>
        </w:rPr>
        <w:t>The Pursuit of Gender Equality: An Uphill Battle</w:t>
      </w:r>
      <w:r w:rsidRPr="00B91D69">
        <w:rPr>
          <w:szCs w:val="20"/>
          <w:lang w:eastAsia="en-US"/>
        </w:rPr>
        <w:t xml:space="preserve">, OECD Publishing, Paris, </w:t>
      </w:r>
      <w:hyperlink w:history="1" r:id="rId8">
        <w:r w:rsidRPr="00B91D69">
          <w:rPr>
            <w:rStyle w:val="Hyperlink"/>
            <w:szCs w:val="20"/>
            <w:lang w:eastAsia="en-US"/>
          </w:rPr>
          <w:t>http://dx.doi.org/10.1787/9789264281318-en</w:t>
        </w:r>
      </w:hyperlink>
      <w:r w:rsidRPr="00B91D69">
        <w:rPr>
          <w:szCs w:val="20"/>
          <w:lang w:eastAsia="en-US"/>
        </w:rPr>
        <w:t xml:space="preserve"> .  </w:t>
      </w:r>
    </w:p>
    <w:p w:rsidRPr="00B91D69" w:rsidR="00FE2E18" w:rsidP="00FE2E18" w:rsidRDefault="00FE2E18">
      <w:pPr>
        <w:tabs>
          <w:tab w:val="clear" w:pos="850"/>
          <w:tab w:val="clear" w:pos="1191"/>
          <w:tab w:val="clear" w:pos="1531"/>
        </w:tabs>
        <w:jc w:val="left"/>
        <w:rPr>
          <w:szCs w:val="20"/>
          <w:lang w:eastAsia="en-US"/>
        </w:rPr>
      </w:pPr>
    </w:p>
    <w:p w:rsidRPr="00B91D69" w:rsidR="00FE2E18" w:rsidP="00FE2E18" w:rsidRDefault="00FE2E18">
      <w:pPr>
        <w:tabs>
          <w:tab w:val="clear" w:pos="850"/>
          <w:tab w:val="clear" w:pos="1191"/>
          <w:tab w:val="clear" w:pos="1531"/>
        </w:tabs>
        <w:jc w:val="left"/>
        <w:rPr>
          <w:szCs w:val="20"/>
          <w:lang w:eastAsia="en-US"/>
        </w:rPr>
      </w:pPr>
      <w:r w:rsidRPr="00B91D69">
        <w:rPr>
          <w:szCs w:val="20"/>
          <w:lang w:eastAsia="en-US"/>
        </w:rPr>
        <w:br w:type="page"/>
      </w:r>
    </w:p>
    <w:p w:rsidRPr="00FE2E18" w:rsidR="00FE2E18" w:rsidP="00FE2E18" w:rsidRDefault="00FE2E18">
      <w:pPr>
        <w:keepNext/>
        <w:spacing w:before="240" w:after="240"/>
        <w:ind w:right="680"/>
        <w:jc w:val="left"/>
        <w:outlineLvl w:val="1"/>
        <w:rPr>
          <w:b/>
          <w:bCs/>
          <w:color w:val="4E81BD"/>
          <w:sz w:val="24"/>
          <w:szCs w:val="20"/>
          <w:lang w:val="nl-NL" w:eastAsia="en-US"/>
        </w:rPr>
      </w:pPr>
      <w:r w:rsidRPr="00FE2E18">
        <w:rPr>
          <w:b/>
          <w:bCs/>
          <w:color w:val="4E81BD"/>
          <w:sz w:val="24"/>
          <w:szCs w:val="20"/>
          <w:lang w:val="nl-NL" w:eastAsia="en-US"/>
        </w:rPr>
        <w:lastRenderedPageBreak/>
        <w:t xml:space="preserve">Enkele verschillen in de arbeidsmarktuitkomsten </w:t>
      </w:r>
      <w:r>
        <w:rPr>
          <w:b/>
          <w:bCs/>
          <w:color w:val="4E81BD"/>
          <w:sz w:val="24"/>
          <w:szCs w:val="20"/>
          <w:lang w:val="nl-NL" w:eastAsia="en-US"/>
        </w:rPr>
        <w:t>v</w:t>
      </w:r>
      <w:r w:rsidRPr="00FE2E18">
        <w:rPr>
          <w:b/>
          <w:bCs/>
          <w:color w:val="4E81BD"/>
          <w:sz w:val="24"/>
          <w:szCs w:val="20"/>
          <w:lang w:val="nl-NL" w:eastAsia="en-US"/>
        </w:rPr>
        <w:t xml:space="preserve">an mannen en vrouwen </w:t>
      </w:r>
    </w:p>
    <w:p w:rsidRPr="00FE2E18" w:rsidR="00FE2E18" w:rsidP="00FE2E18" w:rsidRDefault="00FE2E18">
      <w:pPr>
        <w:tabs>
          <w:tab w:val="clear" w:pos="850"/>
          <w:tab w:val="clear" w:pos="1191"/>
          <w:tab w:val="clear" w:pos="1531"/>
        </w:tabs>
        <w:spacing w:before="120" w:after="120"/>
        <w:ind w:left="680" w:right="680"/>
        <w:rPr>
          <w:rFonts w:eastAsia="SimSun"/>
          <w:szCs w:val="20"/>
          <w:lang w:val="nl-NL" w:eastAsia="en-US"/>
        </w:rPr>
      </w:pPr>
    </w:p>
    <w:p w:rsidRPr="00FE2E18" w:rsidR="00FE2E18" w:rsidP="00FE2E18" w:rsidRDefault="00FE2E18">
      <w:pPr>
        <w:tabs>
          <w:tab w:val="clear" w:pos="850"/>
          <w:tab w:val="clear" w:pos="1191"/>
          <w:tab w:val="clear" w:pos="1531"/>
        </w:tabs>
        <w:spacing w:before="120" w:after="120"/>
        <w:ind w:left="680" w:right="680"/>
        <w:rPr>
          <w:rFonts w:eastAsia="SimSun"/>
          <w:sz w:val="24"/>
          <w:szCs w:val="24"/>
          <w:lang w:val="nl-NL" w:eastAsia="en-US"/>
        </w:rPr>
      </w:pPr>
      <w:r w:rsidRPr="00FE2E18">
        <w:rPr>
          <w:rFonts w:eastAsia="SimSun"/>
          <w:sz w:val="24"/>
          <w:szCs w:val="24"/>
          <w:lang w:val="nl-NL" w:eastAsia="en-US"/>
        </w:rPr>
        <w:t>De werkgelegenheid onder vrouwen in Nederland is sinds het begin van de jaren tachtig (35%) verdubbeld tot 70% in 2016. Maar een groot deel van de toename betreft deeltijdarbeid: bijna 60% van de werkende vrouwen zijn in loondienst voor minder dan 30 uur per week</w:t>
      </w:r>
      <w:r>
        <w:rPr>
          <w:rFonts w:eastAsia="SimSun"/>
          <w:sz w:val="24"/>
          <w:szCs w:val="24"/>
          <w:lang w:val="nl-NL" w:eastAsia="en-US"/>
        </w:rPr>
        <w:t xml:space="preserve"> (dit is minder dan 20% voor mannen)</w:t>
      </w:r>
      <w:r w:rsidRPr="00FE2E18">
        <w:rPr>
          <w:rFonts w:eastAsia="SimSun"/>
          <w:sz w:val="24"/>
          <w:szCs w:val="24"/>
          <w:lang w:val="nl-NL" w:eastAsia="en-US"/>
        </w:rPr>
        <w:t>. Deeltijdarbeid kan bijdragen tot tevredenheid op het werk en meer tijd voor kinderen of vrijetijdsbesteding, maar het betekent ook dat de vaardigheden van vrouwen niet volledig benut worden op de arbeidsmarkt. Bovendien beïnvloedt deeltijdwerk de lange termijn carrièrekansen van vrouwen en loonverschillen tussen mannen en vrouwen.</w:t>
      </w:r>
    </w:p>
    <w:p w:rsidRPr="00FE2E18" w:rsidR="00FE2E18" w:rsidP="00FE2E18" w:rsidRDefault="00FE2E18">
      <w:pPr>
        <w:tabs>
          <w:tab w:val="clear" w:pos="850"/>
          <w:tab w:val="clear" w:pos="1191"/>
          <w:tab w:val="clear" w:pos="1531"/>
        </w:tabs>
        <w:spacing w:before="120" w:after="120"/>
        <w:ind w:left="680" w:right="680"/>
        <w:rPr>
          <w:rFonts w:eastAsia="SimSun"/>
          <w:sz w:val="24"/>
          <w:szCs w:val="24"/>
          <w:lang w:val="nl-NL" w:eastAsia="en-US"/>
        </w:rPr>
      </w:pPr>
      <w:r w:rsidRPr="00FE2E18">
        <w:rPr>
          <w:rFonts w:eastAsia="SimSun"/>
          <w:sz w:val="24"/>
          <w:szCs w:val="24"/>
          <w:lang w:val="nl-NL" w:eastAsia="en-US"/>
        </w:rPr>
        <w:t xml:space="preserve">Het loonverschil tussen mannen en vrouwen in voltijdarbeid is 14% voor mediane inkomens, net onder het OESO-gemiddelde (Figuur 1). Omdat jonge vrouwen (25-29 jaar) vaak beter zijn opgeleid dan jonge mannen, verdienen zij in voltijdarbeid vaak meer dan mannen van dezelfde leeftijd. Het loonverschil verandert in het voordeel van mannen als er kinderen zijn in het huishouden – aangezien vrouwen dan vaak in deeltijd gaan werken. Loonverschillen zijn het grootst bij “grootverdieners”, wat aangeeft dat het voor veel vrouwen moeilijk is om carrière te maken (OECD, 2017). </w:t>
      </w:r>
    </w:p>
    <w:p w:rsidRPr="00FE2E18" w:rsidR="00FE2E18" w:rsidP="00FE2E18" w:rsidRDefault="00FE2E18">
      <w:pPr>
        <w:keepNext/>
        <w:spacing w:before="240" w:after="240"/>
        <w:ind w:right="680"/>
        <w:jc w:val="left"/>
        <w:outlineLvl w:val="1"/>
        <w:rPr>
          <w:b/>
          <w:bCs/>
          <w:color w:val="4E81BD"/>
          <w:sz w:val="24"/>
          <w:szCs w:val="20"/>
          <w:lang w:val="nl-NL" w:eastAsia="en-US"/>
        </w:rPr>
      </w:pPr>
      <w:r w:rsidRPr="00FE2E18">
        <w:rPr>
          <w:b/>
          <w:bCs/>
          <w:color w:val="4E81BD"/>
          <w:sz w:val="24"/>
          <w:szCs w:val="20"/>
          <w:lang w:val="nl-NL" w:eastAsia="en-US"/>
        </w:rPr>
        <w:t xml:space="preserve">Een </w:t>
      </w:r>
      <w:r w:rsidR="00FF61F3">
        <w:rPr>
          <w:b/>
          <w:bCs/>
          <w:color w:val="4E81BD"/>
          <w:sz w:val="24"/>
          <w:szCs w:val="20"/>
          <w:lang w:val="nl-NL" w:eastAsia="en-US"/>
        </w:rPr>
        <w:t>brede</w:t>
      </w:r>
      <w:r w:rsidRPr="00FE2E18">
        <w:rPr>
          <w:b/>
          <w:bCs/>
          <w:color w:val="4E81BD"/>
          <w:sz w:val="24"/>
          <w:szCs w:val="20"/>
          <w:lang w:val="nl-NL" w:eastAsia="en-US"/>
        </w:rPr>
        <w:t xml:space="preserve"> aanpak</w:t>
      </w:r>
    </w:p>
    <w:p w:rsidR="00FE2E18" w:rsidP="00FE2E18" w:rsidRDefault="00FE2E18">
      <w:pPr>
        <w:tabs>
          <w:tab w:val="clear" w:pos="850"/>
          <w:tab w:val="clear" w:pos="1191"/>
          <w:tab w:val="clear" w:pos="1531"/>
        </w:tabs>
        <w:spacing w:before="120" w:after="120"/>
        <w:ind w:left="680" w:right="680"/>
        <w:rPr>
          <w:rFonts w:eastAsia="SimSun"/>
          <w:sz w:val="24"/>
          <w:szCs w:val="24"/>
          <w:lang w:val="nl-NL" w:eastAsia="en-US"/>
        </w:rPr>
      </w:pPr>
      <w:r w:rsidRPr="00FE2E18">
        <w:rPr>
          <w:rFonts w:eastAsia="SimSun"/>
          <w:sz w:val="24"/>
          <w:szCs w:val="24"/>
          <w:lang w:val="nl-NL" w:eastAsia="en-US"/>
        </w:rPr>
        <w:t xml:space="preserve">Het beperken van loonverschillen vereist een </w:t>
      </w:r>
      <w:r>
        <w:rPr>
          <w:rFonts w:eastAsia="SimSun"/>
          <w:sz w:val="24"/>
          <w:szCs w:val="24"/>
          <w:lang w:val="nl-NL" w:eastAsia="en-US"/>
        </w:rPr>
        <w:t xml:space="preserve">brede, </w:t>
      </w:r>
      <w:r w:rsidRPr="00FE2E18">
        <w:rPr>
          <w:rFonts w:eastAsia="SimSun"/>
          <w:sz w:val="24"/>
          <w:szCs w:val="24"/>
          <w:lang w:val="nl-NL" w:eastAsia="en-US"/>
        </w:rPr>
        <w:t xml:space="preserve">alomvattende aanpak. Er is niet een simpele regeling die de ongelijke uitkomsten </w:t>
      </w:r>
      <w:r w:rsidRPr="00FE2E18" w:rsidR="004F540A">
        <w:rPr>
          <w:rFonts w:eastAsia="SimSun"/>
          <w:sz w:val="24"/>
          <w:szCs w:val="24"/>
          <w:lang w:val="nl-NL" w:eastAsia="en-US"/>
        </w:rPr>
        <w:t>tuss</w:t>
      </w:r>
      <w:r w:rsidR="004F540A">
        <w:rPr>
          <w:rFonts w:eastAsia="SimSun"/>
          <w:sz w:val="24"/>
          <w:szCs w:val="24"/>
          <w:lang w:val="nl-NL" w:eastAsia="en-US"/>
        </w:rPr>
        <w:t>en</w:t>
      </w:r>
      <w:r>
        <w:rPr>
          <w:rFonts w:eastAsia="SimSun"/>
          <w:sz w:val="24"/>
          <w:szCs w:val="24"/>
          <w:lang w:val="nl-NL" w:eastAsia="en-US"/>
        </w:rPr>
        <w:t xml:space="preserve"> </w:t>
      </w:r>
      <w:r w:rsidRPr="00FE2E18">
        <w:rPr>
          <w:rFonts w:eastAsia="SimSun"/>
          <w:sz w:val="24"/>
          <w:szCs w:val="24"/>
          <w:lang w:val="nl-NL" w:eastAsia="en-US"/>
        </w:rPr>
        <w:t>mannen en vrouwen op de arbeidsmarkt ineens opheft. Er is een mix nodig van maatregelen die discriminatie tegengaan (wettelijke maatregelen</w:t>
      </w:r>
      <w:r>
        <w:rPr>
          <w:rFonts w:eastAsia="SimSun"/>
          <w:sz w:val="24"/>
          <w:szCs w:val="24"/>
          <w:lang w:val="nl-NL" w:eastAsia="en-US"/>
        </w:rPr>
        <w:t xml:space="preserve">, </w:t>
      </w:r>
      <w:r w:rsidR="004F540A">
        <w:rPr>
          <w:rFonts w:eastAsia="SimSun"/>
          <w:sz w:val="24"/>
          <w:szCs w:val="24"/>
          <w:lang w:val="nl-NL" w:eastAsia="en-US"/>
        </w:rPr>
        <w:t>effectieve</w:t>
      </w:r>
      <w:r>
        <w:rPr>
          <w:rFonts w:eastAsia="SimSun"/>
          <w:sz w:val="24"/>
          <w:szCs w:val="24"/>
          <w:lang w:val="nl-NL" w:eastAsia="en-US"/>
        </w:rPr>
        <w:t xml:space="preserve"> </w:t>
      </w:r>
      <w:r w:rsidRPr="00FE2E18">
        <w:rPr>
          <w:rFonts w:eastAsia="SimSun"/>
          <w:sz w:val="24"/>
          <w:szCs w:val="24"/>
          <w:lang w:val="nl-NL" w:eastAsia="en-US"/>
        </w:rPr>
        <w:t xml:space="preserve">implementatie en inspectie) en het mogelijk maken dat mensen hun arbeidsmarktaspiraties kunnen realiseren. Een </w:t>
      </w:r>
      <w:r>
        <w:rPr>
          <w:rFonts w:eastAsia="SimSun"/>
          <w:sz w:val="24"/>
          <w:szCs w:val="24"/>
          <w:lang w:val="nl-NL" w:eastAsia="en-US"/>
        </w:rPr>
        <w:t>brede</w:t>
      </w:r>
      <w:r w:rsidRPr="00FE2E18">
        <w:rPr>
          <w:rFonts w:eastAsia="SimSun"/>
          <w:sz w:val="24"/>
          <w:szCs w:val="24"/>
          <w:lang w:val="nl-NL" w:eastAsia="en-US"/>
        </w:rPr>
        <w:t xml:space="preserve"> aanpak, omvat onder </w:t>
      </w:r>
      <w:r w:rsidRPr="00FE2E18" w:rsidR="004F540A">
        <w:rPr>
          <w:rFonts w:eastAsia="SimSun"/>
          <w:sz w:val="24"/>
          <w:szCs w:val="24"/>
          <w:lang w:val="nl-NL" w:eastAsia="en-US"/>
        </w:rPr>
        <w:t>meer</w:t>
      </w:r>
      <w:r w:rsidR="004F540A">
        <w:rPr>
          <w:rFonts w:eastAsia="SimSun"/>
          <w:sz w:val="24"/>
          <w:szCs w:val="24"/>
          <w:lang w:val="nl-NL" w:eastAsia="en-US"/>
        </w:rPr>
        <w:t xml:space="preserve">: </w:t>
      </w:r>
      <w:r w:rsidRPr="00FE2E18">
        <w:rPr>
          <w:rFonts w:eastAsia="SimSun"/>
          <w:sz w:val="24"/>
          <w:szCs w:val="24"/>
          <w:lang w:val="nl-NL" w:eastAsia="en-US"/>
        </w:rPr>
        <w:t>het aansporen van bedrijven om inzage te geven in loonverschillen op hun werkvloer (</w:t>
      </w:r>
      <w:r w:rsidRPr="00FE2E18" w:rsidR="004F540A">
        <w:rPr>
          <w:rFonts w:eastAsia="SimSun"/>
          <w:sz w:val="24"/>
          <w:szCs w:val="24"/>
          <w:lang w:val="nl-NL" w:eastAsia="en-US"/>
        </w:rPr>
        <w:t>bijvoorbeeld</w:t>
      </w:r>
      <w:r w:rsidRPr="00FE2E18">
        <w:rPr>
          <w:rFonts w:eastAsia="SimSun"/>
          <w:sz w:val="24"/>
          <w:szCs w:val="24"/>
          <w:lang w:val="nl-NL" w:eastAsia="en-US"/>
        </w:rPr>
        <w:t xml:space="preserve"> het invoeren van een wet gelijke beloning van mannen en vrouwen als voorgesteld)</w:t>
      </w:r>
      <w:r>
        <w:rPr>
          <w:rFonts w:eastAsia="SimSun"/>
          <w:sz w:val="24"/>
          <w:szCs w:val="24"/>
          <w:lang w:val="nl-NL" w:eastAsia="en-US"/>
        </w:rPr>
        <w:t xml:space="preserve">; het </w:t>
      </w:r>
      <w:r w:rsidRPr="00FE2E18">
        <w:rPr>
          <w:rFonts w:eastAsia="SimSun"/>
          <w:sz w:val="24"/>
          <w:szCs w:val="24"/>
          <w:lang w:val="nl-NL" w:eastAsia="en-US"/>
        </w:rPr>
        <w:t>versterken van maatregelen die een grotere vrouwelijke arbeidsparticipatie bevorderen (bijvoorbeeld vaderschapsverlof, kinderopvang)</w:t>
      </w:r>
      <w:r>
        <w:rPr>
          <w:rFonts w:eastAsia="SimSun"/>
          <w:sz w:val="24"/>
          <w:szCs w:val="24"/>
          <w:lang w:val="nl-NL" w:eastAsia="en-US"/>
        </w:rPr>
        <w:t xml:space="preserve">; het </w:t>
      </w:r>
      <w:r w:rsidR="004F540A">
        <w:rPr>
          <w:rFonts w:eastAsia="SimSun"/>
          <w:sz w:val="24"/>
          <w:szCs w:val="24"/>
          <w:lang w:val="nl-NL" w:eastAsia="en-US"/>
        </w:rPr>
        <w:t>voorzien</w:t>
      </w:r>
      <w:r>
        <w:rPr>
          <w:rFonts w:eastAsia="SimSun"/>
          <w:sz w:val="24"/>
          <w:szCs w:val="24"/>
          <w:lang w:val="nl-NL" w:eastAsia="en-US"/>
        </w:rPr>
        <w:t xml:space="preserve"> van informatie en toelichting aan </w:t>
      </w:r>
      <w:r w:rsidRPr="00FE2E18">
        <w:rPr>
          <w:rFonts w:eastAsia="SimSun"/>
          <w:sz w:val="24"/>
          <w:szCs w:val="24"/>
          <w:lang w:val="nl-NL" w:eastAsia="en-US"/>
        </w:rPr>
        <w:t>jonge</w:t>
      </w:r>
      <w:r>
        <w:rPr>
          <w:rFonts w:eastAsia="SimSun"/>
          <w:sz w:val="24"/>
          <w:szCs w:val="24"/>
          <w:lang w:val="nl-NL" w:eastAsia="en-US"/>
        </w:rPr>
        <w:t xml:space="preserve"> mannen en vrouwen (15-25) </w:t>
      </w:r>
      <w:r w:rsidRPr="00FE2E18" w:rsidR="004F540A">
        <w:rPr>
          <w:rFonts w:eastAsia="SimSun"/>
          <w:sz w:val="24"/>
          <w:szCs w:val="24"/>
          <w:lang w:val="nl-NL" w:eastAsia="en-US"/>
        </w:rPr>
        <w:t>over</w:t>
      </w:r>
      <w:r w:rsidRPr="00FE2E18">
        <w:rPr>
          <w:rFonts w:eastAsia="SimSun"/>
          <w:sz w:val="24"/>
          <w:szCs w:val="24"/>
          <w:lang w:val="nl-NL" w:eastAsia="en-US"/>
        </w:rPr>
        <w:t xml:space="preserve"> de (financiële) consequenties van school- en carrièrekeuzes.</w:t>
      </w:r>
      <w:r>
        <w:rPr>
          <w:rFonts w:eastAsia="SimSun"/>
          <w:sz w:val="24"/>
          <w:szCs w:val="24"/>
          <w:lang w:val="nl-NL" w:eastAsia="en-US"/>
        </w:rPr>
        <w:t xml:space="preserve"> </w:t>
      </w:r>
    </w:p>
    <w:p w:rsidRPr="00FE2E18" w:rsidR="00FE2E18" w:rsidP="00FE2E18" w:rsidRDefault="00FE2E18">
      <w:pPr>
        <w:tabs>
          <w:tab w:val="clear" w:pos="850"/>
          <w:tab w:val="clear" w:pos="1191"/>
          <w:tab w:val="clear" w:pos="1531"/>
        </w:tabs>
        <w:spacing w:before="120" w:after="120"/>
        <w:ind w:left="680" w:right="680"/>
        <w:rPr>
          <w:rFonts w:eastAsia="SimSun"/>
          <w:sz w:val="24"/>
          <w:szCs w:val="24"/>
          <w:lang w:val="nl-NL" w:eastAsia="en-US"/>
        </w:rPr>
      </w:pPr>
      <w:r w:rsidRPr="00FE2E18">
        <w:rPr>
          <w:rFonts w:eastAsia="SimSun"/>
          <w:sz w:val="24"/>
          <w:szCs w:val="24"/>
          <w:lang w:val="nl-NL" w:eastAsia="en-US"/>
        </w:rPr>
        <w:t xml:space="preserve">Jonge vrouwen in Nederland </w:t>
      </w:r>
      <w:r>
        <w:rPr>
          <w:rFonts w:eastAsia="SimSun"/>
          <w:sz w:val="24"/>
          <w:szCs w:val="24"/>
          <w:lang w:val="nl-NL" w:eastAsia="en-US"/>
        </w:rPr>
        <w:t>zijn vaak hoger opgeleid dan jonge mannen</w:t>
      </w:r>
      <w:r w:rsidRPr="00FE2E18">
        <w:rPr>
          <w:rFonts w:eastAsia="SimSun"/>
          <w:sz w:val="24"/>
          <w:szCs w:val="24"/>
          <w:lang w:val="nl-NL" w:eastAsia="en-US"/>
        </w:rPr>
        <w:t xml:space="preserve">. Echter, zij kiezen minder vaak dan jonge mannen voor STEM-studies zoals natuurwetenschappen, technologie, bouwkunde en wiskunde (Figuur 2). Naast het aanmoedigen van jonge vrouwen om zulke carrières op te bouwen probeert Nederland via bewustmakingscampagnes ook meer jonge mannen ertoe te bewegen voor een loopbaan als leraar in het basis- en voortgezet onderwijs te kiezen. Er zijn in vergelijking met tien jaar geleden nu meer jongens (van 15 jaar) die verwachten in de toekomst leraar te worden (OECD, 2017). Of dit ook daadwerkelijk </w:t>
      </w:r>
      <w:r w:rsidRPr="00FE2E18" w:rsidR="004F540A">
        <w:rPr>
          <w:rFonts w:eastAsia="SimSun"/>
          <w:sz w:val="24"/>
          <w:szCs w:val="24"/>
          <w:lang w:val="nl-NL" w:eastAsia="en-US"/>
        </w:rPr>
        <w:t>gebeurd</w:t>
      </w:r>
      <w:r w:rsidRPr="00FE2E18">
        <w:rPr>
          <w:rFonts w:eastAsia="SimSun"/>
          <w:sz w:val="24"/>
          <w:szCs w:val="24"/>
          <w:lang w:val="nl-NL" w:eastAsia="en-US"/>
        </w:rPr>
        <w:t xml:space="preserve"> zal afhangen van de aantrekkingskracht van het onderwijs als loopbaan, die versterkt kan worden door o.a. financiële prikkels (bijvoorbeeld salarissen of financiële steun tijdens de studie).</w:t>
      </w:r>
    </w:p>
    <w:p w:rsidRPr="00FE2E18" w:rsidR="00FE2E18" w:rsidP="00FE2E18" w:rsidRDefault="00FE2E18">
      <w:pPr>
        <w:tabs>
          <w:tab w:val="clear" w:pos="850"/>
          <w:tab w:val="clear" w:pos="1191"/>
          <w:tab w:val="clear" w:pos="1531"/>
        </w:tabs>
        <w:spacing w:before="120" w:after="120"/>
        <w:ind w:left="680" w:right="680"/>
        <w:rPr>
          <w:rFonts w:eastAsia="SimSun"/>
          <w:sz w:val="24"/>
          <w:szCs w:val="24"/>
          <w:lang w:val="nl-NL" w:eastAsia="en-US"/>
        </w:rPr>
      </w:pPr>
      <w:r w:rsidRPr="00FE2E18">
        <w:rPr>
          <w:rFonts w:eastAsia="SimSun"/>
          <w:sz w:val="24"/>
          <w:szCs w:val="24"/>
          <w:lang w:val="nl-NL" w:eastAsia="en-US"/>
        </w:rPr>
        <w:lastRenderedPageBreak/>
        <w:t>Vrouwen in Nederland zijn bijna 4 uur per dag kwijt aan onbetaald werk in en rond het huis (bijvoorbeeld huishoudelijke activiteiten, zorg voor kinderen), terwijl mannen hier gemiddeld twee uur per dag aan besteden (OECD Gender Portal). Betaald vaderschapsverlof kan een belangrijke bijdrage leveren aan gendergelijkheid in betaald en onbetaald werk, omdat het ouders aanmoedigt om de zorg voor kinderen beter te verdelen en de arbeidsparticipatie van moeders dus vergemakkelijkt. Verscheidene landen bieden vaders nu sterke financiële prikkels om minstens twee maanden betaald verlof te nemen (OECD, 2017). Zo kennen Japan en Korea betaald individueel ouderschapsverlof voor vaders en moeders voor een jaar (Figuur 3), terwijl in Du</w:t>
      </w:r>
      <w:bookmarkStart w:name="_GoBack" w:id="0"/>
      <w:bookmarkEnd w:id="0"/>
      <w:r w:rsidRPr="00FE2E18">
        <w:rPr>
          <w:rFonts w:eastAsia="SimSun"/>
          <w:sz w:val="24"/>
          <w:szCs w:val="24"/>
          <w:lang w:val="nl-NL" w:eastAsia="en-US"/>
        </w:rPr>
        <w:t xml:space="preserve">itsland, wanneer beide ouders ouderschapsverlof gebruiken voor 2 maanden, ze een bonus krijgen van 2 extra maanden betaald verlof. Nederland zal binnenkort de duur van het betaalde vaderschapsverlof verlengen tot in totaal zes </w:t>
      </w:r>
      <w:r w:rsidRPr="00FE2E18" w:rsidR="004F540A">
        <w:rPr>
          <w:rFonts w:eastAsia="SimSun"/>
          <w:sz w:val="24"/>
          <w:szCs w:val="24"/>
          <w:lang w:val="nl-NL" w:eastAsia="en-US"/>
        </w:rPr>
        <w:t xml:space="preserve">weken </w:t>
      </w:r>
      <w:r w:rsidRPr="00FE2E18">
        <w:rPr>
          <w:rFonts w:eastAsia="SimSun"/>
          <w:sz w:val="24"/>
          <w:szCs w:val="24"/>
          <w:lang w:val="nl-NL" w:eastAsia="en-US"/>
        </w:rPr>
        <w:t>en komt daarmee in de buurt van het OESE-gemiddelde. Het succes van de regeling zal in de toekomst moeten blijken als duidelijk wordt hoeveel vaders daadwerkelijk van de zes weken vaderschapsverlof gebruik zullen maken.</w:t>
      </w:r>
    </w:p>
    <w:p w:rsidRPr="00FE2E18" w:rsidR="00FE2E18" w:rsidP="00FE2E18" w:rsidRDefault="00FE2E18">
      <w:pPr>
        <w:tabs>
          <w:tab w:val="clear" w:pos="850"/>
          <w:tab w:val="clear" w:pos="1191"/>
          <w:tab w:val="clear" w:pos="1531"/>
        </w:tabs>
        <w:spacing w:before="120" w:after="120"/>
        <w:ind w:left="680" w:right="680"/>
        <w:rPr>
          <w:rFonts w:eastAsia="SimSun"/>
          <w:sz w:val="24"/>
          <w:szCs w:val="24"/>
          <w:lang w:val="nl-NL" w:eastAsia="en-US"/>
        </w:rPr>
      </w:pPr>
      <w:r w:rsidRPr="00FE2E18">
        <w:rPr>
          <w:rFonts w:eastAsia="SimSun"/>
          <w:sz w:val="24"/>
          <w:szCs w:val="24"/>
          <w:lang w:val="nl-NL" w:eastAsia="en-US"/>
        </w:rPr>
        <w:t xml:space="preserve">De arbeidsparticipatie van vrouwen kan ook worden versterkt door een intensiever gebruik van formele kinderopvang. In Nederland participeert meer dan de helft (56%) van de kinderen van 0-2 jaar in formele kinderopvang in vergelijking met 38% in de OESO), maar het gebruik per week is gemiddeld slechts 18 uur (het OESO-gemiddelde is 30 uur). De kosten van kinderopvang spelen een rol, vooral voor families met een laag inkomen. </w:t>
      </w:r>
    </w:p>
    <w:p w:rsidRPr="00FE2E18" w:rsidR="00FE2E18" w:rsidP="00FE2E18" w:rsidRDefault="00FE2E18">
      <w:pPr>
        <w:tabs>
          <w:tab w:val="clear" w:pos="850"/>
          <w:tab w:val="clear" w:pos="1191"/>
          <w:tab w:val="clear" w:pos="1531"/>
        </w:tabs>
        <w:spacing w:before="120" w:after="120"/>
        <w:ind w:left="680" w:right="680"/>
        <w:rPr>
          <w:rFonts w:eastAsia="SimSun"/>
          <w:sz w:val="24"/>
          <w:szCs w:val="24"/>
          <w:lang w:val="nl-NL" w:eastAsia="en-US"/>
        </w:rPr>
      </w:pPr>
      <w:r w:rsidRPr="00FE2E18">
        <w:rPr>
          <w:rFonts w:eastAsia="SimSun"/>
          <w:sz w:val="24"/>
          <w:szCs w:val="24"/>
          <w:lang w:val="nl-NL" w:eastAsia="en-US"/>
        </w:rPr>
        <w:t xml:space="preserve">De ongelijke verdeling van betaald en onbetaald werk brengt ook financiële risico’s met zich mee. Zo is het risico dat vrouwen in het geval van echtscheiding een inkomensvermindering van 20% of meer ervaren bijna drie keer zo hoog als voor mannen (OECD, 2017). Kortere en onderbroken carrières verklaren ook waarom pensioenen van vrouwen relatief laag zijn. De pensioenkloof tussen mannen en vrouwen in Nederland is bijna de grootste in de OESO: het pensioen van vrouwen is gemiddeld ongeveer 45% lager (Figuur 4). Deze pensioenuitkomsten weerspiegelt de arbeidsmarkt voor vrouwen in het verleden, en benadrukt nog eens hoe belangrijk het is </w:t>
      </w:r>
      <w:r w:rsidRPr="00FE2E18" w:rsidR="004F540A">
        <w:rPr>
          <w:rFonts w:eastAsia="SimSun"/>
          <w:sz w:val="24"/>
          <w:szCs w:val="24"/>
          <w:lang w:val="nl-NL" w:eastAsia="en-US"/>
        </w:rPr>
        <w:t xml:space="preserve">om </w:t>
      </w:r>
      <w:r w:rsidRPr="00FE2E18">
        <w:rPr>
          <w:rFonts w:eastAsia="SimSun"/>
          <w:sz w:val="24"/>
          <w:szCs w:val="24"/>
          <w:lang w:val="nl-NL" w:eastAsia="en-US"/>
        </w:rPr>
        <w:t>ongelijkheid tussen mannen en vrouwen op de arbeidsmarkt te verminderen.</w:t>
      </w:r>
    </w:p>
    <w:p w:rsidRPr="00FE2E18" w:rsidR="00FE2E18" w:rsidP="00FE2E18" w:rsidRDefault="00FE2E18">
      <w:pPr>
        <w:tabs>
          <w:tab w:val="clear" w:pos="850"/>
          <w:tab w:val="clear" w:pos="1191"/>
          <w:tab w:val="clear" w:pos="1531"/>
        </w:tabs>
        <w:jc w:val="left"/>
        <w:rPr>
          <w:rFonts w:eastAsia="SimSun"/>
          <w:sz w:val="24"/>
          <w:szCs w:val="24"/>
          <w:lang w:val="nl-NL" w:eastAsia="en-US"/>
        </w:rPr>
      </w:pPr>
      <w:r w:rsidRPr="00FE2E18">
        <w:rPr>
          <w:sz w:val="24"/>
          <w:szCs w:val="24"/>
          <w:lang w:val="nl-NL" w:eastAsia="en-US"/>
        </w:rPr>
        <w:br w:type="page"/>
      </w:r>
    </w:p>
    <w:p w:rsidRPr="00FE2E18" w:rsidR="00FE2E18" w:rsidP="00FE2E18" w:rsidRDefault="00FE2E18">
      <w:pPr>
        <w:keepNext/>
        <w:spacing w:before="240" w:after="240"/>
        <w:ind w:left="680" w:right="680"/>
        <w:jc w:val="center"/>
        <w:rPr>
          <w:rFonts w:eastAsia="Batang"/>
          <w:b/>
          <w:bCs/>
          <w:sz w:val="20"/>
          <w:szCs w:val="20"/>
          <w:lang w:val="nl-NL" w:eastAsia="en-US"/>
        </w:rPr>
      </w:pPr>
      <w:r w:rsidRPr="00FE2E18">
        <w:rPr>
          <w:b/>
          <w:bCs/>
          <w:sz w:val="20"/>
          <w:szCs w:val="20"/>
          <w:lang w:val="nl-NL" w:eastAsia="en-US"/>
        </w:rPr>
        <w:lastRenderedPageBreak/>
        <w:t>Figuur </w:t>
      </w:r>
      <w:r w:rsidRPr="00FE2E18">
        <w:rPr>
          <w:b/>
          <w:bCs/>
          <w:sz w:val="20"/>
          <w:szCs w:val="20"/>
          <w:lang w:eastAsia="en-US"/>
        </w:rPr>
        <w:fldChar w:fldCharType="begin"/>
      </w:r>
      <w:r w:rsidRPr="00FE2E18">
        <w:rPr>
          <w:b/>
          <w:bCs/>
          <w:sz w:val="20"/>
          <w:szCs w:val="20"/>
          <w:lang w:val="nl-NL" w:eastAsia="en-US"/>
        </w:rPr>
        <w:instrText xml:space="preserve"> SEQ Figure \* ARABIC </w:instrText>
      </w:r>
      <w:r w:rsidRPr="00FE2E18">
        <w:rPr>
          <w:b/>
          <w:bCs/>
          <w:sz w:val="20"/>
          <w:szCs w:val="20"/>
          <w:lang w:eastAsia="en-US"/>
        </w:rPr>
        <w:fldChar w:fldCharType="separate"/>
      </w:r>
      <w:r w:rsidR="00A55AB5">
        <w:rPr>
          <w:b/>
          <w:bCs/>
          <w:noProof/>
          <w:sz w:val="20"/>
          <w:szCs w:val="20"/>
          <w:lang w:val="nl-NL" w:eastAsia="en-US"/>
        </w:rPr>
        <w:t>1</w:t>
      </w:r>
      <w:r w:rsidRPr="00FE2E18">
        <w:rPr>
          <w:b/>
          <w:bCs/>
          <w:noProof/>
          <w:sz w:val="20"/>
          <w:szCs w:val="20"/>
          <w:lang w:eastAsia="en-US"/>
        </w:rPr>
        <w:fldChar w:fldCharType="end"/>
      </w:r>
      <w:r w:rsidRPr="00FE2E18">
        <w:rPr>
          <w:rFonts w:eastAsia="Batang"/>
          <w:b/>
          <w:bCs/>
          <w:sz w:val="20"/>
          <w:szCs w:val="20"/>
          <w:lang w:val="nl-NL" w:eastAsia="en-US"/>
        </w:rPr>
        <w:t xml:space="preserve">. Loonverschillen tussen mannen en vrouwen, 2016 of meest recente jaar </w:t>
      </w:r>
    </w:p>
    <w:p w:rsidRPr="00FE2E18" w:rsidR="00FE2E18" w:rsidP="00FE2E18" w:rsidRDefault="00FE2E18">
      <w:pPr>
        <w:keepNext/>
        <w:keepLines/>
        <w:jc w:val="center"/>
        <w:rPr>
          <w:noProof/>
          <w:szCs w:val="20"/>
          <w:lang w:val="nl-NL" w:eastAsia="ko-KR"/>
        </w:rPr>
      </w:pPr>
      <w:r w:rsidRPr="00FE2E18">
        <w:rPr>
          <w:noProof/>
          <w:szCs w:val="20"/>
          <w:lang w:eastAsia="en-GB"/>
        </w:rPr>
        <w:drawing>
          <wp:inline distT="0" distB="0" distL="0" distR="0" wp14:anchorId="463EC580" wp14:editId="712BAB8B">
            <wp:extent cx="5284381" cy="28601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309" cy="2866074"/>
                    </a:xfrm>
                    <a:prstGeom prst="rect">
                      <a:avLst/>
                    </a:prstGeom>
                    <a:noFill/>
                  </pic:spPr>
                </pic:pic>
              </a:graphicData>
            </a:graphic>
          </wp:inline>
        </w:drawing>
      </w:r>
    </w:p>
    <w:p w:rsidRPr="00FE2E18" w:rsidR="00FE2E18" w:rsidP="00FE2E18" w:rsidRDefault="00FE2E18">
      <w:pPr>
        <w:keepLines/>
        <w:tabs>
          <w:tab w:val="clear" w:pos="850"/>
          <w:tab w:val="clear" w:pos="1191"/>
          <w:tab w:val="clear" w:pos="1531"/>
        </w:tabs>
        <w:spacing w:before="120" w:after="240"/>
        <w:ind w:left="680" w:right="680"/>
        <w:contextualSpacing/>
        <w:rPr>
          <w:rFonts w:eastAsia="SimSun" w:cs="Arial"/>
          <w:sz w:val="18"/>
          <w:szCs w:val="18"/>
          <w:lang w:val="nl-NL" w:eastAsia="en-US"/>
        </w:rPr>
      </w:pPr>
      <w:r w:rsidRPr="00FE2E18">
        <w:rPr>
          <w:rFonts w:eastAsia="SimSun" w:cs="Arial"/>
          <w:i/>
          <w:sz w:val="18"/>
          <w:szCs w:val="18"/>
          <w:lang w:val="nl-NL" w:eastAsia="en-US"/>
        </w:rPr>
        <w:t>Noot</w:t>
      </w:r>
      <w:r w:rsidRPr="00FE2E18">
        <w:rPr>
          <w:rFonts w:eastAsia="SimSun" w:cs="Arial"/>
          <w:sz w:val="18"/>
          <w:szCs w:val="18"/>
          <w:lang w:val="nl-NL" w:eastAsia="en-US"/>
        </w:rPr>
        <w:t xml:space="preserve">: Loonverschillen tussen mannen en vrouwen in voltijdbanen, mediane inkomens (the gender pay gap). Het loonverschil is gedefinieerd als het verschil tussen mediane maandinkomsten van mannen en vrouwen gedeeld door de mediane inkomsten van mannen (werknemers in voltijdbanen). </w:t>
      </w:r>
    </w:p>
    <w:p w:rsidR="00FE2E18" w:rsidP="00FE2E18" w:rsidRDefault="00FE2E18">
      <w:pPr>
        <w:keepLines/>
        <w:tabs>
          <w:tab w:val="clear" w:pos="850"/>
          <w:tab w:val="clear" w:pos="1191"/>
          <w:tab w:val="clear" w:pos="1531"/>
        </w:tabs>
        <w:spacing w:before="120" w:after="240"/>
        <w:ind w:left="680" w:right="680"/>
        <w:contextualSpacing/>
        <w:rPr>
          <w:rFonts w:eastAsia="SimSun" w:cs="Arial"/>
          <w:sz w:val="18"/>
          <w:szCs w:val="18"/>
          <w:lang w:val="nl-NL" w:eastAsia="en-US"/>
        </w:rPr>
      </w:pPr>
      <w:r w:rsidRPr="00FE2E18">
        <w:rPr>
          <w:rFonts w:eastAsia="SimSun" w:cs="Arial"/>
          <w:i/>
          <w:sz w:val="18"/>
          <w:szCs w:val="18"/>
          <w:lang w:val="nl-NL" w:eastAsia="en-US"/>
        </w:rPr>
        <w:t>Bron</w:t>
      </w:r>
      <w:r w:rsidRPr="00FE2E18">
        <w:rPr>
          <w:rFonts w:eastAsia="SimSun" w:cs="Arial"/>
          <w:sz w:val="18"/>
          <w:szCs w:val="18"/>
          <w:lang w:val="nl-NL" w:eastAsia="en-US"/>
        </w:rPr>
        <w:t xml:space="preserve">: OECD Gender Data Portal </w:t>
      </w:r>
      <w:hyperlink w:history="1" r:id="rId10">
        <w:r w:rsidRPr="00FE2E18">
          <w:rPr>
            <w:rFonts w:eastAsia="SimSun" w:cs="Arial"/>
            <w:color w:val="2B3ECD"/>
            <w:sz w:val="18"/>
            <w:szCs w:val="18"/>
            <w:u w:val="single"/>
            <w:lang w:val="nl-NL" w:eastAsia="en-US"/>
          </w:rPr>
          <w:t>http://www.oecd.org/gender/data/</w:t>
        </w:r>
      </w:hyperlink>
      <w:r w:rsidRPr="00FE2E18">
        <w:rPr>
          <w:rFonts w:eastAsia="SimSun" w:cs="Arial"/>
          <w:sz w:val="18"/>
          <w:szCs w:val="18"/>
          <w:lang w:val="nl-NL" w:eastAsia="en-US"/>
        </w:rPr>
        <w:t xml:space="preserve">. </w:t>
      </w:r>
    </w:p>
    <w:p w:rsidRPr="00FE2E18" w:rsidR="004F540A" w:rsidP="00FE2E18" w:rsidRDefault="004F540A">
      <w:pPr>
        <w:keepLines/>
        <w:tabs>
          <w:tab w:val="clear" w:pos="850"/>
          <w:tab w:val="clear" w:pos="1191"/>
          <w:tab w:val="clear" w:pos="1531"/>
        </w:tabs>
        <w:spacing w:before="120" w:after="240"/>
        <w:ind w:left="680" w:right="680"/>
        <w:contextualSpacing/>
        <w:rPr>
          <w:rFonts w:eastAsia="SimSun" w:cs="Arial"/>
          <w:sz w:val="18"/>
          <w:szCs w:val="18"/>
          <w:lang w:val="nl-NL" w:eastAsia="en-US"/>
        </w:rPr>
      </w:pPr>
    </w:p>
    <w:p w:rsidR="004F540A" w:rsidP="00FE2E18" w:rsidRDefault="004F540A">
      <w:pPr>
        <w:keepNext/>
        <w:spacing w:before="240" w:after="240"/>
        <w:ind w:left="680" w:right="680"/>
        <w:jc w:val="center"/>
        <w:rPr>
          <w:b/>
          <w:bCs/>
          <w:sz w:val="20"/>
          <w:szCs w:val="20"/>
          <w:lang w:val="nl-NL" w:eastAsia="en-US"/>
        </w:rPr>
      </w:pPr>
    </w:p>
    <w:p w:rsidRPr="00FE2E18" w:rsidR="00FE2E18" w:rsidP="00FE2E18" w:rsidRDefault="00FE2E18">
      <w:pPr>
        <w:keepNext/>
        <w:spacing w:before="240" w:after="240"/>
        <w:ind w:left="680" w:right="680"/>
        <w:jc w:val="center"/>
        <w:rPr>
          <w:rFonts w:eastAsia="Batang"/>
          <w:b/>
          <w:bCs/>
          <w:sz w:val="20"/>
          <w:szCs w:val="20"/>
          <w:lang w:val="nl-NL" w:eastAsia="en-US"/>
        </w:rPr>
      </w:pPr>
      <w:r w:rsidRPr="00FE2E18">
        <w:rPr>
          <w:b/>
          <w:bCs/>
          <w:sz w:val="20"/>
          <w:szCs w:val="20"/>
          <w:lang w:val="nl-NL" w:eastAsia="en-US"/>
        </w:rPr>
        <w:t>Figuur 2</w:t>
      </w:r>
      <w:r w:rsidRPr="00FE2E18">
        <w:rPr>
          <w:rFonts w:eastAsia="Batang"/>
          <w:b/>
          <w:bCs/>
          <w:sz w:val="20"/>
          <w:szCs w:val="20"/>
          <w:lang w:val="nl-NL" w:eastAsia="en-US"/>
        </w:rPr>
        <w:t xml:space="preserve">. Vrouwelijk aandeel (%) van afgestudeerden (“Bachelor’s”) in </w:t>
      </w:r>
      <w:r w:rsidRPr="00FE2E18" w:rsidR="004F540A">
        <w:rPr>
          <w:rFonts w:eastAsia="Batang"/>
          <w:b/>
          <w:bCs/>
          <w:sz w:val="20"/>
          <w:szCs w:val="20"/>
          <w:lang w:val="nl-NL" w:eastAsia="en-US"/>
        </w:rPr>
        <w:t>STEM.</w:t>
      </w:r>
    </w:p>
    <w:p w:rsidRPr="00FE2E18" w:rsidR="00FE2E18" w:rsidP="00FE2E18" w:rsidRDefault="00FE2E18">
      <w:pPr>
        <w:keepNext/>
        <w:keepLines/>
        <w:jc w:val="center"/>
        <w:rPr>
          <w:noProof/>
          <w:szCs w:val="20"/>
          <w:lang w:eastAsia="ko-KR"/>
        </w:rPr>
      </w:pPr>
      <w:r w:rsidRPr="00FE2E18">
        <w:rPr>
          <w:noProof/>
          <w:szCs w:val="20"/>
          <w:lang w:eastAsia="en-GB"/>
        </w:rPr>
        <w:drawing>
          <wp:inline distT="0" distB="0" distL="0" distR="0" wp14:anchorId="3360F0DA" wp14:editId="2904B0B1">
            <wp:extent cx="5545742" cy="2514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3710" cy="2518213"/>
                    </a:xfrm>
                    <a:prstGeom prst="rect">
                      <a:avLst/>
                    </a:prstGeom>
                    <a:noFill/>
                  </pic:spPr>
                </pic:pic>
              </a:graphicData>
            </a:graphic>
          </wp:inline>
        </w:drawing>
      </w:r>
    </w:p>
    <w:p w:rsidRPr="00FE2E18" w:rsidR="00FE2E18" w:rsidP="00FE2E18" w:rsidRDefault="00FE2E18">
      <w:pPr>
        <w:keepLines/>
        <w:tabs>
          <w:tab w:val="clear" w:pos="850"/>
          <w:tab w:val="clear" w:pos="1191"/>
          <w:tab w:val="clear" w:pos="1531"/>
        </w:tabs>
        <w:spacing w:before="120" w:after="240"/>
        <w:ind w:left="680" w:right="680"/>
        <w:contextualSpacing/>
        <w:rPr>
          <w:rFonts w:eastAsia="SimSun" w:cs="Arial"/>
          <w:sz w:val="18"/>
          <w:szCs w:val="18"/>
          <w:lang w:val="nl-NL" w:eastAsia="en-US"/>
        </w:rPr>
      </w:pPr>
      <w:r w:rsidRPr="00FE2E18">
        <w:rPr>
          <w:rFonts w:eastAsia="SimSun" w:cs="Arial"/>
          <w:i/>
          <w:sz w:val="18"/>
          <w:szCs w:val="18"/>
          <w:lang w:val="nl-NL" w:eastAsia="en-US"/>
        </w:rPr>
        <w:t>Noot</w:t>
      </w:r>
      <w:r w:rsidR="004F540A">
        <w:rPr>
          <w:rFonts w:eastAsia="SimSun" w:cs="Arial"/>
          <w:i/>
          <w:sz w:val="18"/>
          <w:szCs w:val="18"/>
          <w:lang w:val="nl-NL" w:eastAsia="en-US"/>
        </w:rPr>
        <w:t>:</w:t>
      </w:r>
      <w:r w:rsidRPr="00FE2E18">
        <w:rPr>
          <w:rFonts w:eastAsia="SimSun" w:cs="Arial"/>
          <w:sz w:val="18"/>
          <w:szCs w:val="18"/>
          <w:lang w:val="nl-NL" w:eastAsia="en-US"/>
        </w:rPr>
        <w:t xml:space="preserve"> Vrouwelijk aandeel (%) van afgestudeerden in STEM (Science, Technology, Engineering and Mathematics), Bachelor’s or equivalent niveau (ISCED2011 niveau  6), 2015 of meest recent.</w:t>
      </w:r>
    </w:p>
    <w:p w:rsidRPr="00FE2E18" w:rsidR="00FE2E18" w:rsidP="00FE2E18" w:rsidRDefault="00FE2E18">
      <w:pPr>
        <w:keepLines/>
        <w:tabs>
          <w:tab w:val="clear" w:pos="850"/>
          <w:tab w:val="clear" w:pos="1191"/>
          <w:tab w:val="clear" w:pos="1531"/>
        </w:tabs>
        <w:spacing w:before="120" w:after="240"/>
        <w:ind w:left="680" w:right="680"/>
        <w:contextualSpacing/>
        <w:rPr>
          <w:rFonts w:eastAsia="SimSun" w:cs="Arial"/>
          <w:sz w:val="18"/>
          <w:szCs w:val="18"/>
          <w:lang w:eastAsia="en-US"/>
        </w:rPr>
      </w:pPr>
      <w:r w:rsidRPr="00FE2E18">
        <w:rPr>
          <w:rFonts w:eastAsia="SimSun" w:cs="Arial"/>
          <w:i/>
          <w:sz w:val="18"/>
          <w:szCs w:val="18"/>
          <w:lang w:eastAsia="en-US"/>
        </w:rPr>
        <w:t>Bron</w:t>
      </w:r>
      <w:r w:rsidRPr="00FE2E18">
        <w:rPr>
          <w:rFonts w:eastAsia="SimSun" w:cs="Arial"/>
          <w:sz w:val="18"/>
          <w:szCs w:val="18"/>
          <w:lang w:eastAsia="en-US"/>
        </w:rPr>
        <w:t>: OECD Education Database (</w:t>
      </w:r>
      <w:hyperlink w:history="1" r:id="rId12">
        <w:r w:rsidRPr="00FE2E18">
          <w:rPr>
            <w:rFonts w:eastAsia="SimSun" w:cs="Arial"/>
            <w:color w:val="2B3ECD"/>
            <w:sz w:val="18"/>
            <w:szCs w:val="18"/>
            <w:u w:val="single"/>
            <w:lang w:eastAsia="en-US"/>
          </w:rPr>
          <w:t>http://www.oecd.org/education/database.htm</w:t>
        </w:r>
      </w:hyperlink>
      <w:r w:rsidRPr="00FE2E18">
        <w:rPr>
          <w:rFonts w:eastAsia="SimSun" w:cs="Arial"/>
          <w:sz w:val="18"/>
          <w:szCs w:val="18"/>
          <w:lang w:eastAsia="en-US"/>
        </w:rPr>
        <w:t xml:space="preserve">). </w:t>
      </w:r>
    </w:p>
    <w:p w:rsidRPr="00FE2E18" w:rsidR="00FE2E18" w:rsidP="00FE2E18" w:rsidRDefault="00FE2E18">
      <w:pPr>
        <w:tabs>
          <w:tab w:val="clear" w:pos="850"/>
          <w:tab w:val="clear" w:pos="1191"/>
          <w:tab w:val="clear" w:pos="1531"/>
        </w:tabs>
        <w:jc w:val="left"/>
        <w:rPr>
          <w:rFonts w:eastAsia="SimSun"/>
          <w:szCs w:val="20"/>
          <w:lang w:eastAsia="en-US"/>
        </w:rPr>
      </w:pPr>
    </w:p>
    <w:p w:rsidRPr="00FE2E18" w:rsidR="00FE2E18" w:rsidP="00FE2E18" w:rsidRDefault="00FE2E18">
      <w:pPr>
        <w:keepNext/>
        <w:spacing w:before="240" w:after="240"/>
        <w:ind w:left="680" w:right="680"/>
        <w:jc w:val="center"/>
        <w:rPr>
          <w:rFonts w:eastAsia="Batang"/>
          <w:b/>
          <w:bCs/>
          <w:sz w:val="20"/>
          <w:szCs w:val="20"/>
          <w:lang w:val="nl-NL" w:eastAsia="en-US"/>
        </w:rPr>
      </w:pPr>
      <w:r w:rsidRPr="00FE2E18">
        <w:rPr>
          <w:b/>
          <w:bCs/>
          <w:sz w:val="20"/>
          <w:szCs w:val="20"/>
          <w:lang w:val="nl-NL" w:eastAsia="en-US"/>
        </w:rPr>
        <w:lastRenderedPageBreak/>
        <w:t>Figuur 3</w:t>
      </w:r>
      <w:r w:rsidRPr="00FE2E18">
        <w:rPr>
          <w:rFonts w:eastAsia="Batang"/>
          <w:b/>
          <w:bCs/>
          <w:sz w:val="20"/>
          <w:szCs w:val="20"/>
          <w:lang w:val="nl-NL" w:eastAsia="en-US"/>
        </w:rPr>
        <w:t>. Betaald vaderschapsverlof korter dan OESO gemiddelde ook na invoering nieuwe regeling.</w:t>
      </w:r>
    </w:p>
    <w:p w:rsidRPr="00FE2E18" w:rsidR="00FE2E18" w:rsidP="00FE2E18" w:rsidRDefault="00FE2E18">
      <w:pPr>
        <w:keepNext/>
        <w:tabs>
          <w:tab w:val="clear" w:pos="850"/>
          <w:tab w:val="clear" w:pos="1191"/>
          <w:tab w:val="clear" w:pos="1531"/>
        </w:tabs>
        <w:spacing w:after="120"/>
        <w:ind w:left="680" w:right="680"/>
        <w:jc w:val="center"/>
        <w:rPr>
          <w:rFonts w:eastAsia="SimSun" w:cs="Arial"/>
          <w:sz w:val="18"/>
          <w:szCs w:val="20"/>
          <w:lang w:val="nl-NL" w:eastAsia="en-US"/>
        </w:rPr>
      </w:pPr>
      <w:r w:rsidRPr="00FE2E18">
        <w:rPr>
          <w:rFonts w:eastAsia="SimSun" w:cs="Arial"/>
          <w:sz w:val="18"/>
          <w:szCs w:val="20"/>
          <w:lang w:val="nl-NL" w:eastAsia="en-US"/>
        </w:rPr>
        <w:t>Maximum duur van het verlof als wettelijk vastgelegd.</w:t>
      </w:r>
    </w:p>
    <w:p w:rsidRPr="00FE2E18" w:rsidR="00FE2E18" w:rsidP="00FE2E18" w:rsidRDefault="00FE2E18">
      <w:pPr>
        <w:keepNext/>
        <w:keepLines/>
        <w:jc w:val="center"/>
        <w:rPr>
          <w:noProof/>
          <w:szCs w:val="20"/>
          <w:lang w:eastAsia="ko-KR"/>
        </w:rPr>
      </w:pPr>
      <w:r w:rsidRPr="00FE2E18">
        <w:rPr>
          <w:noProof/>
          <w:szCs w:val="20"/>
          <w:lang w:eastAsia="en-GB"/>
        </w:rPr>
        <w:drawing>
          <wp:inline distT="0" distB="0" distL="0" distR="0" wp14:anchorId="33FB3371" wp14:editId="46F15848">
            <wp:extent cx="5486400" cy="2733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7035" cy="2733991"/>
                    </a:xfrm>
                    <a:prstGeom prst="rect">
                      <a:avLst/>
                    </a:prstGeom>
                    <a:noFill/>
                  </pic:spPr>
                </pic:pic>
              </a:graphicData>
            </a:graphic>
          </wp:inline>
        </w:drawing>
      </w:r>
    </w:p>
    <w:p w:rsidRPr="00FE2E18" w:rsidR="00FE2E18" w:rsidP="00FE2E18" w:rsidRDefault="00FE2E18">
      <w:pPr>
        <w:keepLines/>
        <w:tabs>
          <w:tab w:val="clear" w:pos="850"/>
          <w:tab w:val="clear" w:pos="1191"/>
          <w:tab w:val="clear" w:pos="1531"/>
        </w:tabs>
        <w:spacing w:before="120" w:after="240"/>
        <w:ind w:left="680" w:right="680"/>
        <w:contextualSpacing/>
        <w:rPr>
          <w:rFonts w:eastAsia="SimSun" w:cs="Arial"/>
          <w:sz w:val="18"/>
          <w:szCs w:val="18"/>
          <w:lang w:val="nl-NL" w:eastAsia="en-US"/>
        </w:rPr>
      </w:pPr>
      <w:r w:rsidRPr="00FE2E18">
        <w:rPr>
          <w:rFonts w:eastAsia="SimSun" w:cs="Arial"/>
          <w:i/>
          <w:sz w:val="18"/>
          <w:szCs w:val="18"/>
          <w:lang w:val="nl-NL" w:eastAsia="en-US"/>
        </w:rPr>
        <w:t>Noot</w:t>
      </w:r>
      <w:r w:rsidRPr="00FE2E18">
        <w:rPr>
          <w:rFonts w:eastAsia="SimSun" w:cs="Arial"/>
          <w:sz w:val="18"/>
          <w:szCs w:val="18"/>
          <w:lang w:val="nl-NL" w:eastAsia="en-US"/>
        </w:rPr>
        <w:t xml:space="preserve">: Informatie behelst vaderschapsverlof, 'father quotas' of periodes van ouderschapsverlof bestemt voor vaders die niet kunnen worden opgenomen door moeders en/of die door de vader moet worden gebruikt zodat de ouders in aanmerking komen voor “bonus weken” van ouderschapsverlof. Informatie betreft de situatie per april 2016 (m.u.v. van de nieuwe regeling in Nederland). </w:t>
      </w:r>
    </w:p>
    <w:p w:rsidR="00FE2E18" w:rsidP="00FE2E18" w:rsidRDefault="00FE2E18">
      <w:pPr>
        <w:keepLines/>
        <w:tabs>
          <w:tab w:val="clear" w:pos="850"/>
          <w:tab w:val="clear" w:pos="1191"/>
          <w:tab w:val="clear" w:pos="1531"/>
        </w:tabs>
        <w:spacing w:before="120" w:after="240"/>
        <w:ind w:left="680" w:right="680"/>
        <w:contextualSpacing/>
        <w:rPr>
          <w:rFonts w:eastAsia="SimSun" w:cs="Arial"/>
          <w:sz w:val="18"/>
          <w:szCs w:val="18"/>
          <w:lang w:eastAsia="en-US"/>
        </w:rPr>
      </w:pPr>
      <w:r w:rsidRPr="00FE2E18">
        <w:rPr>
          <w:rFonts w:eastAsia="SimSun" w:cs="Arial"/>
          <w:i/>
          <w:sz w:val="18"/>
          <w:szCs w:val="18"/>
          <w:lang w:eastAsia="en-US"/>
        </w:rPr>
        <w:t xml:space="preserve">Bron: </w:t>
      </w:r>
      <w:r w:rsidRPr="00FE2E18">
        <w:rPr>
          <w:rFonts w:eastAsia="SimSun" w:cs="Arial"/>
          <w:sz w:val="18"/>
          <w:szCs w:val="18"/>
          <w:lang w:eastAsia="en-US"/>
        </w:rPr>
        <w:t xml:space="preserve">OECD Family Database, </w:t>
      </w:r>
      <w:hyperlink w:history="1" r:id="rId14">
        <w:r w:rsidRPr="00FE2E18">
          <w:rPr>
            <w:rFonts w:eastAsia="SimSun" w:cs="Arial"/>
            <w:color w:val="2B3ECD"/>
            <w:sz w:val="18"/>
            <w:szCs w:val="18"/>
            <w:u w:val="single"/>
            <w:lang w:eastAsia="en-US"/>
          </w:rPr>
          <w:t>http://www.oecd.org/els/family/database.htm</w:t>
        </w:r>
      </w:hyperlink>
      <w:r w:rsidRPr="00FE2E18">
        <w:rPr>
          <w:rFonts w:eastAsia="SimSun" w:cs="Arial"/>
          <w:sz w:val="18"/>
          <w:szCs w:val="18"/>
          <w:lang w:eastAsia="en-US"/>
        </w:rPr>
        <w:t xml:space="preserve">. </w:t>
      </w:r>
    </w:p>
    <w:p w:rsidR="004F540A" w:rsidP="00FE2E18" w:rsidRDefault="004F540A">
      <w:pPr>
        <w:keepLines/>
        <w:tabs>
          <w:tab w:val="clear" w:pos="850"/>
          <w:tab w:val="clear" w:pos="1191"/>
          <w:tab w:val="clear" w:pos="1531"/>
        </w:tabs>
        <w:spacing w:before="120" w:after="240"/>
        <w:ind w:left="680" w:right="680"/>
        <w:contextualSpacing/>
        <w:rPr>
          <w:rFonts w:eastAsia="SimSun" w:cs="Arial"/>
          <w:sz w:val="18"/>
          <w:szCs w:val="18"/>
          <w:lang w:eastAsia="en-US"/>
        </w:rPr>
      </w:pPr>
    </w:p>
    <w:p w:rsidRPr="00FE2E18" w:rsidR="004F540A" w:rsidP="00FE2E18" w:rsidRDefault="004F540A">
      <w:pPr>
        <w:keepLines/>
        <w:tabs>
          <w:tab w:val="clear" w:pos="850"/>
          <w:tab w:val="clear" w:pos="1191"/>
          <w:tab w:val="clear" w:pos="1531"/>
        </w:tabs>
        <w:spacing w:before="120" w:after="240"/>
        <w:ind w:left="680" w:right="680"/>
        <w:contextualSpacing/>
        <w:rPr>
          <w:rFonts w:eastAsia="SimSun" w:cs="Arial"/>
          <w:sz w:val="18"/>
          <w:szCs w:val="18"/>
          <w:lang w:eastAsia="en-US"/>
        </w:rPr>
      </w:pPr>
    </w:p>
    <w:p w:rsidRPr="00FE2E18" w:rsidR="00FE2E18" w:rsidP="00FE2E18" w:rsidRDefault="00FE2E18">
      <w:pPr>
        <w:keepNext/>
        <w:spacing w:before="240" w:after="240"/>
        <w:ind w:left="680" w:right="680"/>
        <w:jc w:val="center"/>
        <w:rPr>
          <w:rFonts w:eastAsia="Batang"/>
          <w:b/>
          <w:bCs/>
          <w:sz w:val="20"/>
          <w:szCs w:val="20"/>
          <w:lang w:val="nl-NL" w:eastAsia="en-US"/>
        </w:rPr>
      </w:pPr>
      <w:r w:rsidRPr="00FE2E18">
        <w:rPr>
          <w:b/>
          <w:bCs/>
          <w:sz w:val="20"/>
          <w:szCs w:val="20"/>
          <w:lang w:val="nl-NL" w:eastAsia="en-US"/>
        </w:rPr>
        <w:t>Figuur </w:t>
      </w:r>
      <w:r w:rsidR="00A55AB5">
        <w:rPr>
          <w:b/>
          <w:bCs/>
          <w:sz w:val="20"/>
          <w:szCs w:val="20"/>
          <w:lang w:val="nl-NL" w:eastAsia="en-US"/>
        </w:rPr>
        <w:t>4</w:t>
      </w:r>
      <w:r w:rsidRPr="00FE2E18">
        <w:rPr>
          <w:rFonts w:eastAsia="Batang"/>
          <w:b/>
          <w:bCs/>
          <w:sz w:val="20"/>
          <w:szCs w:val="20"/>
          <w:lang w:val="nl-NL" w:eastAsia="en-US"/>
        </w:rPr>
        <w:t xml:space="preserve">. Pensioenverschillen tussen mannen en vrouwen </w:t>
      </w:r>
    </w:p>
    <w:p w:rsidRPr="00FE2E18" w:rsidR="00FE2E18" w:rsidP="00FE2E18" w:rsidRDefault="00FE2E18">
      <w:pPr>
        <w:keepNext/>
        <w:keepLines/>
        <w:jc w:val="center"/>
        <w:rPr>
          <w:noProof/>
          <w:szCs w:val="20"/>
          <w:lang w:eastAsia="ko-KR"/>
        </w:rPr>
      </w:pPr>
      <w:r w:rsidRPr="00FE2E18">
        <w:rPr>
          <w:noProof/>
          <w:szCs w:val="20"/>
          <w:lang w:eastAsia="en-GB"/>
        </w:rPr>
        <w:drawing>
          <wp:inline distT="0" distB="0" distL="0" distR="0" wp14:anchorId="33D4A104" wp14:editId="7F31EEA4">
            <wp:extent cx="5314950" cy="2619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2513" cy="2623102"/>
                    </a:xfrm>
                    <a:prstGeom prst="rect">
                      <a:avLst/>
                    </a:prstGeom>
                    <a:noFill/>
                  </pic:spPr>
                </pic:pic>
              </a:graphicData>
            </a:graphic>
          </wp:inline>
        </w:drawing>
      </w:r>
    </w:p>
    <w:p w:rsidRPr="00FE2E18" w:rsidR="00FE2E18" w:rsidP="00FE2E18" w:rsidRDefault="00FE2E18">
      <w:pPr>
        <w:keepLines/>
        <w:tabs>
          <w:tab w:val="clear" w:pos="850"/>
          <w:tab w:val="clear" w:pos="1191"/>
          <w:tab w:val="clear" w:pos="1531"/>
        </w:tabs>
        <w:spacing w:before="120" w:after="240"/>
        <w:ind w:left="680" w:right="680"/>
        <w:contextualSpacing/>
        <w:rPr>
          <w:rFonts w:eastAsia="SimSun" w:cs="Arial"/>
          <w:sz w:val="18"/>
          <w:szCs w:val="18"/>
          <w:lang w:val="nl-NL" w:eastAsia="en-US"/>
        </w:rPr>
      </w:pPr>
      <w:r w:rsidRPr="00FE2E18">
        <w:rPr>
          <w:rFonts w:eastAsia="SimSun" w:cs="Arial"/>
          <w:i/>
          <w:sz w:val="18"/>
          <w:szCs w:val="18"/>
          <w:lang w:val="nl-NL" w:eastAsia="en-US"/>
        </w:rPr>
        <w:t>Noot: Het pensioen verschil tussen mannen en vrouwen (the gender pensions gap) is gedefinieerd als: (1 - (gemiddelde pensioninkomen vrouwen/gemiddelde pensioeninkomen mannen)) * 100.  Pensioenen omvat hier pensioeninkomen uit publieke en private pensioenen, pensioenen voor nabestaanden en invaliditeitspensioenen, alleen voor hen die 65 jaar of ouder zijn.</w:t>
      </w:r>
    </w:p>
    <w:p w:rsidRPr="00FE2E18" w:rsidR="00FE2E18" w:rsidP="00FE2E18" w:rsidRDefault="00FE2E18">
      <w:pPr>
        <w:keepLines/>
        <w:tabs>
          <w:tab w:val="clear" w:pos="850"/>
          <w:tab w:val="clear" w:pos="1191"/>
          <w:tab w:val="clear" w:pos="1531"/>
        </w:tabs>
        <w:spacing w:before="120" w:after="240"/>
        <w:ind w:left="680" w:right="680"/>
        <w:contextualSpacing/>
        <w:rPr>
          <w:rFonts w:eastAsia="SimSun" w:cs="Arial"/>
          <w:sz w:val="18"/>
          <w:szCs w:val="18"/>
          <w:lang w:eastAsia="en-US"/>
        </w:rPr>
      </w:pPr>
      <w:r w:rsidRPr="00FE2E18">
        <w:rPr>
          <w:rFonts w:eastAsia="SimSun" w:cs="Arial"/>
          <w:i/>
          <w:sz w:val="18"/>
          <w:szCs w:val="18"/>
          <w:lang w:eastAsia="en-US"/>
        </w:rPr>
        <w:t>Bron</w:t>
      </w:r>
      <w:r w:rsidRPr="00FE2E18">
        <w:rPr>
          <w:rFonts w:eastAsia="SimSun" w:cs="Arial"/>
          <w:sz w:val="18"/>
          <w:szCs w:val="18"/>
          <w:lang w:eastAsia="en-US"/>
        </w:rPr>
        <w:t xml:space="preserve">: OECD (2017), </w:t>
      </w:r>
      <w:r w:rsidRPr="00FE2E18">
        <w:rPr>
          <w:rFonts w:eastAsia="SimSun" w:cs="Arial"/>
          <w:i/>
          <w:sz w:val="18"/>
          <w:szCs w:val="18"/>
          <w:lang w:eastAsia="en-US"/>
        </w:rPr>
        <w:t>The Pursuit of Gender Equality: An Uphill Battle</w:t>
      </w:r>
      <w:r w:rsidRPr="00FE2E18">
        <w:rPr>
          <w:rFonts w:eastAsia="SimSun" w:cs="Arial"/>
          <w:sz w:val="18"/>
          <w:szCs w:val="18"/>
          <w:lang w:eastAsia="en-US"/>
        </w:rPr>
        <w:t xml:space="preserve">, OECD Publishing, Paris. </w:t>
      </w:r>
      <w:hyperlink w:history="1" r:id="rId16">
        <w:r w:rsidRPr="00FE2E18">
          <w:rPr>
            <w:rFonts w:eastAsia="SimSun" w:cs="Arial"/>
            <w:color w:val="2B3ECD"/>
            <w:sz w:val="18"/>
            <w:szCs w:val="18"/>
            <w:u w:val="single"/>
            <w:lang w:eastAsia="en-US"/>
          </w:rPr>
          <w:t>http://dx.doi.org/10.1787/9789264281318-en</w:t>
        </w:r>
      </w:hyperlink>
      <w:r w:rsidRPr="00FE2E18">
        <w:rPr>
          <w:rFonts w:eastAsia="SimSun" w:cs="Arial"/>
          <w:sz w:val="18"/>
          <w:szCs w:val="18"/>
          <w:lang w:eastAsia="en-US"/>
        </w:rPr>
        <w:t xml:space="preserve">. </w:t>
      </w:r>
    </w:p>
    <w:p w:rsidR="00463667" w:rsidRDefault="00463667"/>
    <w:sectPr w:rsidR="00463667" w:rsidSect="00FD2F6E">
      <w:footerReference w:type="default" r:id="rId17"/>
      <w:pgSz w:w="11907" w:h="16840" w:code="9"/>
      <w:pgMar w:top="1985" w:right="1247" w:bottom="1814" w:left="1191" w:header="1247" w:footer="1247"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E18" w:rsidRDefault="00FE2E18">
      <w:r>
        <w:separator/>
      </w:r>
    </w:p>
  </w:endnote>
  <w:endnote w:type="continuationSeparator" w:id="0">
    <w:p w:rsidR="00FE2E18" w:rsidRDefault="00FE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73547"/>
      <w:docPartObj>
        <w:docPartGallery w:val="Page Numbers (Bottom of Page)"/>
        <w:docPartUnique/>
      </w:docPartObj>
    </w:sdtPr>
    <w:sdtEndPr/>
    <w:sdtContent>
      <w:p w:rsidR="00DA24E6" w:rsidRDefault="00DA24E6">
        <w:pPr>
          <w:pStyle w:val="Footer"/>
          <w:jc w:val="center"/>
        </w:pPr>
        <w:r>
          <w:fldChar w:fldCharType="begin"/>
        </w:r>
        <w:r>
          <w:instrText xml:space="preserve"> PAGE   \* MERGEFORMAT </w:instrText>
        </w:r>
        <w:r>
          <w:fldChar w:fldCharType="separate"/>
        </w:r>
        <w:r w:rsidR="00A55AB5">
          <w:rPr>
            <w:noProof/>
          </w:rPr>
          <w:t>4</w:t>
        </w:r>
        <w:r>
          <w:rPr>
            <w:noProof/>
          </w:rPr>
          <w:fldChar w:fldCharType="end"/>
        </w:r>
      </w:p>
    </w:sdtContent>
  </w:sdt>
  <w:p w:rsidR="00DA24E6" w:rsidRDefault="00DA2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E18" w:rsidRDefault="00FE2E18">
      <w:r>
        <w:separator/>
      </w:r>
    </w:p>
  </w:footnote>
  <w:footnote w:type="continuationSeparator" w:id="0">
    <w:p w:rsidR="00FE2E18" w:rsidRDefault="00FE2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2E18"/>
    <w:rsid w:val="000154AA"/>
    <w:rsid w:val="00034E8C"/>
    <w:rsid w:val="00034F1B"/>
    <w:rsid w:val="000B61CA"/>
    <w:rsid w:val="000D4A63"/>
    <w:rsid w:val="00160F6B"/>
    <w:rsid w:val="0019387A"/>
    <w:rsid w:val="0029646F"/>
    <w:rsid w:val="002B1825"/>
    <w:rsid w:val="002D2446"/>
    <w:rsid w:val="002E547F"/>
    <w:rsid w:val="003978FB"/>
    <w:rsid w:val="003B0F4B"/>
    <w:rsid w:val="003E5468"/>
    <w:rsid w:val="003E65FF"/>
    <w:rsid w:val="00461FF8"/>
    <w:rsid w:val="00463667"/>
    <w:rsid w:val="004809CE"/>
    <w:rsid w:val="00484B45"/>
    <w:rsid w:val="00485714"/>
    <w:rsid w:val="004C6C32"/>
    <w:rsid w:val="004E39B1"/>
    <w:rsid w:val="004F540A"/>
    <w:rsid w:val="00567E91"/>
    <w:rsid w:val="005E7FAE"/>
    <w:rsid w:val="00607D79"/>
    <w:rsid w:val="00612837"/>
    <w:rsid w:val="006B0254"/>
    <w:rsid w:val="006D25C6"/>
    <w:rsid w:val="006D6039"/>
    <w:rsid w:val="006F524D"/>
    <w:rsid w:val="007D0053"/>
    <w:rsid w:val="00845334"/>
    <w:rsid w:val="00856650"/>
    <w:rsid w:val="0089356C"/>
    <w:rsid w:val="0090412E"/>
    <w:rsid w:val="009146D3"/>
    <w:rsid w:val="00961C2E"/>
    <w:rsid w:val="00966229"/>
    <w:rsid w:val="009E4166"/>
    <w:rsid w:val="00A4378B"/>
    <w:rsid w:val="00A55AB5"/>
    <w:rsid w:val="00A7411B"/>
    <w:rsid w:val="00AA101B"/>
    <w:rsid w:val="00B91D69"/>
    <w:rsid w:val="00C7180B"/>
    <w:rsid w:val="00C875A3"/>
    <w:rsid w:val="00CF5291"/>
    <w:rsid w:val="00D83542"/>
    <w:rsid w:val="00DA24E6"/>
    <w:rsid w:val="00DD52A9"/>
    <w:rsid w:val="00E20FD1"/>
    <w:rsid w:val="00E71862"/>
    <w:rsid w:val="00EE1FE9"/>
    <w:rsid w:val="00F756AF"/>
    <w:rsid w:val="00FD2F6E"/>
    <w:rsid w:val="00FE2E18"/>
    <w:rsid w:val="00FF530F"/>
    <w:rsid w:val="00FF61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caption" w:uiPriority="0" w:qFormat="1"/>
    <w:lsdException w:name="Title" w:semiHidden="0" w:uiPriority="0" w:unhideWhenUsed="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2A9"/>
    <w:pPr>
      <w:tabs>
        <w:tab w:val="left" w:pos="850"/>
        <w:tab w:val="left" w:pos="1191"/>
        <w:tab w:val="left" w:pos="1531"/>
      </w:tabs>
      <w:jc w:val="both"/>
    </w:pPr>
    <w:rPr>
      <w:sz w:val="22"/>
      <w:szCs w:val="22"/>
      <w:lang w:val="en-GB" w:eastAsia="zh-CN"/>
    </w:rPr>
  </w:style>
  <w:style w:type="paragraph" w:styleId="Heading1">
    <w:name w:val="heading 1"/>
    <w:basedOn w:val="Normal"/>
    <w:next w:val="Normal"/>
    <w:link w:val="Heading1Char"/>
    <w:qFormat/>
    <w:rsid w:val="00DD52A9"/>
    <w:pPr>
      <w:keepNext/>
      <w:spacing w:before="1200" w:after="720"/>
      <w:jc w:val="center"/>
      <w:outlineLvl w:val="0"/>
    </w:pPr>
    <w:rPr>
      <w:b/>
      <w:bCs/>
      <w:caps/>
      <w:kern w:val="28"/>
    </w:rPr>
  </w:style>
  <w:style w:type="paragraph" w:styleId="Heading2">
    <w:name w:val="heading 2"/>
    <w:basedOn w:val="Normal"/>
    <w:next w:val="Normal"/>
    <w:link w:val="Heading2Char"/>
    <w:qFormat/>
    <w:rsid w:val="00DD52A9"/>
    <w:pPr>
      <w:keepNext/>
      <w:spacing w:before="240" w:after="240"/>
      <w:outlineLvl w:val="1"/>
    </w:pPr>
    <w:rPr>
      <w:b/>
      <w:bCs/>
    </w:rPr>
  </w:style>
  <w:style w:type="paragraph" w:styleId="Heading3">
    <w:name w:val="heading 3"/>
    <w:basedOn w:val="Normal"/>
    <w:next w:val="Normal"/>
    <w:link w:val="Heading3Char"/>
    <w:qFormat/>
    <w:rsid w:val="00DD52A9"/>
    <w:pPr>
      <w:keepNext/>
      <w:spacing w:before="240" w:after="240"/>
      <w:outlineLvl w:val="2"/>
    </w:pPr>
    <w:rPr>
      <w:b/>
      <w:bCs/>
      <w:i/>
      <w:iCs/>
    </w:rPr>
  </w:style>
  <w:style w:type="paragraph" w:styleId="Heading4">
    <w:name w:val="heading 4"/>
    <w:basedOn w:val="Normal"/>
    <w:next w:val="Normal"/>
    <w:link w:val="Heading4Char"/>
    <w:qFormat/>
    <w:rsid w:val="00DD52A9"/>
    <w:pPr>
      <w:keepNext/>
      <w:spacing w:before="240" w:after="240"/>
      <w:outlineLvl w:val="3"/>
    </w:pPr>
    <w:rPr>
      <w:i/>
      <w:iCs/>
    </w:rPr>
  </w:style>
  <w:style w:type="paragraph" w:styleId="Heading5">
    <w:name w:val="heading 5"/>
    <w:basedOn w:val="Normal"/>
    <w:next w:val="Normal"/>
    <w:link w:val="Heading5Char"/>
    <w:qFormat/>
    <w:rsid w:val="00DD52A9"/>
    <w:pPr>
      <w:spacing w:before="240" w:after="240"/>
      <w:outlineLvl w:val="4"/>
    </w:pPr>
  </w:style>
  <w:style w:type="paragraph" w:styleId="Heading6">
    <w:name w:val="heading 6"/>
    <w:basedOn w:val="Normal"/>
    <w:next w:val="Normal"/>
    <w:link w:val="Heading6Char"/>
    <w:qFormat/>
    <w:rsid w:val="00DD52A9"/>
    <w:pPr>
      <w:spacing w:before="240" w:after="60"/>
      <w:outlineLvl w:val="5"/>
    </w:pPr>
    <w:rPr>
      <w:b/>
      <w:bCs/>
    </w:rPr>
  </w:style>
  <w:style w:type="paragraph" w:styleId="Heading7">
    <w:name w:val="heading 7"/>
    <w:basedOn w:val="Normal"/>
    <w:next w:val="Normal"/>
    <w:link w:val="Heading7Char"/>
    <w:qFormat/>
    <w:rsid w:val="00DD52A9"/>
    <w:pPr>
      <w:spacing w:before="240" w:after="60"/>
      <w:outlineLvl w:val="6"/>
    </w:pPr>
    <w:rPr>
      <w:sz w:val="24"/>
      <w:szCs w:val="24"/>
    </w:rPr>
  </w:style>
  <w:style w:type="paragraph" w:styleId="Heading8">
    <w:name w:val="heading 8"/>
    <w:basedOn w:val="Normal"/>
    <w:next w:val="Normal"/>
    <w:link w:val="Heading8Char"/>
    <w:qFormat/>
    <w:rsid w:val="00DD52A9"/>
    <w:pPr>
      <w:spacing w:before="240" w:after="60"/>
      <w:outlineLvl w:val="7"/>
    </w:pPr>
    <w:rPr>
      <w:i/>
      <w:iCs/>
      <w:sz w:val="24"/>
      <w:szCs w:val="24"/>
    </w:rPr>
  </w:style>
  <w:style w:type="paragraph" w:styleId="Heading9">
    <w:name w:val="heading 9"/>
    <w:basedOn w:val="Normal"/>
    <w:next w:val="Normal"/>
    <w:link w:val="Heading9Char"/>
    <w:qFormat/>
    <w:rsid w:val="00DD52A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2A9"/>
    <w:rPr>
      <w:b/>
      <w:bCs/>
      <w:caps/>
      <w:kern w:val="28"/>
      <w:sz w:val="22"/>
      <w:szCs w:val="22"/>
      <w:lang w:val="en-GB" w:eastAsia="zh-CN"/>
    </w:rPr>
  </w:style>
  <w:style w:type="character" w:customStyle="1" w:styleId="Heading2Char">
    <w:name w:val="Heading 2 Char"/>
    <w:basedOn w:val="DefaultParagraphFont"/>
    <w:link w:val="Heading2"/>
    <w:rsid w:val="00DD52A9"/>
    <w:rPr>
      <w:b/>
      <w:bCs/>
      <w:sz w:val="22"/>
      <w:szCs w:val="22"/>
      <w:lang w:val="en-GB" w:eastAsia="zh-CN"/>
    </w:rPr>
  </w:style>
  <w:style w:type="character" w:customStyle="1" w:styleId="Heading3Char">
    <w:name w:val="Heading 3 Char"/>
    <w:basedOn w:val="DefaultParagraphFont"/>
    <w:link w:val="Heading3"/>
    <w:rsid w:val="00DD52A9"/>
    <w:rPr>
      <w:b/>
      <w:bCs/>
      <w:i/>
      <w:iCs/>
      <w:sz w:val="22"/>
      <w:szCs w:val="22"/>
      <w:lang w:val="en-GB" w:eastAsia="zh-CN"/>
    </w:rPr>
  </w:style>
  <w:style w:type="character" w:customStyle="1" w:styleId="Heading4Char">
    <w:name w:val="Heading 4 Char"/>
    <w:basedOn w:val="DefaultParagraphFont"/>
    <w:link w:val="Heading4"/>
    <w:rsid w:val="00DD52A9"/>
    <w:rPr>
      <w:i/>
      <w:iCs/>
      <w:sz w:val="22"/>
      <w:szCs w:val="22"/>
      <w:lang w:val="en-GB" w:eastAsia="zh-CN"/>
    </w:rPr>
  </w:style>
  <w:style w:type="character" w:customStyle="1" w:styleId="Heading5Char">
    <w:name w:val="Heading 5 Char"/>
    <w:basedOn w:val="DefaultParagraphFont"/>
    <w:link w:val="Heading5"/>
    <w:rsid w:val="00DD52A9"/>
    <w:rPr>
      <w:sz w:val="22"/>
      <w:szCs w:val="22"/>
      <w:lang w:val="en-GB" w:eastAsia="zh-CN"/>
    </w:rPr>
  </w:style>
  <w:style w:type="character" w:customStyle="1" w:styleId="Heading6Char">
    <w:name w:val="Heading 6 Char"/>
    <w:basedOn w:val="DefaultParagraphFont"/>
    <w:link w:val="Heading6"/>
    <w:rsid w:val="00DD52A9"/>
    <w:rPr>
      <w:b/>
      <w:bCs/>
      <w:sz w:val="22"/>
      <w:szCs w:val="22"/>
      <w:lang w:val="en-GB" w:eastAsia="zh-CN"/>
    </w:rPr>
  </w:style>
  <w:style w:type="character" w:customStyle="1" w:styleId="Heading7Char">
    <w:name w:val="Heading 7 Char"/>
    <w:basedOn w:val="DefaultParagraphFont"/>
    <w:link w:val="Heading7"/>
    <w:rsid w:val="00DD52A9"/>
    <w:rPr>
      <w:sz w:val="24"/>
      <w:szCs w:val="24"/>
      <w:lang w:val="en-GB" w:eastAsia="zh-CN"/>
    </w:rPr>
  </w:style>
  <w:style w:type="character" w:customStyle="1" w:styleId="Heading8Char">
    <w:name w:val="Heading 8 Char"/>
    <w:basedOn w:val="DefaultParagraphFont"/>
    <w:link w:val="Heading8"/>
    <w:rsid w:val="00DD52A9"/>
    <w:rPr>
      <w:i/>
      <w:iCs/>
      <w:sz w:val="24"/>
      <w:szCs w:val="24"/>
      <w:lang w:val="en-GB" w:eastAsia="zh-CN"/>
    </w:rPr>
  </w:style>
  <w:style w:type="character" w:customStyle="1" w:styleId="Heading9Char">
    <w:name w:val="Heading 9 Char"/>
    <w:basedOn w:val="DefaultParagraphFont"/>
    <w:link w:val="Heading9"/>
    <w:rsid w:val="00DD52A9"/>
    <w:rPr>
      <w:rFonts w:ascii="Arial" w:hAnsi="Arial" w:cs="Arial"/>
      <w:sz w:val="22"/>
      <w:szCs w:val="22"/>
      <w:lang w:val="en-GB" w:eastAsia="zh-CN"/>
    </w:rPr>
  </w:style>
  <w:style w:type="paragraph" w:styleId="TOC1">
    <w:name w:val="toc 1"/>
    <w:basedOn w:val="Normal"/>
    <w:next w:val="Normal"/>
    <w:uiPriority w:val="39"/>
    <w:qFormat/>
    <w:rsid w:val="00DD52A9"/>
    <w:pPr>
      <w:tabs>
        <w:tab w:val="clear" w:pos="850"/>
        <w:tab w:val="clear" w:pos="1191"/>
        <w:tab w:val="clear" w:pos="1531"/>
        <w:tab w:val="right" w:leader="dot" w:pos="6803"/>
      </w:tabs>
      <w:spacing w:before="120" w:after="120"/>
    </w:pPr>
    <w:rPr>
      <w:caps/>
    </w:rPr>
  </w:style>
  <w:style w:type="paragraph" w:styleId="TOC2">
    <w:name w:val="toc 2"/>
    <w:basedOn w:val="Normal"/>
    <w:next w:val="Normal"/>
    <w:uiPriority w:val="39"/>
    <w:qFormat/>
    <w:rsid w:val="00DD52A9"/>
    <w:pPr>
      <w:tabs>
        <w:tab w:val="clear" w:pos="850"/>
        <w:tab w:val="clear" w:pos="1191"/>
        <w:tab w:val="clear" w:pos="1531"/>
        <w:tab w:val="right" w:leader="dot" w:pos="6803"/>
      </w:tabs>
      <w:ind w:left="198"/>
    </w:pPr>
  </w:style>
  <w:style w:type="paragraph" w:styleId="TOC3">
    <w:name w:val="toc 3"/>
    <w:basedOn w:val="Normal"/>
    <w:next w:val="Normal"/>
    <w:qFormat/>
    <w:rsid w:val="00DD52A9"/>
    <w:pPr>
      <w:tabs>
        <w:tab w:val="clear" w:pos="850"/>
        <w:tab w:val="clear" w:pos="1191"/>
        <w:tab w:val="clear" w:pos="1531"/>
        <w:tab w:val="right" w:leader="dot" w:pos="6803"/>
      </w:tabs>
      <w:ind w:left="397"/>
    </w:pPr>
  </w:style>
  <w:style w:type="paragraph" w:styleId="TOC4">
    <w:name w:val="toc 4"/>
    <w:basedOn w:val="Normal"/>
    <w:next w:val="Normal"/>
    <w:qFormat/>
    <w:rsid w:val="00DD52A9"/>
    <w:pPr>
      <w:tabs>
        <w:tab w:val="clear" w:pos="850"/>
        <w:tab w:val="clear" w:pos="1191"/>
        <w:tab w:val="clear" w:pos="1531"/>
        <w:tab w:val="right" w:leader="dot" w:pos="6803"/>
      </w:tabs>
      <w:ind w:left="595"/>
    </w:pPr>
    <w:rPr>
      <w:noProof/>
    </w:rPr>
  </w:style>
  <w:style w:type="paragraph" w:styleId="TOC5">
    <w:name w:val="toc 5"/>
    <w:basedOn w:val="Normal"/>
    <w:next w:val="Normal"/>
    <w:qFormat/>
    <w:rsid w:val="00DD52A9"/>
    <w:pPr>
      <w:tabs>
        <w:tab w:val="clear" w:pos="850"/>
        <w:tab w:val="clear" w:pos="1191"/>
        <w:tab w:val="clear" w:pos="1531"/>
        <w:tab w:val="right" w:leader="dot" w:pos="6803"/>
      </w:tabs>
      <w:ind w:left="794"/>
    </w:pPr>
    <w:rPr>
      <w:noProof/>
    </w:rPr>
  </w:style>
  <w:style w:type="paragraph" w:styleId="TOC6">
    <w:name w:val="toc 6"/>
    <w:basedOn w:val="Normal"/>
    <w:next w:val="Normal"/>
    <w:qFormat/>
    <w:rsid w:val="00DD52A9"/>
    <w:pPr>
      <w:tabs>
        <w:tab w:val="clear" w:pos="850"/>
        <w:tab w:val="clear" w:pos="1191"/>
        <w:tab w:val="clear" w:pos="1531"/>
      </w:tabs>
      <w:ind w:left="1100"/>
    </w:pPr>
  </w:style>
  <w:style w:type="paragraph" w:styleId="TOC7">
    <w:name w:val="toc 7"/>
    <w:basedOn w:val="Normal"/>
    <w:next w:val="Normal"/>
    <w:qFormat/>
    <w:rsid w:val="00DD52A9"/>
    <w:pPr>
      <w:tabs>
        <w:tab w:val="clear" w:pos="850"/>
        <w:tab w:val="clear" w:pos="1191"/>
        <w:tab w:val="clear" w:pos="1531"/>
      </w:tabs>
      <w:ind w:left="1320"/>
    </w:pPr>
  </w:style>
  <w:style w:type="paragraph" w:styleId="TOC8">
    <w:name w:val="toc 8"/>
    <w:basedOn w:val="Normal"/>
    <w:next w:val="Normal"/>
    <w:qFormat/>
    <w:rsid w:val="00DD52A9"/>
    <w:pPr>
      <w:tabs>
        <w:tab w:val="clear" w:pos="850"/>
        <w:tab w:val="clear" w:pos="1191"/>
        <w:tab w:val="clear" w:pos="1531"/>
      </w:tabs>
      <w:ind w:left="1540"/>
    </w:pPr>
  </w:style>
  <w:style w:type="paragraph" w:styleId="TOC9">
    <w:name w:val="toc 9"/>
    <w:basedOn w:val="Normal"/>
    <w:next w:val="Normal"/>
    <w:qFormat/>
    <w:rsid w:val="00DD52A9"/>
    <w:pPr>
      <w:tabs>
        <w:tab w:val="clear" w:pos="850"/>
        <w:tab w:val="clear" w:pos="1191"/>
        <w:tab w:val="clear" w:pos="1531"/>
      </w:tabs>
      <w:ind w:left="1760"/>
    </w:pPr>
  </w:style>
  <w:style w:type="paragraph" w:styleId="Caption">
    <w:name w:val="caption"/>
    <w:basedOn w:val="Normal"/>
    <w:next w:val="Normal"/>
    <w:qFormat/>
    <w:rsid w:val="00DD52A9"/>
    <w:pPr>
      <w:spacing w:before="120" w:after="120"/>
    </w:pPr>
    <w:rPr>
      <w:b/>
      <w:bCs/>
      <w:sz w:val="20"/>
      <w:szCs w:val="20"/>
    </w:rPr>
  </w:style>
  <w:style w:type="paragraph" w:styleId="Title">
    <w:name w:val="Title"/>
    <w:basedOn w:val="Normal"/>
    <w:link w:val="TitleChar"/>
    <w:qFormat/>
    <w:rsid w:val="00DD52A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D52A9"/>
    <w:rPr>
      <w:rFonts w:ascii="Arial" w:hAnsi="Arial" w:cs="Arial"/>
      <w:b/>
      <w:bCs/>
      <w:kern w:val="28"/>
      <w:sz w:val="32"/>
      <w:szCs w:val="32"/>
      <w:lang w:val="en-GB" w:eastAsia="zh-CN"/>
    </w:rPr>
  </w:style>
  <w:style w:type="paragraph" w:styleId="Subtitle">
    <w:name w:val="Subtitle"/>
    <w:basedOn w:val="Normal"/>
    <w:link w:val="SubtitleChar"/>
    <w:qFormat/>
    <w:rsid w:val="00DD52A9"/>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D52A9"/>
    <w:rPr>
      <w:rFonts w:ascii="Arial" w:hAnsi="Arial" w:cs="Arial"/>
      <w:sz w:val="24"/>
      <w:szCs w:val="24"/>
      <w:lang w:val="en-GB" w:eastAsia="zh-CN"/>
    </w:rPr>
  </w:style>
  <w:style w:type="paragraph" w:styleId="Header">
    <w:name w:val="header"/>
    <w:basedOn w:val="Normal"/>
    <w:link w:val="HeaderChar"/>
    <w:uiPriority w:val="99"/>
    <w:semiHidden/>
    <w:unhideWhenUsed/>
    <w:rsid w:val="006D6039"/>
    <w:pPr>
      <w:tabs>
        <w:tab w:val="clear" w:pos="850"/>
        <w:tab w:val="clear" w:pos="1191"/>
        <w:tab w:val="clear" w:pos="1531"/>
        <w:tab w:val="center" w:pos="4680"/>
        <w:tab w:val="right" w:pos="9360"/>
      </w:tabs>
    </w:pPr>
  </w:style>
  <w:style w:type="character" w:customStyle="1" w:styleId="HeaderChar">
    <w:name w:val="Header Char"/>
    <w:basedOn w:val="DefaultParagraphFont"/>
    <w:link w:val="Header"/>
    <w:uiPriority w:val="99"/>
    <w:semiHidden/>
    <w:rsid w:val="006D6039"/>
    <w:rPr>
      <w:sz w:val="22"/>
      <w:szCs w:val="22"/>
      <w:lang w:val="en-GB" w:eastAsia="zh-CN"/>
    </w:rPr>
  </w:style>
  <w:style w:type="paragraph" w:styleId="Footer">
    <w:name w:val="footer"/>
    <w:basedOn w:val="Normal"/>
    <w:link w:val="FooterChar"/>
    <w:uiPriority w:val="99"/>
    <w:unhideWhenUsed/>
    <w:rsid w:val="006D6039"/>
    <w:pPr>
      <w:tabs>
        <w:tab w:val="clear" w:pos="850"/>
        <w:tab w:val="clear" w:pos="1191"/>
        <w:tab w:val="clear" w:pos="1531"/>
        <w:tab w:val="center" w:pos="4680"/>
        <w:tab w:val="right" w:pos="9360"/>
      </w:tabs>
    </w:pPr>
  </w:style>
  <w:style w:type="character" w:customStyle="1" w:styleId="FooterChar">
    <w:name w:val="Footer Char"/>
    <w:basedOn w:val="DefaultParagraphFont"/>
    <w:link w:val="Footer"/>
    <w:uiPriority w:val="99"/>
    <w:rsid w:val="006D6039"/>
    <w:rPr>
      <w:sz w:val="22"/>
      <w:szCs w:val="22"/>
      <w:lang w:val="en-GB" w:eastAsia="zh-CN"/>
    </w:rPr>
  </w:style>
  <w:style w:type="paragraph" w:styleId="CommentText">
    <w:name w:val="annotation text"/>
    <w:basedOn w:val="Normal"/>
    <w:link w:val="CommentTextChar"/>
    <w:uiPriority w:val="99"/>
    <w:semiHidden/>
    <w:unhideWhenUsed/>
    <w:rsid w:val="00FE2E18"/>
    <w:rPr>
      <w:sz w:val="20"/>
      <w:szCs w:val="20"/>
    </w:rPr>
  </w:style>
  <w:style w:type="character" w:customStyle="1" w:styleId="CommentTextChar">
    <w:name w:val="Comment Text Char"/>
    <w:basedOn w:val="DefaultParagraphFont"/>
    <w:link w:val="CommentText"/>
    <w:uiPriority w:val="99"/>
    <w:semiHidden/>
    <w:rsid w:val="00FE2E18"/>
    <w:rPr>
      <w:lang w:val="en-GB" w:eastAsia="zh-CN"/>
    </w:rPr>
  </w:style>
  <w:style w:type="character" w:styleId="CommentReference">
    <w:name w:val="annotation reference"/>
    <w:basedOn w:val="DefaultParagraphFont"/>
    <w:uiPriority w:val="99"/>
    <w:semiHidden/>
    <w:unhideWhenUsed/>
    <w:rsid w:val="00FE2E18"/>
    <w:rPr>
      <w:sz w:val="16"/>
      <w:szCs w:val="16"/>
    </w:rPr>
  </w:style>
  <w:style w:type="paragraph" w:styleId="BalloonText">
    <w:name w:val="Balloon Text"/>
    <w:basedOn w:val="Normal"/>
    <w:link w:val="BalloonTextChar"/>
    <w:uiPriority w:val="99"/>
    <w:semiHidden/>
    <w:unhideWhenUsed/>
    <w:rsid w:val="00FE2E18"/>
    <w:rPr>
      <w:rFonts w:ascii="Tahoma" w:hAnsi="Tahoma" w:cs="Tahoma"/>
      <w:sz w:val="16"/>
      <w:szCs w:val="16"/>
    </w:rPr>
  </w:style>
  <w:style w:type="character" w:customStyle="1" w:styleId="BalloonTextChar">
    <w:name w:val="Balloon Text Char"/>
    <w:basedOn w:val="DefaultParagraphFont"/>
    <w:link w:val="BalloonText"/>
    <w:uiPriority w:val="99"/>
    <w:semiHidden/>
    <w:rsid w:val="00FE2E18"/>
    <w:rPr>
      <w:rFonts w:ascii="Tahoma" w:hAnsi="Tahoma" w:cs="Tahoma"/>
      <w:sz w:val="16"/>
      <w:szCs w:val="16"/>
      <w:lang w:val="en-GB" w:eastAsia="zh-CN"/>
    </w:rPr>
  </w:style>
  <w:style w:type="character" w:styleId="Hyperlink">
    <w:name w:val="Hyperlink"/>
    <w:basedOn w:val="DefaultParagraphFont"/>
    <w:uiPriority w:val="99"/>
    <w:unhideWhenUsed/>
    <w:rsid w:val="00FE2E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x.doi.org/10.1787/9789264281318-en" TargetMode="External" Id="rId8" /><Relationship Type="http://schemas.openxmlformats.org/officeDocument/2006/relationships/image" Target="media/image3.png"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www.oecd.org/gender/" TargetMode="External" Id="rId7" /><Relationship Type="http://schemas.openxmlformats.org/officeDocument/2006/relationships/hyperlink" Target="http://www.oecd.org/education/database.htm" TargetMode="External" Id="rId12" /><Relationship Type="http://schemas.openxmlformats.org/officeDocument/2006/relationships/footer" Target="footer1.xml" Id="rId17" /><Relationship Type="http://schemas.microsoft.com/office/2007/relationships/stylesWithEffects" Target="stylesWithEffects.xml" Id="rId2" /><Relationship Type="http://schemas.openxmlformats.org/officeDocument/2006/relationships/hyperlink" Target="http://dx.doi.org/10.1787/9789264281318-en" TargetMode="External" Id="rId16"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image" Target="media/image2.png" Id="rId11" /><Relationship Type="http://schemas.openxmlformats.org/officeDocument/2006/relationships/footnotes" Target="footnotes.xml" Id="rId5" /><Relationship Type="http://schemas.openxmlformats.org/officeDocument/2006/relationships/image" Target="media/image4.png" Id="rId15" /><Relationship Type="http://schemas.openxmlformats.org/officeDocument/2006/relationships/hyperlink" Target="http://www.oecd.org/gender/data/"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hyperlink" Target="http://www.oecd.org/els/family/database.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1150</ap:Words>
  <ap:Characters>6971</ap:Characters>
  <ap:DocSecurity>0</ap:DocSecurity>
  <ap:Lines>136</ap:Lines>
  <ap:Paragraphs>31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2018-06-18T07:08:00.0000000Z</lastPrinted>
  <dcterms:created xsi:type="dcterms:W3CDTF">2018-06-18T06:58:00.0000000Z</dcterms:created>
  <dcterms:modified xsi:type="dcterms:W3CDTF">2018-06-18T07:10:00.0000000Z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0x01010053C97A103FABF04BAC1BBC1C33E1EBAE</vt:lpwstr>
  </property>
</Properties>
</file>