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182FFB" w:rsidP="00182FFB" w:rsidRDefault="00182FFB">
      <w:pPr>
        <w:rPr>
          <w:rFonts w:asciiTheme="minorHAnsi" w:hAnsiTheme="minorHAnsi"/>
          <w:b/>
          <w:sz w:val="28"/>
          <w:szCs w:val="22"/>
        </w:rPr>
      </w:pPr>
      <w:r w:rsidRPr="00F153A4">
        <w:rPr>
          <w:rFonts w:asciiTheme="minorHAnsi" w:hAnsiTheme="minorHAnsi"/>
          <w:b/>
          <w:szCs w:val="22"/>
        </w:rPr>
        <w:t xml:space="preserve">Vaste commissie voor </w:t>
      </w:r>
      <w:r>
        <w:rPr>
          <w:rFonts w:asciiTheme="minorHAnsi" w:hAnsiTheme="minorHAnsi"/>
          <w:b/>
          <w:szCs w:val="22"/>
        </w:rPr>
        <w:t>Sociale Zaken en Werkgelegenheid</w:t>
      </w:r>
      <w:r>
        <w:rPr>
          <w:rFonts w:asciiTheme="minorHAnsi" w:hAnsiTheme="minorHAnsi"/>
          <w:b/>
          <w:sz w:val="22"/>
          <w:szCs w:val="22"/>
        </w:rPr>
        <w:t xml:space="preserve">: </w:t>
      </w:r>
      <w:r w:rsidRPr="00B16E8F">
        <w:rPr>
          <w:rFonts w:asciiTheme="minorHAnsi" w:hAnsiTheme="minorHAnsi"/>
          <w:b/>
          <w:szCs w:val="22"/>
        </w:rPr>
        <w:t>Overzicht nieuw gepubliceerde EU-voorstellen op het terrein van SZW</w:t>
      </w:r>
    </w:p>
    <w:p w:rsidRPr="00EA04E2" w:rsidR="00182FFB" w:rsidP="00182FFB" w:rsidRDefault="00EA04E2">
      <w:pPr>
        <w:rPr>
          <w:rFonts w:asciiTheme="minorHAnsi" w:hAnsiTheme="minorHAnsi"/>
          <w:b/>
        </w:rPr>
      </w:pPr>
      <w:r w:rsidRPr="00EA04E2">
        <w:rPr>
          <w:rFonts w:asciiTheme="minorHAnsi" w:hAnsiTheme="minorHAnsi"/>
          <w:b/>
        </w:rPr>
        <w:t>2018Z</w:t>
      </w:r>
      <w:r w:rsidR="00FB5728">
        <w:rPr>
          <w:rFonts w:asciiTheme="minorHAnsi" w:hAnsiTheme="minorHAnsi"/>
          <w:b/>
        </w:rPr>
        <w:t>09043</w:t>
      </w:r>
      <w:r w:rsidRPr="00EA04E2">
        <w:rPr>
          <w:rFonts w:asciiTheme="minorHAnsi" w:hAnsiTheme="minorHAnsi"/>
          <w:b/>
        </w:rPr>
        <w:t>/2018D</w:t>
      </w:r>
      <w:r w:rsidR="00FB5728">
        <w:rPr>
          <w:rFonts w:asciiTheme="minorHAnsi" w:hAnsiTheme="minorHAnsi"/>
          <w:b/>
        </w:rPr>
        <w:t>29095</w:t>
      </w:r>
      <w:bookmarkStart w:name="_GoBack" w:id="0"/>
      <w:bookmarkEnd w:id="0"/>
    </w:p>
    <w:p w:rsidRPr="00F67F5B" w:rsidR="00182FFB" w:rsidP="00182FFB" w:rsidRDefault="00182FFB">
      <w:pPr>
        <w:rPr>
          <w:rFonts w:asciiTheme="minorHAnsi" w:hAnsiTheme="minorHAnsi"/>
          <w:sz w:val="22"/>
          <w:szCs w:val="22"/>
        </w:rPr>
      </w:pPr>
      <w:r>
        <w:rPr>
          <w:rFonts w:asciiTheme="minorHAnsi" w:hAnsiTheme="minorHAnsi"/>
          <w:b/>
          <w:sz w:val="22"/>
          <w:szCs w:val="22"/>
          <w:u w:val="single"/>
        </w:rPr>
        <w:t>Voorstellen over de periode</w:t>
      </w:r>
      <w:r w:rsidRPr="00967E0A">
        <w:rPr>
          <w:rFonts w:asciiTheme="minorHAnsi" w:hAnsiTheme="minorHAnsi"/>
          <w:b/>
          <w:sz w:val="22"/>
          <w:szCs w:val="22"/>
        </w:rPr>
        <w:t xml:space="preserve">: </w:t>
      </w:r>
      <w:r w:rsidRPr="00967E0A" w:rsidR="000E3699">
        <w:rPr>
          <w:rFonts w:asciiTheme="minorHAnsi" w:hAnsiTheme="minorHAnsi"/>
          <w:b/>
          <w:sz w:val="22"/>
          <w:szCs w:val="22"/>
        </w:rPr>
        <w:t xml:space="preserve"> </w:t>
      </w:r>
      <w:r w:rsidRPr="00967E0A" w:rsidR="00967E0A">
        <w:rPr>
          <w:rFonts w:asciiTheme="minorHAnsi" w:hAnsiTheme="minorHAnsi"/>
          <w:b/>
          <w:sz w:val="22"/>
          <w:szCs w:val="22"/>
        </w:rPr>
        <w:t>15 april – 15 mei 2018</w:t>
      </w:r>
    </w:p>
    <w:p w:rsidRPr="008011D1" w:rsidR="00182FFB" w:rsidP="00182FFB" w:rsidRDefault="00182FFB">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Pr>
          <w:rFonts w:asciiTheme="minorHAnsi" w:hAnsiTheme="minorHAnsi"/>
          <w:color w:val="000000" w:themeColor="text1"/>
          <w:sz w:val="18"/>
          <w:szCs w:val="18"/>
        </w:rPr>
        <w:t>SZW</w:t>
      </w:r>
      <w:r w:rsidRPr="008011D1">
        <w:rPr>
          <w:rFonts w:asciiTheme="minorHAnsi" w:hAnsiTheme="minorHAnsi"/>
          <w:color w:val="000000" w:themeColor="text1"/>
          <w:sz w:val="18"/>
          <w:szCs w:val="18"/>
        </w:rPr>
        <w:t xml:space="preserve"> eerder als prioritair heeft aangemerkt, worden afzonderlijk geagendeerd voor de procedurevergadering met een behandelvoorstel.</w:t>
      </w:r>
    </w:p>
    <w:p w:rsidR="00182FFB" w:rsidP="00182FFB" w:rsidRDefault="00182FFB">
      <w:pPr>
        <w:rPr>
          <w:rFonts w:asciiTheme="minorHAnsi" w:hAnsiTheme="minorHAnsi"/>
          <w:b/>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1"/>
        <w:gridCol w:w="1203"/>
        <w:gridCol w:w="1374"/>
        <w:gridCol w:w="4754"/>
        <w:gridCol w:w="634"/>
        <w:gridCol w:w="1246"/>
        <w:gridCol w:w="4463"/>
      </w:tblGrid>
      <w:tr w:rsidRPr="00D668D4" w:rsidR="00182FFB" w:rsidTr="00CB61A6">
        <w:trPr>
          <w:trHeight w:val="1550"/>
        </w:trPr>
        <w:tc>
          <w:tcPr>
            <w:tcW w:w="981" w:type="dxa"/>
            <w:shd w:val="clear" w:color="auto" w:fill="auto"/>
            <w:textDirection w:val="btLr"/>
            <w:vAlign w:val="bottom"/>
            <w:hideMark/>
          </w:tcPr>
          <w:p w:rsidRPr="00D668D4" w:rsidR="00182FFB" w:rsidP="00CB61A6" w:rsidRDefault="00182FFB">
            <w:pPr>
              <w:jc w:val="center"/>
              <w:rPr>
                <w:rFonts w:asciiTheme="minorHAnsi" w:hAnsiTheme="minorHAnsi"/>
                <w:b/>
                <w:bCs/>
                <w:color w:val="000000"/>
                <w:sz w:val="22"/>
                <w:szCs w:val="22"/>
              </w:rPr>
            </w:pPr>
            <w:r w:rsidRPr="00D668D4">
              <w:rPr>
                <w:rFonts w:asciiTheme="minorHAnsi" w:hAnsiTheme="minorHAnsi"/>
                <w:b/>
                <w:bCs/>
                <w:color w:val="000000"/>
                <w:sz w:val="22"/>
                <w:szCs w:val="22"/>
              </w:rPr>
              <w:t>Publicatie-</w:t>
            </w:r>
          </w:p>
          <w:p w:rsidRPr="00D668D4" w:rsidR="00182FFB" w:rsidP="00CB61A6" w:rsidRDefault="00182FFB">
            <w:pPr>
              <w:jc w:val="center"/>
              <w:rPr>
                <w:rFonts w:asciiTheme="minorHAnsi" w:hAnsiTheme="minorHAnsi"/>
                <w:b/>
                <w:bCs/>
                <w:color w:val="000000"/>
                <w:sz w:val="22"/>
                <w:szCs w:val="22"/>
              </w:rPr>
            </w:pPr>
            <w:r w:rsidRPr="00D668D4">
              <w:rPr>
                <w:rFonts w:asciiTheme="minorHAnsi" w:hAnsiTheme="minorHAnsi"/>
                <w:b/>
                <w:bCs/>
                <w:color w:val="000000"/>
                <w:sz w:val="22"/>
                <w:szCs w:val="22"/>
              </w:rPr>
              <w:t>datum</w:t>
            </w:r>
          </w:p>
        </w:tc>
        <w:tc>
          <w:tcPr>
            <w:tcW w:w="1203" w:type="dxa"/>
            <w:shd w:val="clear" w:color="auto" w:fill="auto"/>
            <w:textDirection w:val="btLr"/>
            <w:vAlign w:val="bottom"/>
            <w:hideMark/>
          </w:tcPr>
          <w:p w:rsidRPr="00D668D4" w:rsidR="00182FFB" w:rsidP="00CB61A6" w:rsidRDefault="00182FFB">
            <w:pPr>
              <w:jc w:val="center"/>
              <w:rPr>
                <w:rFonts w:asciiTheme="minorHAnsi" w:hAnsiTheme="minorHAnsi"/>
                <w:b/>
                <w:bCs/>
                <w:color w:val="000000"/>
                <w:sz w:val="22"/>
                <w:szCs w:val="22"/>
              </w:rPr>
            </w:pPr>
            <w:r w:rsidRPr="00D668D4">
              <w:rPr>
                <w:rFonts w:asciiTheme="minorHAnsi" w:hAnsiTheme="minorHAnsi"/>
                <w:b/>
                <w:bCs/>
                <w:color w:val="000000"/>
                <w:sz w:val="22"/>
                <w:szCs w:val="22"/>
              </w:rPr>
              <w:t>Voortouw</w:t>
            </w:r>
          </w:p>
        </w:tc>
        <w:tc>
          <w:tcPr>
            <w:tcW w:w="1374" w:type="dxa"/>
            <w:shd w:val="clear" w:color="auto" w:fill="auto"/>
            <w:textDirection w:val="btLr"/>
            <w:vAlign w:val="bottom"/>
            <w:hideMark/>
          </w:tcPr>
          <w:p w:rsidRPr="00D668D4" w:rsidR="00182FFB" w:rsidP="00CB61A6" w:rsidRDefault="00182FFB">
            <w:pPr>
              <w:jc w:val="center"/>
              <w:rPr>
                <w:rFonts w:asciiTheme="minorHAnsi" w:hAnsiTheme="minorHAnsi"/>
                <w:b/>
                <w:bCs/>
                <w:color w:val="000000"/>
                <w:sz w:val="22"/>
                <w:szCs w:val="22"/>
              </w:rPr>
            </w:pPr>
            <w:r w:rsidRPr="00D668D4">
              <w:rPr>
                <w:rFonts w:asciiTheme="minorHAnsi" w:hAnsiTheme="minorHAnsi"/>
                <w:b/>
                <w:bCs/>
                <w:color w:val="000000"/>
                <w:sz w:val="22"/>
                <w:szCs w:val="22"/>
              </w:rPr>
              <w:t>Soort</w:t>
            </w:r>
          </w:p>
        </w:tc>
        <w:tc>
          <w:tcPr>
            <w:tcW w:w="4754" w:type="dxa"/>
            <w:shd w:val="clear" w:color="auto" w:fill="auto"/>
            <w:textDirection w:val="btLr"/>
            <w:vAlign w:val="bottom"/>
            <w:hideMark/>
          </w:tcPr>
          <w:p w:rsidRPr="00D668D4" w:rsidR="00182FFB" w:rsidP="00CB61A6" w:rsidRDefault="00182FFB">
            <w:pPr>
              <w:jc w:val="center"/>
              <w:rPr>
                <w:rFonts w:asciiTheme="minorHAnsi" w:hAnsiTheme="minorHAnsi"/>
                <w:b/>
                <w:bCs/>
                <w:color w:val="000000"/>
                <w:sz w:val="22"/>
                <w:szCs w:val="22"/>
              </w:rPr>
            </w:pPr>
            <w:r w:rsidRPr="00D668D4">
              <w:rPr>
                <w:rFonts w:asciiTheme="minorHAnsi" w:hAnsiTheme="minorHAnsi"/>
                <w:b/>
                <w:bCs/>
                <w:color w:val="000000"/>
                <w:sz w:val="22"/>
                <w:szCs w:val="22"/>
              </w:rPr>
              <w:t>Titel</w:t>
            </w:r>
          </w:p>
        </w:tc>
        <w:tc>
          <w:tcPr>
            <w:tcW w:w="634" w:type="dxa"/>
            <w:shd w:val="clear" w:color="auto" w:fill="auto"/>
            <w:textDirection w:val="btLr"/>
            <w:vAlign w:val="bottom"/>
            <w:hideMark/>
          </w:tcPr>
          <w:p w:rsidRPr="00D668D4" w:rsidR="00182FFB" w:rsidP="00CB61A6" w:rsidRDefault="00182FFB">
            <w:pPr>
              <w:jc w:val="center"/>
              <w:rPr>
                <w:rFonts w:asciiTheme="minorHAnsi" w:hAnsiTheme="minorHAnsi"/>
                <w:b/>
                <w:bCs/>
                <w:color w:val="000000"/>
                <w:sz w:val="22"/>
                <w:szCs w:val="22"/>
              </w:rPr>
            </w:pPr>
            <w:r w:rsidRPr="00D668D4">
              <w:rPr>
                <w:rFonts w:asciiTheme="minorHAnsi" w:hAnsiTheme="minorHAnsi"/>
                <w:b/>
                <w:bCs/>
                <w:color w:val="000000"/>
                <w:sz w:val="22"/>
                <w:szCs w:val="22"/>
              </w:rPr>
              <w:t>COM-nummer</w:t>
            </w:r>
          </w:p>
        </w:tc>
        <w:tc>
          <w:tcPr>
            <w:tcW w:w="1246" w:type="dxa"/>
            <w:textDirection w:val="btLr"/>
          </w:tcPr>
          <w:p w:rsidRPr="00D668D4" w:rsidR="00182FFB" w:rsidP="00CB61A6" w:rsidRDefault="00182FFB">
            <w:pPr>
              <w:jc w:val="center"/>
              <w:rPr>
                <w:rFonts w:asciiTheme="minorHAnsi" w:hAnsiTheme="minorHAnsi"/>
                <w:b/>
                <w:bCs/>
                <w:color w:val="000000"/>
                <w:sz w:val="22"/>
                <w:szCs w:val="22"/>
              </w:rPr>
            </w:pPr>
          </w:p>
          <w:p w:rsidRPr="00D668D4" w:rsidR="00182FFB" w:rsidP="00CB61A6" w:rsidRDefault="00182FFB">
            <w:pPr>
              <w:jc w:val="center"/>
              <w:rPr>
                <w:rFonts w:asciiTheme="minorHAnsi" w:hAnsiTheme="minorHAnsi"/>
                <w:b/>
                <w:bCs/>
                <w:color w:val="000000"/>
                <w:sz w:val="22"/>
                <w:szCs w:val="22"/>
              </w:rPr>
            </w:pPr>
            <w:r w:rsidRPr="00D668D4">
              <w:rPr>
                <w:rFonts w:asciiTheme="minorHAnsi" w:hAnsiTheme="minorHAnsi"/>
                <w:b/>
                <w:bCs/>
                <w:color w:val="000000"/>
                <w:sz w:val="22"/>
                <w:szCs w:val="22"/>
              </w:rPr>
              <w:t>Deadline</w:t>
            </w:r>
          </w:p>
          <w:p w:rsidRPr="00D668D4" w:rsidR="00182FFB" w:rsidP="00CB61A6" w:rsidRDefault="00182FFB">
            <w:pPr>
              <w:jc w:val="center"/>
              <w:rPr>
                <w:rFonts w:asciiTheme="minorHAnsi" w:hAnsiTheme="minorHAnsi"/>
                <w:b/>
                <w:bCs/>
                <w:color w:val="000000"/>
                <w:sz w:val="22"/>
                <w:szCs w:val="22"/>
              </w:rPr>
            </w:pPr>
            <w:proofErr w:type="spellStart"/>
            <w:r w:rsidRPr="00D668D4">
              <w:rPr>
                <w:rFonts w:asciiTheme="minorHAnsi" w:hAnsiTheme="minorHAnsi"/>
                <w:b/>
                <w:bCs/>
                <w:color w:val="000000"/>
                <w:sz w:val="22"/>
                <w:szCs w:val="22"/>
              </w:rPr>
              <w:t>Sub.toets</w:t>
            </w:r>
            <w:proofErr w:type="spellEnd"/>
          </w:p>
        </w:tc>
        <w:tc>
          <w:tcPr>
            <w:tcW w:w="4463" w:type="dxa"/>
            <w:shd w:val="clear" w:color="auto" w:fill="auto"/>
            <w:textDirection w:val="btLr"/>
            <w:vAlign w:val="bottom"/>
            <w:hideMark/>
          </w:tcPr>
          <w:p w:rsidRPr="00D668D4" w:rsidR="00182FFB" w:rsidP="00CB61A6" w:rsidRDefault="00182FFB">
            <w:pPr>
              <w:jc w:val="center"/>
              <w:rPr>
                <w:rFonts w:asciiTheme="minorHAnsi" w:hAnsiTheme="minorHAnsi"/>
                <w:b/>
                <w:bCs/>
                <w:color w:val="000000"/>
                <w:sz w:val="22"/>
                <w:szCs w:val="22"/>
              </w:rPr>
            </w:pPr>
            <w:r w:rsidRPr="00D668D4">
              <w:rPr>
                <w:rFonts w:asciiTheme="minorHAnsi" w:hAnsiTheme="minorHAnsi"/>
                <w:b/>
                <w:bCs/>
                <w:color w:val="000000"/>
                <w:sz w:val="22"/>
                <w:szCs w:val="22"/>
              </w:rPr>
              <w:t>Opmerking</w:t>
            </w:r>
          </w:p>
        </w:tc>
      </w:tr>
      <w:tr w:rsidRPr="00D668D4" w:rsidR="00182FFB" w:rsidTr="00CB61A6">
        <w:trPr>
          <w:trHeight w:val="300"/>
        </w:trPr>
        <w:tc>
          <w:tcPr>
            <w:tcW w:w="981" w:type="dxa"/>
            <w:tcBorders>
              <w:bottom w:val="single" w:color="auto" w:sz="4" w:space="0"/>
            </w:tcBorders>
            <w:shd w:val="clear" w:color="000000" w:fill="538DD5"/>
            <w:vAlign w:val="bottom"/>
            <w:hideMark/>
          </w:tcPr>
          <w:p w:rsidRPr="00D668D4" w:rsidR="00182FFB" w:rsidP="00CB61A6" w:rsidRDefault="00182FFB">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D668D4" w:rsidR="00182FFB" w:rsidP="00CB61A6" w:rsidRDefault="00182FFB">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374" w:type="dxa"/>
            <w:tcBorders>
              <w:bottom w:val="single" w:color="auto" w:sz="4" w:space="0"/>
            </w:tcBorders>
            <w:shd w:val="clear" w:color="000000" w:fill="538DD5"/>
            <w:vAlign w:val="bottom"/>
            <w:hideMark/>
          </w:tcPr>
          <w:p w:rsidRPr="00D668D4" w:rsidR="00182FFB" w:rsidP="00CB61A6" w:rsidRDefault="00182FFB">
            <w:pP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4754" w:type="dxa"/>
            <w:tcBorders>
              <w:bottom w:val="single" w:color="auto" w:sz="4" w:space="0"/>
            </w:tcBorders>
            <w:shd w:val="clear" w:color="000000" w:fill="538DD5"/>
            <w:vAlign w:val="bottom"/>
            <w:hideMark/>
          </w:tcPr>
          <w:p w:rsidRPr="00D668D4" w:rsidR="00182FFB" w:rsidP="00CB61A6" w:rsidRDefault="00182FFB">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634" w:type="dxa"/>
            <w:tcBorders>
              <w:bottom w:val="single" w:color="auto" w:sz="4" w:space="0"/>
            </w:tcBorders>
            <w:shd w:val="clear" w:color="000000" w:fill="538DD5"/>
            <w:vAlign w:val="bottom"/>
            <w:hideMark/>
          </w:tcPr>
          <w:p w:rsidRPr="00D668D4" w:rsidR="00182FFB" w:rsidP="00CB61A6" w:rsidRDefault="00182FFB">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246" w:type="dxa"/>
            <w:tcBorders>
              <w:bottom w:val="single" w:color="auto" w:sz="4" w:space="0"/>
            </w:tcBorders>
            <w:shd w:val="clear" w:color="000000" w:fill="538DD5"/>
          </w:tcPr>
          <w:p w:rsidRPr="00D668D4" w:rsidR="00182FFB" w:rsidP="00CB61A6" w:rsidRDefault="00182FFB">
            <w:pPr>
              <w:rPr>
                <w:rFonts w:asciiTheme="minorHAnsi" w:hAnsiTheme="minorHAnsi"/>
                <w:b/>
                <w:bCs/>
                <w:color w:val="000000"/>
                <w:sz w:val="22"/>
                <w:szCs w:val="22"/>
              </w:rPr>
            </w:pPr>
          </w:p>
        </w:tc>
        <w:tc>
          <w:tcPr>
            <w:tcW w:w="4463" w:type="dxa"/>
            <w:tcBorders>
              <w:bottom w:val="single" w:color="auto" w:sz="4" w:space="0"/>
            </w:tcBorders>
            <w:shd w:val="clear" w:color="000000" w:fill="538DD5"/>
            <w:hideMark/>
          </w:tcPr>
          <w:p w:rsidRPr="00D668D4" w:rsidR="00182FFB" w:rsidP="00CB61A6" w:rsidRDefault="00182FFB">
            <w:pPr>
              <w:rPr>
                <w:rFonts w:asciiTheme="minorHAnsi" w:hAnsiTheme="minorHAnsi"/>
                <w:b/>
                <w:bCs/>
                <w:color w:val="000000"/>
                <w:sz w:val="22"/>
                <w:szCs w:val="22"/>
              </w:rPr>
            </w:pPr>
            <w:r w:rsidRPr="00D668D4">
              <w:rPr>
                <w:rFonts w:asciiTheme="minorHAnsi" w:hAnsiTheme="minorHAnsi"/>
                <w:b/>
                <w:bCs/>
                <w:color w:val="000000"/>
                <w:sz w:val="22"/>
                <w:szCs w:val="22"/>
              </w:rPr>
              <w:t> </w:t>
            </w:r>
          </w:p>
        </w:tc>
      </w:tr>
      <w:tr w:rsidRPr="00D668D4" w:rsidR="00182FFB" w:rsidTr="00CB61A6">
        <w:trPr>
          <w:trHeight w:val="1134"/>
        </w:trPr>
        <w:tc>
          <w:tcPr>
            <w:tcW w:w="981" w:type="dxa"/>
            <w:shd w:val="clear" w:color="auto" w:fill="auto"/>
            <w:noWrap/>
          </w:tcPr>
          <w:p w:rsidRPr="00D668D4" w:rsidR="00182FFB" w:rsidP="00CB61A6" w:rsidRDefault="000E3699">
            <w:pPr>
              <w:jc w:val="center"/>
              <w:rPr>
                <w:rFonts w:asciiTheme="minorHAnsi" w:hAnsiTheme="minorHAnsi"/>
                <w:color w:val="000000"/>
                <w:sz w:val="22"/>
                <w:szCs w:val="22"/>
              </w:rPr>
            </w:pPr>
            <w:r>
              <w:rPr>
                <w:rFonts w:asciiTheme="minorHAnsi" w:hAnsiTheme="minorHAnsi"/>
                <w:color w:val="000000"/>
                <w:sz w:val="22"/>
                <w:szCs w:val="22"/>
              </w:rPr>
              <w:t>19 april 2018</w:t>
            </w:r>
          </w:p>
        </w:tc>
        <w:tc>
          <w:tcPr>
            <w:tcW w:w="1203" w:type="dxa"/>
            <w:shd w:val="clear" w:color="auto" w:fill="auto"/>
            <w:noWrap/>
          </w:tcPr>
          <w:p w:rsidRPr="00D668D4" w:rsidR="00182FFB" w:rsidP="00CB61A6" w:rsidRDefault="00182FFB">
            <w:pPr>
              <w:rPr>
                <w:rFonts w:asciiTheme="minorHAnsi" w:hAnsiTheme="minorHAnsi"/>
                <w:color w:val="000000"/>
                <w:sz w:val="22"/>
                <w:szCs w:val="22"/>
              </w:rPr>
            </w:pPr>
            <w:r w:rsidRPr="00D668D4">
              <w:rPr>
                <w:rFonts w:asciiTheme="minorHAnsi" w:hAnsiTheme="minorHAnsi"/>
                <w:color w:val="000000"/>
                <w:sz w:val="22"/>
                <w:szCs w:val="22"/>
              </w:rPr>
              <w:t>SZW</w:t>
            </w:r>
          </w:p>
        </w:tc>
        <w:tc>
          <w:tcPr>
            <w:tcW w:w="1374" w:type="dxa"/>
            <w:shd w:val="clear" w:color="auto" w:fill="auto"/>
            <w:noWrap/>
          </w:tcPr>
          <w:p w:rsidRPr="00D668D4" w:rsidR="00182FFB" w:rsidP="000E3699" w:rsidRDefault="00182FFB">
            <w:pPr>
              <w:rPr>
                <w:rFonts w:asciiTheme="minorHAnsi" w:hAnsiTheme="minorHAnsi"/>
                <w:color w:val="000000"/>
                <w:sz w:val="22"/>
                <w:szCs w:val="22"/>
              </w:rPr>
            </w:pPr>
            <w:r>
              <w:rPr>
                <w:rFonts w:asciiTheme="minorHAnsi" w:hAnsiTheme="minorHAnsi"/>
                <w:color w:val="000000"/>
                <w:sz w:val="22"/>
                <w:szCs w:val="22"/>
              </w:rPr>
              <w:t xml:space="preserve"> </w:t>
            </w:r>
            <w:r w:rsidR="000E3699">
              <w:rPr>
                <w:rFonts w:asciiTheme="minorHAnsi" w:hAnsiTheme="minorHAnsi"/>
                <w:color w:val="000000"/>
                <w:sz w:val="22"/>
                <w:szCs w:val="22"/>
              </w:rPr>
              <w:t xml:space="preserve">Besluit </w:t>
            </w:r>
          </w:p>
        </w:tc>
        <w:tc>
          <w:tcPr>
            <w:tcW w:w="4754" w:type="dxa"/>
            <w:shd w:val="clear" w:color="auto" w:fill="auto"/>
          </w:tcPr>
          <w:p w:rsidRPr="00D668D4" w:rsidR="00182FFB" w:rsidP="00CB61A6" w:rsidRDefault="000E3699">
            <w:pPr>
              <w:rPr>
                <w:rFonts w:asciiTheme="minorHAnsi" w:hAnsiTheme="minorHAnsi"/>
                <w:color w:val="000000"/>
                <w:sz w:val="22"/>
                <w:szCs w:val="22"/>
              </w:rPr>
            </w:pPr>
            <w:r w:rsidRPr="000E3699">
              <w:rPr>
                <w:rFonts w:asciiTheme="minorHAnsi" w:hAnsiTheme="minorHAnsi"/>
                <w:color w:val="000000"/>
                <w:sz w:val="22"/>
                <w:szCs w:val="22"/>
              </w:rPr>
              <w:t>Voorstel voor een BESLUIT VAN DE RAAD betreffende het namens de Europese Unie in het Gemengd Comité van de EER in te nemen standpunt over een wijziging van Protocol 31 bij de EER-overeenkomst betreffende samenwerking op specifieke gebieden buiten de vier vrijheden (Begrotingsonderdeel 04 03 01 03 - Sociale zekerheid)</w:t>
            </w:r>
          </w:p>
        </w:tc>
        <w:tc>
          <w:tcPr>
            <w:tcW w:w="634" w:type="dxa"/>
            <w:shd w:val="clear" w:color="auto" w:fill="auto"/>
            <w:noWrap/>
          </w:tcPr>
          <w:p w:rsidRPr="00D668D4" w:rsidR="00182FFB" w:rsidP="00CB61A6" w:rsidRDefault="00FB5728">
            <w:pPr>
              <w:jc w:val="center"/>
              <w:rPr>
                <w:rFonts w:asciiTheme="minorHAnsi" w:hAnsiTheme="minorHAnsi"/>
                <w:color w:val="0000FF"/>
                <w:sz w:val="22"/>
                <w:szCs w:val="22"/>
                <w:u w:val="single"/>
              </w:rPr>
            </w:pPr>
            <w:hyperlink w:history="1" r:id="rId8">
              <w:r w:rsidRPr="000E3699" w:rsidR="000E3699">
                <w:rPr>
                  <w:rStyle w:val="Hyperlink"/>
                  <w:rFonts w:asciiTheme="minorHAnsi" w:hAnsiTheme="minorHAnsi"/>
                  <w:sz w:val="22"/>
                  <w:szCs w:val="22"/>
                </w:rPr>
                <w:t>207</w:t>
              </w:r>
            </w:hyperlink>
          </w:p>
        </w:tc>
        <w:tc>
          <w:tcPr>
            <w:tcW w:w="1246" w:type="dxa"/>
            <w:shd w:val="clear" w:color="auto" w:fill="auto"/>
          </w:tcPr>
          <w:p w:rsidRPr="00D668D4" w:rsidR="00182FFB" w:rsidP="00CB61A6" w:rsidRDefault="00182FFB">
            <w:pPr>
              <w:jc w:val="center"/>
              <w:rPr>
                <w:rFonts w:asciiTheme="minorHAnsi" w:hAnsiTheme="minorHAnsi"/>
                <w:color w:val="000000"/>
                <w:sz w:val="22"/>
                <w:szCs w:val="22"/>
                <w:lang w:val="en-GB"/>
              </w:rPr>
            </w:pPr>
            <w:proofErr w:type="spellStart"/>
            <w:r w:rsidRPr="00D668D4">
              <w:rPr>
                <w:rFonts w:asciiTheme="minorHAnsi" w:hAnsiTheme="minorHAnsi"/>
                <w:color w:val="000000"/>
                <w:sz w:val="22"/>
                <w:szCs w:val="22"/>
                <w:lang w:val="en-GB"/>
              </w:rPr>
              <w:t>Nvt</w:t>
            </w:r>
            <w:proofErr w:type="spellEnd"/>
          </w:p>
        </w:tc>
        <w:tc>
          <w:tcPr>
            <w:tcW w:w="4463" w:type="dxa"/>
            <w:shd w:val="clear" w:color="auto" w:fill="auto"/>
          </w:tcPr>
          <w:p w:rsidR="00771328" w:rsidP="00771328" w:rsidRDefault="00182FFB">
            <w:pPr>
              <w:rPr>
                <w:rFonts w:asciiTheme="minorHAnsi" w:hAnsiTheme="minorHAnsi"/>
                <w:color w:val="000000"/>
                <w:sz w:val="22"/>
                <w:szCs w:val="22"/>
              </w:rPr>
            </w:pPr>
            <w:r>
              <w:rPr>
                <w:rFonts w:asciiTheme="minorHAnsi" w:hAnsiTheme="minorHAnsi"/>
                <w:color w:val="000000"/>
                <w:sz w:val="22"/>
                <w:szCs w:val="22"/>
              </w:rPr>
              <w:t xml:space="preserve"> </w:t>
            </w:r>
            <w:r w:rsidRPr="000E3699" w:rsidR="00771328">
              <w:rPr>
                <w:rFonts w:asciiTheme="minorHAnsi" w:hAnsiTheme="minorHAnsi"/>
                <w:color w:val="000000"/>
                <w:sz w:val="22"/>
                <w:szCs w:val="22"/>
                <w:u w:val="single"/>
              </w:rPr>
              <w:t>Behandelvoorstel</w:t>
            </w:r>
            <w:r w:rsidRPr="00FD5B5A" w:rsidR="00771328">
              <w:rPr>
                <w:rFonts w:asciiTheme="minorHAnsi" w:hAnsiTheme="minorHAnsi"/>
                <w:color w:val="000000"/>
                <w:sz w:val="22"/>
                <w:szCs w:val="22"/>
              </w:rPr>
              <w:t>: Ter kennisgeving aannemen</w:t>
            </w:r>
            <w:r w:rsidR="00771328">
              <w:rPr>
                <w:rFonts w:asciiTheme="minorHAnsi" w:hAnsiTheme="minorHAnsi"/>
                <w:color w:val="000000"/>
                <w:sz w:val="22"/>
                <w:szCs w:val="22"/>
              </w:rPr>
              <w:t>.</w:t>
            </w:r>
          </w:p>
          <w:p w:rsidR="00771328" w:rsidP="00771328" w:rsidRDefault="00771328">
            <w:pPr>
              <w:rPr>
                <w:rFonts w:asciiTheme="minorHAnsi" w:hAnsiTheme="minorHAnsi"/>
                <w:color w:val="000000"/>
                <w:sz w:val="22"/>
                <w:szCs w:val="22"/>
              </w:rPr>
            </w:pPr>
          </w:p>
          <w:p w:rsidR="00182FFB" w:rsidP="00CB61A6" w:rsidRDefault="00771328">
            <w:pPr>
              <w:rPr>
                <w:rFonts w:asciiTheme="minorHAnsi" w:hAnsiTheme="minorHAnsi"/>
                <w:color w:val="000000"/>
                <w:sz w:val="22"/>
                <w:szCs w:val="22"/>
                <w:u w:val="single"/>
              </w:rPr>
            </w:pPr>
            <w:r w:rsidRPr="00357A37">
              <w:rPr>
                <w:rFonts w:asciiTheme="minorHAnsi" w:hAnsiTheme="minorHAnsi"/>
                <w:i/>
                <w:color w:val="000000"/>
                <w:sz w:val="22"/>
                <w:szCs w:val="22"/>
              </w:rPr>
              <w:t>Het voorstel betreft een modificatie van Protocol 31 bij de overeenkomst betreffende de</w:t>
            </w:r>
            <w:r w:rsidRPr="00357A37">
              <w:rPr>
                <w:i/>
              </w:rPr>
              <w:t xml:space="preserve"> </w:t>
            </w:r>
            <w:r w:rsidRPr="00357A37">
              <w:rPr>
                <w:rFonts w:asciiTheme="minorHAnsi" w:hAnsiTheme="minorHAnsi"/>
                <w:i/>
                <w:color w:val="000000"/>
                <w:sz w:val="22"/>
                <w:szCs w:val="22"/>
              </w:rPr>
              <w:t>Europese Economische Ruimte</w:t>
            </w:r>
            <w:r>
              <w:rPr>
                <w:rFonts w:asciiTheme="minorHAnsi" w:hAnsiTheme="minorHAnsi"/>
                <w:i/>
                <w:color w:val="000000"/>
                <w:sz w:val="22"/>
                <w:szCs w:val="22"/>
              </w:rPr>
              <w:t xml:space="preserve">  (EER -samenwerkingsverband </w:t>
            </w:r>
            <w:r w:rsidRPr="00357A37">
              <w:rPr>
                <w:rFonts w:asciiTheme="minorHAnsi" w:hAnsiTheme="minorHAnsi"/>
                <w:i/>
                <w:color w:val="000000"/>
                <w:sz w:val="22"/>
                <w:szCs w:val="22"/>
              </w:rPr>
              <w:t xml:space="preserve"> EU en IJsland, Liechtenstein en Noorwegen in het kader van de EU Interne Markt) om de bestaande samenwerking bij enkele  EU programma’s op onder meer het gebied van werknemersverkeer voort te zetten.</w:t>
            </w:r>
          </w:p>
          <w:p w:rsidRPr="000E3699" w:rsidR="00771328" w:rsidP="00CB61A6" w:rsidRDefault="00771328">
            <w:pPr>
              <w:rPr>
                <w:rFonts w:asciiTheme="minorHAnsi" w:hAnsiTheme="minorHAnsi"/>
                <w:color w:val="000000"/>
                <w:sz w:val="22"/>
                <w:szCs w:val="22"/>
                <w:u w:val="single"/>
              </w:rPr>
            </w:pPr>
          </w:p>
        </w:tc>
      </w:tr>
      <w:tr w:rsidRPr="00B71981" w:rsidR="000E3699" w:rsidTr="00CB61A6">
        <w:trPr>
          <w:trHeight w:val="1134"/>
        </w:trPr>
        <w:tc>
          <w:tcPr>
            <w:tcW w:w="981" w:type="dxa"/>
            <w:shd w:val="clear" w:color="auto" w:fill="auto"/>
            <w:noWrap/>
          </w:tcPr>
          <w:p w:rsidRPr="00D668D4" w:rsidR="000E3699" w:rsidP="00CB61A6" w:rsidRDefault="000E3699">
            <w:pPr>
              <w:jc w:val="center"/>
              <w:rPr>
                <w:rFonts w:asciiTheme="minorHAnsi" w:hAnsiTheme="minorHAnsi"/>
                <w:color w:val="000000"/>
                <w:sz w:val="22"/>
                <w:szCs w:val="22"/>
              </w:rPr>
            </w:pPr>
            <w:r>
              <w:rPr>
                <w:rFonts w:asciiTheme="minorHAnsi" w:hAnsiTheme="minorHAnsi"/>
                <w:color w:val="000000"/>
                <w:sz w:val="22"/>
                <w:szCs w:val="22"/>
              </w:rPr>
              <w:t>23 april 2018</w:t>
            </w:r>
          </w:p>
        </w:tc>
        <w:tc>
          <w:tcPr>
            <w:tcW w:w="1203" w:type="dxa"/>
            <w:shd w:val="clear" w:color="auto" w:fill="auto"/>
            <w:noWrap/>
          </w:tcPr>
          <w:p w:rsidRPr="00D668D4" w:rsidR="000E3699" w:rsidP="00CB61A6" w:rsidRDefault="000E3699">
            <w:pPr>
              <w:rPr>
                <w:rFonts w:asciiTheme="minorHAnsi" w:hAnsiTheme="minorHAnsi"/>
                <w:color w:val="000000"/>
                <w:sz w:val="22"/>
                <w:szCs w:val="22"/>
              </w:rPr>
            </w:pPr>
            <w:r w:rsidRPr="00D668D4">
              <w:rPr>
                <w:rFonts w:asciiTheme="minorHAnsi" w:hAnsiTheme="minorHAnsi"/>
                <w:color w:val="000000"/>
                <w:sz w:val="22"/>
                <w:szCs w:val="22"/>
              </w:rPr>
              <w:t>SZW</w:t>
            </w:r>
          </w:p>
        </w:tc>
        <w:tc>
          <w:tcPr>
            <w:tcW w:w="1374" w:type="dxa"/>
            <w:shd w:val="clear" w:color="auto" w:fill="auto"/>
            <w:noWrap/>
          </w:tcPr>
          <w:p w:rsidRPr="00D668D4" w:rsidR="000E3699" w:rsidP="00CB61A6" w:rsidRDefault="000E3699">
            <w:pPr>
              <w:rPr>
                <w:rFonts w:asciiTheme="minorHAnsi" w:hAnsiTheme="minorHAnsi"/>
                <w:color w:val="000000"/>
                <w:sz w:val="22"/>
                <w:szCs w:val="22"/>
              </w:rPr>
            </w:pPr>
            <w:r>
              <w:rPr>
                <w:rFonts w:asciiTheme="minorHAnsi" w:hAnsiTheme="minorHAnsi"/>
                <w:color w:val="000000"/>
                <w:sz w:val="22"/>
                <w:szCs w:val="22"/>
              </w:rPr>
              <w:t xml:space="preserve"> Besluit</w:t>
            </w:r>
          </w:p>
        </w:tc>
        <w:tc>
          <w:tcPr>
            <w:tcW w:w="4754" w:type="dxa"/>
            <w:shd w:val="clear" w:color="auto" w:fill="auto"/>
          </w:tcPr>
          <w:p w:rsidRPr="00D668D4" w:rsidR="000E3699" w:rsidP="00CB61A6" w:rsidRDefault="000E3699">
            <w:pPr>
              <w:rPr>
                <w:rFonts w:asciiTheme="minorHAnsi" w:hAnsiTheme="minorHAnsi"/>
                <w:color w:val="000000"/>
                <w:sz w:val="22"/>
                <w:szCs w:val="22"/>
              </w:rPr>
            </w:pPr>
            <w:r>
              <w:rPr>
                <w:rFonts w:ascii="Calibri" w:hAnsi="Calibri"/>
                <w:color w:val="000000"/>
                <w:sz w:val="22"/>
                <w:szCs w:val="22"/>
              </w:rPr>
              <w:t>Voorstel voor een BESLUIT VAN HET EUROPEES PARLEMENT EN DE RAAD betreffende de beschikbaarstelling van middelen uit het Europees Fonds voor aanpassing aan de globalisering (aanvraag van Frankrijk — EGF/2017/009 FR/Air France)</w:t>
            </w:r>
          </w:p>
        </w:tc>
        <w:tc>
          <w:tcPr>
            <w:tcW w:w="634" w:type="dxa"/>
            <w:shd w:val="clear" w:color="auto" w:fill="auto"/>
            <w:noWrap/>
          </w:tcPr>
          <w:p w:rsidRPr="00D668D4" w:rsidR="000E3699" w:rsidP="00CB61A6" w:rsidRDefault="00FB5728">
            <w:pPr>
              <w:jc w:val="center"/>
              <w:rPr>
                <w:rFonts w:asciiTheme="minorHAnsi" w:hAnsiTheme="minorHAnsi"/>
                <w:color w:val="0000FF"/>
                <w:sz w:val="22"/>
                <w:szCs w:val="22"/>
                <w:u w:val="single"/>
              </w:rPr>
            </w:pPr>
            <w:hyperlink w:history="1" r:id="rId9">
              <w:r w:rsidRPr="000E3699" w:rsidR="000E3699">
                <w:rPr>
                  <w:rStyle w:val="Hyperlink"/>
                  <w:rFonts w:asciiTheme="minorHAnsi" w:hAnsiTheme="minorHAnsi"/>
                  <w:sz w:val="22"/>
                  <w:szCs w:val="22"/>
                </w:rPr>
                <w:t>230</w:t>
              </w:r>
            </w:hyperlink>
          </w:p>
        </w:tc>
        <w:tc>
          <w:tcPr>
            <w:tcW w:w="1246" w:type="dxa"/>
            <w:shd w:val="clear" w:color="auto" w:fill="auto"/>
          </w:tcPr>
          <w:p w:rsidRPr="00D668D4" w:rsidR="000E3699" w:rsidP="00CB61A6" w:rsidRDefault="000E3699">
            <w:pPr>
              <w:jc w:val="center"/>
              <w:rPr>
                <w:rFonts w:asciiTheme="minorHAnsi" w:hAnsiTheme="minorHAnsi"/>
                <w:color w:val="000000"/>
                <w:sz w:val="22"/>
                <w:szCs w:val="22"/>
                <w:lang w:val="en-GB"/>
              </w:rPr>
            </w:pPr>
            <w:proofErr w:type="spellStart"/>
            <w:r w:rsidRPr="00D668D4">
              <w:rPr>
                <w:rFonts w:asciiTheme="minorHAnsi" w:hAnsiTheme="minorHAnsi"/>
                <w:color w:val="000000"/>
                <w:sz w:val="22"/>
                <w:szCs w:val="22"/>
                <w:lang w:val="en-GB"/>
              </w:rPr>
              <w:t>Nvt</w:t>
            </w:r>
            <w:proofErr w:type="spellEnd"/>
          </w:p>
        </w:tc>
        <w:tc>
          <w:tcPr>
            <w:tcW w:w="4463" w:type="dxa"/>
            <w:shd w:val="clear" w:color="auto" w:fill="auto"/>
          </w:tcPr>
          <w:p w:rsidR="00771328" w:rsidP="00771328" w:rsidRDefault="000E3699">
            <w:pPr>
              <w:rPr>
                <w:rFonts w:asciiTheme="minorHAnsi" w:hAnsiTheme="minorHAnsi"/>
                <w:color w:val="000000"/>
                <w:sz w:val="22"/>
                <w:szCs w:val="22"/>
              </w:rPr>
            </w:pPr>
            <w:r>
              <w:rPr>
                <w:rFonts w:asciiTheme="minorHAnsi" w:hAnsiTheme="minorHAnsi"/>
                <w:color w:val="000000"/>
                <w:sz w:val="22"/>
                <w:szCs w:val="22"/>
              </w:rPr>
              <w:t xml:space="preserve"> </w:t>
            </w:r>
            <w:r w:rsidRPr="000E3699" w:rsidR="00771328">
              <w:rPr>
                <w:rFonts w:asciiTheme="minorHAnsi" w:hAnsiTheme="minorHAnsi"/>
                <w:color w:val="000000"/>
                <w:sz w:val="22"/>
                <w:szCs w:val="22"/>
                <w:u w:val="single"/>
              </w:rPr>
              <w:t>Behandelvoorstel</w:t>
            </w:r>
            <w:r w:rsidRPr="00FD5B5A" w:rsidR="00771328">
              <w:rPr>
                <w:rFonts w:asciiTheme="minorHAnsi" w:hAnsiTheme="minorHAnsi"/>
                <w:color w:val="000000"/>
                <w:sz w:val="22"/>
                <w:szCs w:val="22"/>
              </w:rPr>
              <w:t>:</w:t>
            </w:r>
            <w:r w:rsidRPr="00FD5B5A" w:rsidR="00771328">
              <w:t xml:space="preserve"> </w:t>
            </w:r>
            <w:r w:rsidRPr="00FD5B5A" w:rsidR="00771328">
              <w:rPr>
                <w:rFonts w:asciiTheme="minorHAnsi" w:hAnsiTheme="minorHAnsi"/>
                <w:color w:val="000000"/>
                <w:sz w:val="22"/>
                <w:szCs w:val="22"/>
              </w:rPr>
              <w:t>Ter kennisgeving aannemen</w:t>
            </w:r>
            <w:r w:rsidR="00771328">
              <w:rPr>
                <w:rFonts w:asciiTheme="minorHAnsi" w:hAnsiTheme="minorHAnsi"/>
                <w:color w:val="000000"/>
                <w:sz w:val="22"/>
                <w:szCs w:val="22"/>
              </w:rPr>
              <w:t>.</w:t>
            </w:r>
          </w:p>
          <w:p w:rsidR="00771328" w:rsidP="00771328" w:rsidRDefault="00771328">
            <w:pPr>
              <w:rPr>
                <w:rFonts w:asciiTheme="minorHAnsi" w:hAnsiTheme="minorHAnsi"/>
                <w:color w:val="000000"/>
                <w:sz w:val="22"/>
                <w:szCs w:val="22"/>
              </w:rPr>
            </w:pPr>
          </w:p>
          <w:p w:rsidRPr="00B71981" w:rsidR="000E3699" w:rsidP="00771328" w:rsidRDefault="00771328">
            <w:pPr>
              <w:rPr>
                <w:rFonts w:asciiTheme="minorHAnsi" w:hAnsiTheme="minorHAnsi"/>
                <w:color w:val="000000"/>
                <w:sz w:val="22"/>
                <w:szCs w:val="22"/>
              </w:rPr>
            </w:pPr>
            <w:r w:rsidRPr="00357A37">
              <w:rPr>
                <w:rFonts w:asciiTheme="minorHAnsi" w:hAnsiTheme="minorHAnsi"/>
                <w:i/>
                <w:color w:val="000000"/>
                <w:sz w:val="22"/>
                <w:szCs w:val="22"/>
              </w:rPr>
              <w:t>Het betreft een aanvraag van Air France uit het</w:t>
            </w:r>
            <w:r>
              <w:rPr>
                <w:rFonts w:asciiTheme="minorHAnsi" w:hAnsiTheme="minorHAnsi"/>
                <w:i/>
                <w:color w:val="000000"/>
                <w:sz w:val="22"/>
                <w:szCs w:val="22"/>
              </w:rPr>
              <w:t xml:space="preserve"> EU-</w:t>
            </w:r>
            <w:r w:rsidRPr="00357A37">
              <w:rPr>
                <w:rFonts w:asciiTheme="minorHAnsi" w:hAnsiTheme="minorHAnsi"/>
                <w:i/>
                <w:color w:val="000000"/>
                <w:sz w:val="22"/>
                <w:szCs w:val="22"/>
              </w:rPr>
              <w:t xml:space="preserve"> Globaliseringsfonds om </w:t>
            </w:r>
            <w:r w:rsidRPr="00E45AEA">
              <w:rPr>
                <w:rFonts w:asciiTheme="minorHAnsi" w:hAnsiTheme="minorHAnsi"/>
                <w:i/>
                <w:color w:val="000000"/>
                <w:sz w:val="22"/>
                <w:szCs w:val="22"/>
              </w:rPr>
              <w:t>1858</w:t>
            </w:r>
            <w:r>
              <w:rPr>
                <w:rFonts w:asciiTheme="minorHAnsi" w:hAnsiTheme="minorHAnsi"/>
                <w:i/>
                <w:color w:val="000000"/>
                <w:sz w:val="22"/>
                <w:szCs w:val="22"/>
              </w:rPr>
              <w:t xml:space="preserve"> </w:t>
            </w:r>
            <w:r w:rsidRPr="00357A37">
              <w:rPr>
                <w:rFonts w:asciiTheme="minorHAnsi" w:hAnsiTheme="minorHAnsi"/>
                <w:i/>
                <w:color w:val="000000"/>
                <w:sz w:val="22"/>
                <w:szCs w:val="22"/>
              </w:rPr>
              <w:t xml:space="preserve">werknemers betrokken bij ontslag als gevolg van </w:t>
            </w:r>
            <w:r>
              <w:rPr>
                <w:rFonts w:asciiTheme="minorHAnsi" w:hAnsiTheme="minorHAnsi"/>
                <w:i/>
                <w:color w:val="000000"/>
                <w:sz w:val="22"/>
                <w:szCs w:val="22"/>
              </w:rPr>
              <w:t xml:space="preserve">scherpe </w:t>
            </w:r>
            <w:r w:rsidRPr="00357A37">
              <w:rPr>
                <w:rFonts w:asciiTheme="minorHAnsi" w:hAnsiTheme="minorHAnsi"/>
                <w:i/>
                <w:color w:val="000000"/>
                <w:sz w:val="22"/>
                <w:szCs w:val="22"/>
              </w:rPr>
              <w:t xml:space="preserve">concurrentie op de wereldluchtvaartmarkt door te </w:t>
            </w:r>
            <w:r>
              <w:rPr>
                <w:rFonts w:asciiTheme="minorHAnsi" w:hAnsiTheme="minorHAnsi"/>
                <w:i/>
                <w:color w:val="000000"/>
                <w:sz w:val="22"/>
                <w:szCs w:val="22"/>
              </w:rPr>
              <w:t>ge</w:t>
            </w:r>
            <w:r w:rsidRPr="00357A37">
              <w:rPr>
                <w:rFonts w:asciiTheme="minorHAnsi" w:hAnsiTheme="minorHAnsi"/>
                <w:i/>
                <w:color w:val="000000"/>
                <w:sz w:val="22"/>
                <w:szCs w:val="22"/>
              </w:rPr>
              <w:t>leiden naar nieuw werk</w:t>
            </w:r>
            <w:r>
              <w:rPr>
                <w:rFonts w:asciiTheme="minorHAnsi" w:hAnsiTheme="minorHAnsi"/>
                <w:i/>
                <w:color w:val="000000"/>
                <w:sz w:val="22"/>
                <w:szCs w:val="22"/>
              </w:rPr>
              <w:t>.</w:t>
            </w:r>
          </w:p>
        </w:tc>
      </w:tr>
      <w:tr w:rsidRPr="00B71981" w:rsidR="0048348A" w:rsidTr="00CB61A6">
        <w:trPr>
          <w:trHeight w:val="1134"/>
        </w:trPr>
        <w:tc>
          <w:tcPr>
            <w:tcW w:w="981" w:type="dxa"/>
            <w:shd w:val="clear" w:color="auto" w:fill="auto"/>
            <w:noWrap/>
          </w:tcPr>
          <w:p w:rsidR="0048348A" w:rsidP="00CB61A6" w:rsidRDefault="00FC1478">
            <w:pPr>
              <w:jc w:val="center"/>
              <w:rPr>
                <w:rFonts w:asciiTheme="minorHAnsi" w:hAnsiTheme="minorHAnsi"/>
                <w:color w:val="000000"/>
                <w:sz w:val="22"/>
                <w:szCs w:val="22"/>
              </w:rPr>
            </w:pPr>
            <w:r>
              <w:rPr>
                <w:rFonts w:asciiTheme="minorHAnsi" w:hAnsiTheme="minorHAnsi"/>
                <w:color w:val="000000"/>
                <w:sz w:val="22"/>
                <w:szCs w:val="22"/>
              </w:rPr>
              <w:lastRenderedPageBreak/>
              <w:t>8 mei 2018</w:t>
            </w:r>
          </w:p>
        </w:tc>
        <w:tc>
          <w:tcPr>
            <w:tcW w:w="1203" w:type="dxa"/>
            <w:shd w:val="clear" w:color="auto" w:fill="auto"/>
            <w:noWrap/>
          </w:tcPr>
          <w:p w:rsidR="0048348A" w:rsidP="00CB61A6" w:rsidRDefault="00FC1478">
            <w:pPr>
              <w:rPr>
                <w:rFonts w:asciiTheme="minorHAnsi" w:hAnsiTheme="minorHAnsi"/>
                <w:color w:val="000000"/>
                <w:sz w:val="22"/>
                <w:szCs w:val="22"/>
              </w:rPr>
            </w:pPr>
            <w:r>
              <w:rPr>
                <w:rFonts w:asciiTheme="minorHAnsi" w:hAnsiTheme="minorHAnsi"/>
                <w:color w:val="000000"/>
                <w:sz w:val="22"/>
                <w:szCs w:val="22"/>
              </w:rPr>
              <w:t>SZW</w:t>
            </w:r>
          </w:p>
        </w:tc>
        <w:tc>
          <w:tcPr>
            <w:tcW w:w="1374" w:type="dxa"/>
            <w:shd w:val="clear" w:color="auto" w:fill="auto"/>
            <w:noWrap/>
          </w:tcPr>
          <w:p w:rsidR="0048348A" w:rsidP="00CB61A6" w:rsidRDefault="00FC1478">
            <w:pPr>
              <w:rPr>
                <w:rFonts w:asciiTheme="minorHAnsi" w:hAnsiTheme="minorHAnsi"/>
                <w:color w:val="000000"/>
                <w:sz w:val="22"/>
                <w:szCs w:val="22"/>
              </w:rPr>
            </w:pPr>
            <w:r>
              <w:rPr>
                <w:rFonts w:asciiTheme="minorHAnsi" w:hAnsiTheme="minorHAnsi"/>
                <w:color w:val="000000"/>
                <w:sz w:val="22"/>
                <w:szCs w:val="22"/>
              </w:rPr>
              <w:t>Verslag</w:t>
            </w:r>
          </w:p>
        </w:tc>
        <w:tc>
          <w:tcPr>
            <w:tcW w:w="4754" w:type="dxa"/>
            <w:shd w:val="clear" w:color="auto" w:fill="auto"/>
          </w:tcPr>
          <w:p w:rsidRPr="0048348A" w:rsidR="0048348A" w:rsidP="00CB61A6" w:rsidRDefault="00FC1478">
            <w:pPr>
              <w:rPr>
                <w:rFonts w:ascii="Calibri" w:hAnsi="Calibri"/>
                <w:color w:val="000000"/>
                <w:sz w:val="22"/>
                <w:szCs w:val="22"/>
              </w:rPr>
            </w:pPr>
            <w:r w:rsidRPr="00FC1478">
              <w:rPr>
                <w:rFonts w:ascii="Calibri" w:hAnsi="Calibri"/>
                <w:color w:val="000000"/>
                <w:sz w:val="22"/>
                <w:szCs w:val="22"/>
              </w:rPr>
              <w:t>VERSLAG VAN DE COMMISSIE AAN HET EUROPEES PARLEMENT, DE RAAD, HET EUROPEES ECONOMISCH EN SOCIAAL COMITÉ EN HET COMITÉ VAN DE REGIO'S over de ontwikkeling van kinderopvangfaciliteiten voor jonge kinderen met het oog op een verbetering van de arbeidsparticipatie van vrouwen, een beter evenwicht tussen werk en privéleven voor werkende ouders en het ontstaan van duurzame en inclusieve groei in Europa (de "doelstellingen van Barcelona")</w:t>
            </w:r>
          </w:p>
        </w:tc>
        <w:tc>
          <w:tcPr>
            <w:tcW w:w="634" w:type="dxa"/>
            <w:shd w:val="clear" w:color="auto" w:fill="auto"/>
            <w:noWrap/>
          </w:tcPr>
          <w:p w:rsidR="0048348A" w:rsidP="00CB61A6" w:rsidRDefault="00FB5728">
            <w:pPr>
              <w:jc w:val="center"/>
              <w:rPr>
                <w:rFonts w:ascii="Calibri" w:hAnsi="Calibri"/>
                <w:color w:val="0000FF"/>
                <w:u w:val="single"/>
              </w:rPr>
            </w:pPr>
            <w:hyperlink w:history="1" r:id="rId10">
              <w:r w:rsidRPr="00FC1478" w:rsidR="00FC1478">
                <w:rPr>
                  <w:rStyle w:val="Hyperlink"/>
                  <w:rFonts w:ascii="Calibri" w:hAnsi="Calibri"/>
                </w:rPr>
                <w:t>273</w:t>
              </w:r>
            </w:hyperlink>
          </w:p>
        </w:tc>
        <w:tc>
          <w:tcPr>
            <w:tcW w:w="1246" w:type="dxa"/>
            <w:shd w:val="clear" w:color="auto" w:fill="auto"/>
          </w:tcPr>
          <w:p w:rsidR="0048348A" w:rsidP="00CB61A6" w:rsidRDefault="00967E0A">
            <w:pPr>
              <w:jc w:val="center"/>
              <w:rPr>
                <w:rFonts w:ascii="Calibri" w:hAnsi="Calibri"/>
                <w:color w:val="000000"/>
              </w:rPr>
            </w:pPr>
            <w:proofErr w:type="spellStart"/>
            <w:r>
              <w:rPr>
                <w:rFonts w:ascii="Calibri" w:hAnsi="Calibri"/>
                <w:color w:val="000000"/>
              </w:rPr>
              <w:t>Nvt</w:t>
            </w:r>
            <w:proofErr w:type="spellEnd"/>
            <w:r w:rsidR="00FC1478">
              <w:rPr>
                <w:rFonts w:ascii="Calibri" w:hAnsi="Calibri"/>
                <w:color w:val="000000"/>
              </w:rPr>
              <w:t xml:space="preserve"> </w:t>
            </w:r>
          </w:p>
        </w:tc>
        <w:tc>
          <w:tcPr>
            <w:tcW w:w="4463" w:type="dxa"/>
            <w:shd w:val="clear" w:color="auto" w:fill="auto"/>
          </w:tcPr>
          <w:p w:rsidR="0048348A" w:rsidP="00771328" w:rsidRDefault="00FC1478">
            <w:pPr>
              <w:rPr>
                <w:rFonts w:asciiTheme="minorHAnsi" w:hAnsiTheme="minorHAnsi"/>
                <w:color w:val="000000"/>
                <w:sz w:val="22"/>
                <w:szCs w:val="22"/>
              </w:rPr>
            </w:pPr>
            <w:r w:rsidRPr="00FC1478">
              <w:rPr>
                <w:rFonts w:asciiTheme="minorHAnsi" w:hAnsiTheme="minorHAnsi"/>
                <w:color w:val="000000"/>
                <w:sz w:val="22"/>
                <w:szCs w:val="22"/>
                <w:u w:val="single"/>
              </w:rPr>
              <w:t>Behandelvoorstel</w:t>
            </w:r>
            <w:r w:rsidRPr="001D62A7">
              <w:rPr>
                <w:rFonts w:asciiTheme="minorHAnsi" w:hAnsiTheme="minorHAnsi"/>
                <w:color w:val="000000"/>
                <w:sz w:val="22"/>
                <w:szCs w:val="22"/>
              </w:rPr>
              <w:t>:</w:t>
            </w:r>
            <w:r w:rsidR="001D62A7">
              <w:t xml:space="preserve"> </w:t>
            </w:r>
            <w:r w:rsidRPr="001D62A7" w:rsidR="001D62A7">
              <w:rPr>
                <w:rFonts w:asciiTheme="minorHAnsi" w:hAnsiTheme="minorHAnsi"/>
                <w:color w:val="000000"/>
                <w:sz w:val="22"/>
                <w:szCs w:val="22"/>
              </w:rPr>
              <w:t>Ter kennisgeving aannemen.</w:t>
            </w:r>
          </w:p>
          <w:p w:rsidR="001D62A7" w:rsidP="00771328" w:rsidRDefault="001D62A7">
            <w:pPr>
              <w:rPr>
                <w:rFonts w:asciiTheme="minorHAnsi" w:hAnsiTheme="minorHAnsi"/>
                <w:color w:val="000000"/>
                <w:sz w:val="22"/>
                <w:szCs w:val="22"/>
              </w:rPr>
            </w:pPr>
          </w:p>
          <w:p w:rsidR="00967E0A" w:rsidP="00F917AD" w:rsidRDefault="001D62A7">
            <w:pPr>
              <w:rPr>
                <w:rFonts w:asciiTheme="minorHAnsi" w:hAnsiTheme="minorHAnsi"/>
                <w:i/>
                <w:color w:val="000000"/>
                <w:sz w:val="22"/>
                <w:szCs w:val="22"/>
              </w:rPr>
            </w:pPr>
            <w:r w:rsidRPr="00F917AD">
              <w:rPr>
                <w:rFonts w:asciiTheme="minorHAnsi" w:hAnsiTheme="minorHAnsi"/>
                <w:i/>
                <w:color w:val="000000"/>
                <w:sz w:val="22"/>
                <w:szCs w:val="22"/>
              </w:rPr>
              <w:t xml:space="preserve">Voortgangsrapport </w:t>
            </w:r>
            <w:r w:rsidRPr="00F917AD" w:rsidR="00F917AD">
              <w:rPr>
                <w:rFonts w:asciiTheme="minorHAnsi" w:hAnsiTheme="minorHAnsi"/>
                <w:i/>
                <w:color w:val="000000"/>
                <w:sz w:val="22"/>
                <w:szCs w:val="22"/>
              </w:rPr>
              <w:t xml:space="preserve">van de Europese Commissie </w:t>
            </w:r>
            <w:r w:rsidRPr="00F917AD">
              <w:rPr>
                <w:rFonts w:asciiTheme="minorHAnsi" w:hAnsiTheme="minorHAnsi"/>
                <w:i/>
                <w:color w:val="000000"/>
                <w:sz w:val="22"/>
                <w:szCs w:val="22"/>
              </w:rPr>
              <w:t xml:space="preserve">betreffende het realiseren van de </w:t>
            </w:r>
            <w:r w:rsidRPr="00F917AD" w:rsidR="00F917AD">
              <w:rPr>
                <w:rFonts w:asciiTheme="minorHAnsi" w:hAnsiTheme="minorHAnsi"/>
                <w:i/>
                <w:color w:val="000000"/>
                <w:sz w:val="22"/>
                <w:szCs w:val="22"/>
              </w:rPr>
              <w:t xml:space="preserve">twee, </w:t>
            </w:r>
            <w:r w:rsidRPr="00F917AD">
              <w:rPr>
                <w:rFonts w:asciiTheme="minorHAnsi" w:hAnsiTheme="minorHAnsi"/>
                <w:i/>
                <w:color w:val="000000"/>
                <w:sz w:val="22"/>
                <w:szCs w:val="22"/>
              </w:rPr>
              <w:t>in 2002</w:t>
            </w:r>
            <w:r w:rsidRPr="00F917AD" w:rsidR="00F917AD">
              <w:rPr>
                <w:rFonts w:asciiTheme="minorHAnsi" w:hAnsiTheme="minorHAnsi"/>
                <w:i/>
                <w:color w:val="000000"/>
                <w:sz w:val="22"/>
                <w:szCs w:val="22"/>
              </w:rPr>
              <w:t>,</w:t>
            </w:r>
            <w:r w:rsidRPr="00F917AD">
              <w:rPr>
                <w:rFonts w:asciiTheme="minorHAnsi" w:hAnsiTheme="minorHAnsi"/>
                <w:i/>
                <w:color w:val="000000"/>
                <w:sz w:val="22"/>
                <w:szCs w:val="22"/>
              </w:rPr>
              <w:t xml:space="preserve"> </w:t>
            </w:r>
            <w:r w:rsidR="00967E0A">
              <w:rPr>
                <w:rFonts w:asciiTheme="minorHAnsi" w:hAnsiTheme="minorHAnsi"/>
                <w:i/>
                <w:color w:val="000000"/>
                <w:sz w:val="22"/>
                <w:szCs w:val="22"/>
              </w:rPr>
              <w:t>tijdens</w:t>
            </w:r>
            <w:r w:rsidRPr="00F917AD">
              <w:rPr>
                <w:rFonts w:asciiTheme="minorHAnsi" w:hAnsiTheme="minorHAnsi"/>
                <w:i/>
                <w:color w:val="000000"/>
                <w:sz w:val="22"/>
                <w:szCs w:val="22"/>
              </w:rPr>
              <w:t xml:space="preserve"> de Europese Raad van Barcelona</w:t>
            </w:r>
            <w:r w:rsidRPr="00F917AD" w:rsidR="00F917AD">
              <w:rPr>
                <w:rFonts w:asciiTheme="minorHAnsi" w:hAnsiTheme="minorHAnsi"/>
                <w:i/>
                <w:color w:val="000000"/>
                <w:sz w:val="22"/>
                <w:szCs w:val="22"/>
              </w:rPr>
              <w:t>,</w:t>
            </w:r>
            <w:r w:rsidRPr="00F917AD">
              <w:rPr>
                <w:rFonts w:asciiTheme="minorHAnsi" w:hAnsiTheme="minorHAnsi"/>
                <w:i/>
                <w:color w:val="000000"/>
                <w:sz w:val="22"/>
                <w:szCs w:val="22"/>
              </w:rPr>
              <w:t xml:space="preserve"> </w:t>
            </w:r>
            <w:r w:rsidRPr="00F917AD" w:rsidR="00F917AD">
              <w:rPr>
                <w:rFonts w:asciiTheme="minorHAnsi" w:hAnsiTheme="minorHAnsi"/>
                <w:i/>
                <w:color w:val="000000"/>
                <w:sz w:val="22"/>
                <w:szCs w:val="22"/>
              </w:rPr>
              <w:t xml:space="preserve">vastgestelde </w:t>
            </w:r>
            <w:r w:rsidRPr="00F917AD">
              <w:rPr>
                <w:rFonts w:asciiTheme="minorHAnsi" w:hAnsiTheme="minorHAnsi"/>
                <w:i/>
                <w:color w:val="000000"/>
                <w:sz w:val="22"/>
                <w:szCs w:val="22"/>
              </w:rPr>
              <w:t xml:space="preserve">doelstellingen </w:t>
            </w:r>
            <w:r w:rsidRPr="00F917AD" w:rsidR="00F917AD">
              <w:rPr>
                <w:rFonts w:asciiTheme="minorHAnsi" w:hAnsiTheme="minorHAnsi"/>
                <w:i/>
                <w:color w:val="000000"/>
                <w:sz w:val="22"/>
                <w:szCs w:val="22"/>
              </w:rPr>
              <w:t>betreffende kinderopvang</w:t>
            </w:r>
            <w:r w:rsidR="00967E0A">
              <w:rPr>
                <w:rFonts w:asciiTheme="minorHAnsi" w:hAnsiTheme="minorHAnsi"/>
                <w:i/>
                <w:color w:val="000000"/>
                <w:sz w:val="22"/>
                <w:szCs w:val="22"/>
              </w:rPr>
              <w:t>.</w:t>
            </w:r>
          </w:p>
          <w:p w:rsidR="00967E0A" w:rsidP="00F917AD" w:rsidRDefault="00967E0A">
            <w:pPr>
              <w:rPr>
                <w:rFonts w:asciiTheme="minorHAnsi" w:hAnsiTheme="minorHAnsi"/>
                <w:i/>
                <w:color w:val="000000"/>
                <w:sz w:val="22"/>
                <w:szCs w:val="22"/>
              </w:rPr>
            </w:pPr>
          </w:p>
          <w:p w:rsidR="00F917AD" w:rsidP="00F917AD" w:rsidRDefault="00967E0A">
            <w:pPr>
              <w:rPr>
                <w:rFonts w:asciiTheme="minorHAnsi" w:hAnsiTheme="minorHAnsi"/>
                <w:i/>
                <w:color w:val="000000"/>
                <w:sz w:val="22"/>
                <w:szCs w:val="22"/>
              </w:rPr>
            </w:pPr>
            <w:r>
              <w:rPr>
                <w:rFonts w:asciiTheme="minorHAnsi" w:hAnsiTheme="minorHAnsi"/>
                <w:i/>
                <w:color w:val="000000"/>
                <w:sz w:val="22"/>
                <w:szCs w:val="22"/>
              </w:rPr>
              <w:t>V</w:t>
            </w:r>
            <w:r w:rsidRPr="00F917AD" w:rsidR="001D62A7">
              <w:rPr>
                <w:rFonts w:asciiTheme="minorHAnsi" w:hAnsiTheme="minorHAnsi"/>
                <w:i/>
                <w:color w:val="000000"/>
                <w:sz w:val="22"/>
                <w:szCs w:val="22"/>
              </w:rPr>
              <w:t xml:space="preserve">oorzien in kinderopvang voor </w:t>
            </w:r>
          </w:p>
          <w:p w:rsidR="00F917AD" w:rsidP="00F917AD" w:rsidRDefault="00F917AD">
            <w:pPr>
              <w:pStyle w:val="Lijstalinea"/>
              <w:numPr>
                <w:ilvl w:val="0"/>
                <w:numId w:val="4"/>
              </w:numPr>
              <w:rPr>
                <w:rFonts w:asciiTheme="minorHAnsi" w:hAnsiTheme="minorHAnsi"/>
                <w:i/>
                <w:color w:val="000000"/>
                <w:sz w:val="22"/>
                <w:szCs w:val="22"/>
              </w:rPr>
            </w:pPr>
            <w:r w:rsidRPr="00F917AD">
              <w:rPr>
                <w:rFonts w:asciiTheme="minorHAnsi" w:hAnsiTheme="minorHAnsi"/>
                <w:i/>
                <w:color w:val="000000"/>
                <w:sz w:val="22"/>
                <w:szCs w:val="22"/>
              </w:rPr>
              <w:t>ten minste 90 % van de kinderen tussen 3 jaar en de leerplichtige leeftijd</w:t>
            </w:r>
            <w:r>
              <w:rPr>
                <w:rFonts w:asciiTheme="minorHAnsi" w:hAnsiTheme="minorHAnsi"/>
                <w:i/>
                <w:color w:val="000000"/>
                <w:sz w:val="22"/>
                <w:szCs w:val="22"/>
              </w:rPr>
              <w:t>,</w:t>
            </w:r>
            <w:r w:rsidRPr="00F917AD">
              <w:rPr>
                <w:rFonts w:asciiTheme="minorHAnsi" w:hAnsiTheme="minorHAnsi"/>
                <w:i/>
                <w:color w:val="000000"/>
                <w:sz w:val="22"/>
                <w:szCs w:val="22"/>
              </w:rPr>
              <w:t xml:space="preserve"> en</w:t>
            </w:r>
          </w:p>
          <w:p w:rsidRPr="00F917AD" w:rsidR="001D62A7" w:rsidP="009A47EA" w:rsidRDefault="00F917AD">
            <w:pPr>
              <w:pStyle w:val="Lijstalinea"/>
              <w:numPr>
                <w:ilvl w:val="0"/>
                <w:numId w:val="4"/>
              </w:numPr>
              <w:rPr>
                <w:rFonts w:asciiTheme="minorHAnsi" w:hAnsiTheme="minorHAnsi"/>
                <w:i/>
                <w:color w:val="000000"/>
                <w:sz w:val="22"/>
                <w:szCs w:val="22"/>
              </w:rPr>
            </w:pPr>
            <w:r>
              <w:rPr>
                <w:rFonts w:asciiTheme="minorHAnsi" w:hAnsiTheme="minorHAnsi"/>
                <w:i/>
                <w:color w:val="000000"/>
                <w:sz w:val="22"/>
                <w:szCs w:val="22"/>
              </w:rPr>
              <w:t xml:space="preserve">voor </w:t>
            </w:r>
            <w:r w:rsidRPr="00F917AD" w:rsidR="001D62A7">
              <w:rPr>
                <w:rFonts w:asciiTheme="minorHAnsi" w:hAnsiTheme="minorHAnsi"/>
                <w:i/>
                <w:color w:val="000000"/>
                <w:sz w:val="22"/>
                <w:szCs w:val="22"/>
              </w:rPr>
              <w:t xml:space="preserve">ten minste 33 % van de kinderen </w:t>
            </w:r>
            <w:r w:rsidR="009A47EA">
              <w:rPr>
                <w:rFonts w:asciiTheme="minorHAnsi" w:hAnsiTheme="minorHAnsi"/>
                <w:i/>
                <w:color w:val="000000"/>
                <w:sz w:val="22"/>
                <w:szCs w:val="22"/>
              </w:rPr>
              <w:t>jonger dan</w:t>
            </w:r>
            <w:r w:rsidRPr="00F917AD" w:rsidR="001D62A7">
              <w:rPr>
                <w:rFonts w:asciiTheme="minorHAnsi" w:hAnsiTheme="minorHAnsi"/>
                <w:i/>
                <w:color w:val="000000"/>
                <w:sz w:val="22"/>
                <w:szCs w:val="22"/>
              </w:rPr>
              <w:t xml:space="preserve"> 3 jaar</w:t>
            </w:r>
          </w:p>
        </w:tc>
      </w:tr>
      <w:tr w:rsidRPr="00B71981" w:rsidR="003E16E1" w:rsidTr="00CB61A6">
        <w:trPr>
          <w:trHeight w:val="1134"/>
        </w:trPr>
        <w:tc>
          <w:tcPr>
            <w:tcW w:w="981" w:type="dxa"/>
            <w:shd w:val="clear" w:color="auto" w:fill="auto"/>
            <w:noWrap/>
          </w:tcPr>
          <w:p w:rsidR="003E16E1" w:rsidP="00CB61A6" w:rsidRDefault="003E16E1">
            <w:pPr>
              <w:jc w:val="center"/>
              <w:rPr>
                <w:rFonts w:asciiTheme="minorHAnsi" w:hAnsiTheme="minorHAnsi"/>
                <w:color w:val="000000"/>
                <w:sz w:val="22"/>
                <w:szCs w:val="22"/>
              </w:rPr>
            </w:pPr>
            <w:r>
              <w:rPr>
                <w:rFonts w:asciiTheme="minorHAnsi" w:hAnsiTheme="minorHAnsi"/>
                <w:color w:val="000000"/>
                <w:sz w:val="22"/>
                <w:szCs w:val="22"/>
              </w:rPr>
              <w:t>14 mei 2018</w:t>
            </w:r>
          </w:p>
        </w:tc>
        <w:tc>
          <w:tcPr>
            <w:tcW w:w="1203" w:type="dxa"/>
            <w:shd w:val="clear" w:color="auto" w:fill="auto"/>
            <w:noWrap/>
          </w:tcPr>
          <w:p w:rsidR="003E16E1" w:rsidP="00CB61A6" w:rsidRDefault="003E16E1">
            <w:pPr>
              <w:rPr>
                <w:rFonts w:asciiTheme="minorHAnsi" w:hAnsiTheme="minorHAnsi"/>
                <w:color w:val="000000"/>
                <w:sz w:val="22"/>
                <w:szCs w:val="22"/>
              </w:rPr>
            </w:pPr>
            <w:r>
              <w:rPr>
                <w:rFonts w:asciiTheme="minorHAnsi" w:hAnsiTheme="minorHAnsi"/>
                <w:color w:val="000000"/>
                <w:sz w:val="22"/>
                <w:szCs w:val="22"/>
              </w:rPr>
              <w:t>SZW</w:t>
            </w:r>
          </w:p>
        </w:tc>
        <w:tc>
          <w:tcPr>
            <w:tcW w:w="1374" w:type="dxa"/>
            <w:shd w:val="clear" w:color="auto" w:fill="auto"/>
            <w:noWrap/>
          </w:tcPr>
          <w:p w:rsidR="003E16E1" w:rsidP="00CB61A6" w:rsidRDefault="003E16E1">
            <w:pPr>
              <w:rPr>
                <w:rFonts w:asciiTheme="minorHAnsi" w:hAnsiTheme="minorHAnsi"/>
                <w:color w:val="000000"/>
                <w:sz w:val="22"/>
                <w:szCs w:val="22"/>
              </w:rPr>
            </w:pPr>
            <w:r>
              <w:rPr>
                <w:rFonts w:asciiTheme="minorHAnsi" w:hAnsiTheme="minorHAnsi"/>
                <w:color w:val="000000"/>
                <w:sz w:val="22"/>
                <w:szCs w:val="22"/>
              </w:rPr>
              <w:t>Verslag</w:t>
            </w:r>
          </w:p>
        </w:tc>
        <w:tc>
          <w:tcPr>
            <w:tcW w:w="4754" w:type="dxa"/>
            <w:shd w:val="clear" w:color="auto" w:fill="auto"/>
          </w:tcPr>
          <w:p w:rsidRPr="00FC1478" w:rsidR="003E16E1" w:rsidP="00CB61A6" w:rsidRDefault="003E16E1">
            <w:pPr>
              <w:rPr>
                <w:rFonts w:ascii="Calibri" w:hAnsi="Calibri"/>
                <w:color w:val="000000"/>
                <w:sz w:val="22"/>
                <w:szCs w:val="22"/>
              </w:rPr>
            </w:pPr>
            <w:r w:rsidRPr="003E16E1">
              <w:rPr>
                <w:rFonts w:ascii="Calibri" w:hAnsi="Calibri"/>
                <w:color w:val="000000"/>
                <w:sz w:val="22"/>
                <w:szCs w:val="22"/>
              </w:rPr>
              <w:t>VERSLAG VAN DE COMMISSIE AAN HET EUROPEES PARLEMENT, DE RAAD EN HET EUROPEES ECONOMISCH EN SOCIAAL COMITÉ Verslag over de toepassing door de lidstaten van Richtlijn 2009/38/EG inzake de instelling van een Europese ondernemingsraad of van een procedure in ondernemingen of concerns met een communautaire dimensie ter informatie en raadpleging van de werknemers (Herschikking)</w:t>
            </w:r>
          </w:p>
        </w:tc>
        <w:tc>
          <w:tcPr>
            <w:tcW w:w="634" w:type="dxa"/>
            <w:shd w:val="clear" w:color="auto" w:fill="auto"/>
            <w:noWrap/>
          </w:tcPr>
          <w:p w:rsidR="003E16E1" w:rsidP="00CB61A6" w:rsidRDefault="00FB5728">
            <w:pPr>
              <w:jc w:val="center"/>
              <w:rPr>
                <w:rFonts w:ascii="Calibri" w:hAnsi="Calibri"/>
                <w:color w:val="0000FF"/>
                <w:u w:val="single"/>
              </w:rPr>
            </w:pPr>
            <w:hyperlink w:history="1" r:id="rId11">
              <w:r w:rsidRPr="003E16E1" w:rsidR="003E16E1">
                <w:rPr>
                  <w:rStyle w:val="Hyperlink"/>
                  <w:rFonts w:ascii="Calibri" w:hAnsi="Calibri"/>
                </w:rPr>
                <w:t>292</w:t>
              </w:r>
            </w:hyperlink>
          </w:p>
        </w:tc>
        <w:tc>
          <w:tcPr>
            <w:tcW w:w="1246" w:type="dxa"/>
            <w:shd w:val="clear" w:color="auto" w:fill="auto"/>
          </w:tcPr>
          <w:p w:rsidR="003E16E1" w:rsidP="00CB61A6" w:rsidRDefault="00967E0A">
            <w:pPr>
              <w:jc w:val="center"/>
              <w:rPr>
                <w:rFonts w:ascii="Calibri" w:hAnsi="Calibri"/>
                <w:color w:val="000000"/>
              </w:rPr>
            </w:pPr>
            <w:proofErr w:type="spellStart"/>
            <w:r>
              <w:rPr>
                <w:rFonts w:ascii="Calibri" w:hAnsi="Calibri"/>
                <w:color w:val="000000"/>
              </w:rPr>
              <w:t>Nvt</w:t>
            </w:r>
            <w:proofErr w:type="spellEnd"/>
          </w:p>
        </w:tc>
        <w:tc>
          <w:tcPr>
            <w:tcW w:w="4463" w:type="dxa"/>
            <w:shd w:val="clear" w:color="auto" w:fill="auto"/>
          </w:tcPr>
          <w:p w:rsidR="003E16E1" w:rsidP="00771328" w:rsidRDefault="003E16E1">
            <w:pPr>
              <w:rPr>
                <w:rFonts w:asciiTheme="minorHAnsi" w:hAnsiTheme="minorHAnsi"/>
                <w:color w:val="000000"/>
                <w:sz w:val="22"/>
                <w:szCs w:val="22"/>
              </w:rPr>
            </w:pPr>
            <w:r w:rsidRPr="0048348A">
              <w:rPr>
                <w:rFonts w:asciiTheme="minorHAnsi" w:hAnsiTheme="minorHAnsi"/>
                <w:color w:val="000000"/>
                <w:sz w:val="22"/>
                <w:szCs w:val="22"/>
                <w:u w:val="single"/>
              </w:rPr>
              <w:t>Behandelvoorstel</w:t>
            </w:r>
            <w:r w:rsidRPr="001D62A7">
              <w:rPr>
                <w:rFonts w:asciiTheme="minorHAnsi" w:hAnsiTheme="minorHAnsi"/>
                <w:color w:val="000000"/>
                <w:sz w:val="22"/>
                <w:szCs w:val="22"/>
              </w:rPr>
              <w:t>:</w:t>
            </w:r>
            <w:r w:rsidR="00F917AD">
              <w:t xml:space="preserve"> </w:t>
            </w:r>
            <w:r w:rsidRPr="00F917AD" w:rsidR="00F917AD">
              <w:rPr>
                <w:rFonts w:asciiTheme="minorHAnsi" w:hAnsiTheme="minorHAnsi"/>
                <w:color w:val="000000"/>
                <w:sz w:val="22"/>
                <w:szCs w:val="22"/>
              </w:rPr>
              <w:t>Ter kennisgeving aannemen.</w:t>
            </w:r>
          </w:p>
          <w:p w:rsidR="00F917AD" w:rsidP="00771328" w:rsidRDefault="00F917AD">
            <w:pPr>
              <w:rPr>
                <w:rFonts w:asciiTheme="minorHAnsi" w:hAnsiTheme="minorHAnsi"/>
                <w:color w:val="000000"/>
                <w:sz w:val="22"/>
                <w:szCs w:val="22"/>
              </w:rPr>
            </w:pPr>
          </w:p>
          <w:p w:rsidRPr="00F70B59" w:rsidR="00F917AD" w:rsidP="00CC156A" w:rsidRDefault="00F917AD">
            <w:pPr>
              <w:rPr>
                <w:rFonts w:asciiTheme="minorHAnsi" w:hAnsiTheme="minorHAnsi"/>
                <w:i/>
                <w:color w:val="000000"/>
                <w:sz w:val="22"/>
                <w:szCs w:val="22"/>
              </w:rPr>
            </w:pPr>
            <w:r w:rsidRPr="00F70B59">
              <w:rPr>
                <w:rFonts w:asciiTheme="minorHAnsi" w:hAnsiTheme="minorHAnsi"/>
                <w:i/>
                <w:color w:val="000000"/>
                <w:sz w:val="22"/>
                <w:szCs w:val="22"/>
              </w:rPr>
              <w:t xml:space="preserve">Verslag van de Europese Commissie betreffende de toepassing door de lidstaten van de </w:t>
            </w:r>
            <w:r w:rsidR="00CC156A">
              <w:rPr>
                <w:rFonts w:asciiTheme="minorHAnsi" w:hAnsiTheme="minorHAnsi"/>
                <w:i/>
                <w:color w:val="000000"/>
                <w:sz w:val="22"/>
                <w:szCs w:val="22"/>
              </w:rPr>
              <w:t>(</w:t>
            </w:r>
            <w:r w:rsidRPr="00F70B59">
              <w:rPr>
                <w:rFonts w:asciiTheme="minorHAnsi" w:hAnsiTheme="minorHAnsi"/>
                <w:i/>
                <w:color w:val="000000"/>
                <w:sz w:val="22"/>
                <w:szCs w:val="22"/>
              </w:rPr>
              <w:t>herschikte</w:t>
            </w:r>
            <w:r w:rsidR="00CC156A">
              <w:rPr>
                <w:rFonts w:asciiTheme="minorHAnsi" w:hAnsiTheme="minorHAnsi"/>
                <w:i/>
                <w:color w:val="000000"/>
                <w:sz w:val="22"/>
                <w:szCs w:val="22"/>
              </w:rPr>
              <w:t>)</w:t>
            </w:r>
            <w:r w:rsidRPr="00F70B59">
              <w:rPr>
                <w:rFonts w:asciiTheme="minorHAnsi" w:hAnsiTheme="minorHAnsi"/>
                <w:i/>
                <w:color w:val="000000"/>
                <w:sz w:val="22"/>
                <w:szCs w:val="22"/>
              </w:rPr>
              <w:t xml:space="preserve"> Richtlijn 2009/38/EG inzake de instelling van Europese ondernemingsrad</w:t>
            </w:r>
            <w:r w:rsidR="007F34B0">
              <w:rPr>
                <w:rFonts w:asciiTheme="minorHAnsi" w:hAnsiTheme="minorHAnsi"/>
                <w:i/>
                <w:color w:val="000000"/>
                <w:sz w:val="22"/>
                <w:szCs w:val="22"/>
              </w:rPr>
              <w:t>en</w:t>
            </w:r>
            <w:r w:rsidR="00F70B59">
              <w:t xml:space="preserve"> </w:t>
            </w:r>
            <w:r w:rsidRPr="00F70B59" w:rsidR="00F70B59">
              <w:rPr>
                <w:rFonts w:asciiTheme="minorHAnsi" w:hAnsiTheme="minorHAnsi"/>
                <w:i/>
                <w:color w:val="000000"/>
                <w:sz w:val="22"/>
                <w:szCs w:val="22"/>
              </w:rPr>
              <w:t>in multinationale ondernemingen</w:t>
            </w:r>
            <w:r w:rsidRPr="00F70B59">
              <w:rPr>
                <w:rFonts w:asciiTheme="minorHAnsi" w:hAnsiTheme="minorHAnsi"/>
                <w:i/>
                <w:color w:val="000000"/>
                <w:sz w:val="22"/>
                <w:szCs w:val="22"/>
              </w:rPr>
              <w:t>.</w:t>
            </w:r>
            <w:r w:rsidRPr="00F70B59" w:rsidR="00F70B59">
              <w:rPr>
                <w:rFonts w:asciiTheme="minorHAnsi" w:hAnsiTheme="minorHAnsi"/>
                <w:i/>
                <w:color w:val="000000"/>
                <w:sz w:val="22"/>
                <w:szCs w:val="22"/>
              </w:rPr>
              <w:t xml:space="preserve"> De Commissie acht</w:t>
            </w:r>
            <w:r w:rsidR="00CC156A">
              <w:rPr>
                <w:rFonts w:asciiTheme="minorHAnsi" w:hAnsiTheme="minorHAnsi"/>
                <w:i/>
                <w:color w:val="000000"/>
                <w:sz w:val="22"/>
                <w:szCs w:val="22"/>
              </w:rPr>
              <w:t xml:space="preserve"> op een paar</w:t>
            </w:r>
            <w:r w:rsidRPr="00F70B59" w:rsidR="00F70B59">
              <w:rPr>
                <w:rFonts w:asciiTheme="minorHAnsi" w:hAnsiTheme="minorHAnsi"/>
                <w:i/>
                <w:color w:val="000000"/>
                <w:sz w:val="22"/>
                <w:szCs w:val="22"/>
              </w:rPr>
              <w:t xml:space="preserve"> </w:t>
            </w:r>
            <w:r w:rsidR="00CC156A">
              <w:rPr>
                <w:rFonts w:asciiTheme="minorHAnsi" w:hAnsiTheme="minorHAnsi"/>
                <w:i/>
                <w:color w:val="000000"/>
                <w:sz w:val="22"/>
                <w:szCs w:val="22"/>
              </w:rPr>
              <w:t xml:space="preserve">punten een </w:t>
            </w:r>
            <w:r w:rsidRPr="00F70B59" w:rsidR="00F70B59">
              <w:rPr>
                <w:rFonts w:asciiTheme="minorHAnsi" w:hAnsiTheme="minorHAnsi"/>
                <w:i/>
                <w:color w:val="000000"/>
                <w:sz w:val="22"/>
                <w:szCs w:val="22"/>
              </w:rPr>
              <w:t>verbeter</w:t>
            </w:r>
            <w:r w:rsidR="00CC156A">
              <w:rPr>
                <w:rFonts w:asciiTheme="minorHAnsi" w:hAnsiTheme="minorHAnsi"/>
                <w:i/>
                <w:color w:val="000000"/>
                <w:sz w:val="22"/>
                <w:szCs w:val="22"/>
              </w:rPr>
              <w:t>de implementatie</w:t>
            </w:r>
            <w:r w:rsidRPr="00F70B59" w:rsidR="00F70B59">
              <w:rPr>
                <w:rFonts w:asciiTheme="minorHAnsi" w:hAnsiTheme="minorHAnsi"/>
                <w:i/>
                <w:color w:val="000000"/>
                <w:sz w:val="22"/>
                <w:szCs w:val="22"/>
              </w:rPr>
              <w:t xml:space="preserve"> mogelijk (zonder </w:t>
            </w:r>
            <w:r w:rsidR="00CC156A">
              <w:rPr>
                <w:rFonts w:asciiTheme="minorHAnsi" w:hAnsiTheme="minorHAnsi"/>
                <w:i/>
                <w:color w:val="000000"/>
                <w:sz w:val="22"/>
                <w:szCs w:val="22"/>
              </w:rPr>
              <w:t xml:space="preserve">dat dit leidt tot </w:t>
            </w:r>
            <w:r w:rsidRPr="00F70B59" w:rsidR="00F70B59">
              <w:rPr>
                <w:rFonts w:asciiTheme="minorHAnsi" w:hAnsiTheme="minorHAnsi"/>
                <w:i/>
                <w:color w:val="000000"/>
                <w:sz w:val="22"/>
                <w:szCs w:val="22"/>
              </w:rPr>
              <w:t>wijziging van de richtlijn)</w:t>
            </w:r>
            <w:r w:rsidR="00F70B59">
              <w:rPr>
                <w:rFonts w:asciiTheme="minorHAnsi" w:hAnsiTheme="minorHAnsi"/>
                <w:i/>
                <w:color w:val="000000"/>
                <w:sz w:val="22"/>
                <w:szCs w:val="22"/>
              </w:rPr>
              <w:t>.</w:t>
            </w:r>
          </w:p>
        </w:tc>
      </w:tr>
      <w:tr w:rsidRPr="0048348A" w:rsidR="003E16E1" w:rsidTr="00AF45AF">
        <w:trPr>
          <w:trHeight w:val="1134"/>
        </w:trPr>
        <w:tc>
          <w:tcPr>
            <w:tcW w:w="981" w:type="dxa"/>
            <w:shd w:val="clear" w:color="auto" w:fill="auto"/>
            <w:noWrap/>
          </w:tcPr>
          <w:p w:rsidR="003E16E1" w:rsidP="00C44A84" w:rsidRDefault="003E16E1">
            <w:pPr>
              <w:jc w:val="center"/>
              <w:rPr>
                <w:rFonts w:asciiTheme="minorHAnsi" w:hAnsiTheme="minorHAnsi"/>
                <w:color w:val="000000"/>
                <w:sz w:val="22"/>
                <w:szCs w:val="22"/>
              </w:rPr>
            </w:pPr>
            <w:r>
              <w:rPr>
                <w:rFonts w:asciiTheme="minorHAnsi" w:hAnsiTheme="minorHAnsi"/>
                <w:color w:val="000000"/>
                <w:sz w:val="22"/>
                <w:szCs w:val="22"/>
              </w:rPr>
              <w:t>2 mei 2018</w:t>
            </w:r>
          </w:p>
        </w:tc>
        <w:tc>
          <w:tcPr>
            <w:tcW w:w="1203" w:type="dxa"/>
            <w:shd w:val="clear" w:color="auto" w:fill="auto"/>
            <w:noWrap/>
          </w:tcPr>
          <w:p w:rsidRPr="00D668D4" w:rsidR="003E16E1" w:rsidP="00AF45AF" w:rsidRDefault="003E16E1">
            <w:pPr>
              <w:rPr>
                <w:rFonts w:asciiTheme="minorHAnsi" w:hAnsiTheme="minorHAnsi"/>
                <w:color w:val="000000"/>
                <w:sz w:val="22"/>
                <w:szCs w:val="22"/>
              </w:rPr>
            </w:pPr>
            <w:r>
              <w:rPr>
                <w:rFonts w:asciiTheme="minorHAnsi" w:hAnsiTheme="minorHAnsi"/>
                <w:color w:val="000000"/>
                <w:sz w:val="22"/>
                <w:szCs w:val="22"/>
              </w:rPr>
              <w:t>SZW</w:t>
            </w:r>
          </w:p>
        </w:tc>
        <w:tc>
          <w:tcPr>
            <w:tcW w:w="1374" w:type="dxa"/>
            <w:shd w:val="clear" w:color="auto" w:fill="auto"/>
            <w:noWrap/>
          </w:tcPr>
          <w:p w:rsidR="003E16E1" w:rsidP="00AF45AF" w:rsidRDefault="003E16E1">
            <w:pPr>
              <w:rPr>
                <w:rFonts w:asciiTheme="minorHAnsi" w:hAnsiTheme="minorHAnsi"/>
                <w:color w:val="000000"/>
                <w:sz w:val="22"/>
                <w:szCs w:val="22"/>
              </w:rPr>
            </w:pPr>
            <w:r>
              <w:rPr>
                <w:rFonts w:asciiTheme="minorHAnsi" w:hAnsiTheme="minorHAnsi"/>
                <w:color w:val="000000"/>
                <w:sz w:val="22"/>
                <w:szCs w:val="22"/>
              </w:rPr>
              <w:t>Raadpleging</w:t>
            </w:r>
          </w:p>
        </w:tc>
        <w:tc>
          <w:tcPr>
            <w:tcW w:w="4754" w:type="dxa"/>
            <w:shd w:val="clear" w:color="auto" w:fill="auto"/>
          </w:tcPr>
          <w:p w:rsidR="003E16E1" w:rsidP="00AF45AF" w:rsidRDefault="003E16E1">
            <w:pPr>
              <w:rPr>
                <w:rFonts w:ascii="Calibri" w:hAnsi="Calibri"/>
                <w:color w:val="000000"/>
                <w:sz w:val="22"/>
                <w:szCs w:val="22"/>
              </w:rPr>
            </w:pPr>
            <w:r w:rsidRPr="0048348A">
              <w:rPr>
                <w:rFonts w:ascii="Calibri" w:hAnsi="Calibri"/>
                <w:color w:val="000000"/>
                <w:sz w:val="22"/>
                <w:szCs w:val="22"/>
              </w:rPr>
              <w:t>Openbare raadpleging over de integratie van langdurig werklozen op de arbeidsmarkt</w:t>
            </w:r>
          </w:p>
        </w:tc>
        <w:tc>
          <w:tcPr>
            <w:tcW w:w="634" w:type="dxa"/>
            <w:shd w:val="clear" w:color="auto" w:fill="auto"/>
            <w:noWrap/>
          </w:tcPr>
          <w:p w:rsidR="003E16E1" w:rsidP="00AF45AF" w:rsidRDefault="00FB5728">
            <w:pPr>
              <w:jc w:val="center"/>
            </w:pPr>
            <w:hyperlink w:history="1" r:id="rId12">
              <w:r w:rsidR="003E16E1">
                <w:rPr>
                  <w:rStyle w:val="Hyperlink"/>
                  <w:rFonts w:ascii="Calibri" w:hAnsi="Calibri"/>
                </w:rPr>
                <w:t>OR</w:t>
              </w:r>
            </w:hyperlink>
          </w:p>
        </w:tc>
        <w:tc>
          <w:tcPr>
            <w:tcW w:w="1246" w:type="dxa"/>
            <w:shd w:val="clear" w:color="auto" w:fill="auto"/>
          </w:tcPr>
          <w:p w:rsidRPr="00D668D4" w:rsidR="003E16E1" w:rsidP="00AF45AF" w:rsidRDefault="00967E0A">
            <w:pPr>
              <w:jc w:val="center"/>
              <w:rPr>
                <w:rFonts w:asciiTheme="minorHAnsi" w:hAnsiTheme="minorHAnsi"/>
                <w:color w:val="000000"/>
                <w:sz w:val="22"/>
                <w:szCs w:val="22"/>
                <w:lang w:val="en-GB"/>
              </w:rPr>
            </w:pPr>
            <w:proofErr w:type="spellStart"/>
            <w:r>
              <w:rPr>
                <w:rFonts w:ascii="Calibri" w:hAnsi="Calibri"/>
                <w:color w:val="000000"/>
              </w:rPr>
              <w:t>Nvt</w:t>
            </w:r>
            <w:proofErr w:type="spellEnd"/>
          </w:p>
        </w:tc>
        <w:tc>
          <w:tcPr>
            <w:tcW w:w="4463" w:type="dxa"/>
            <w:shd w:val="clear" w:color="auto" w:fill="auto"/>
          </w:tcPr>
          <w:p w:rsidR="003E16E1" w:rsidP="00AF45AF" w:rsidRDefault="003E16E1">
            <w:pPr>
              <w:rPr>
                <w:rFonts w:asciiTheme="minorHAnsi" w:hAnsiTheme="minorHAnsi"/>
                <w:color w:val="000000"/>
                <w:sz w:val="22"/>
                <w:szCs w:val="22"/>
                <w:u w:val="single"/>
              </w:rPr>
            </w:pPr>
            <w:r w:rsidRPr="0048348A">
              <w:rPr>
                <w:rFonts w:asciiTheme="minorHAnsi" w:hAnsiTheme="minorHAnsi"/>
                <w:color w:val="000000"/>
                <w:sz w:val="22"/>
                <w:szCs w:val="22"/>
                <w:u w:val="single"/>
              </w:rPr>
              <w:t>Behandelvoorstel</w:t>
            </w:r>
            <w:r w:rsidRPr="001D62A7">
              <w:rPr>
                <w:rFonts w:asciiTheme="minorHAnsi" w:hAnsiTheme="minorHAnsi"/>
                <w:color w:val="000000"/>
                <w:sz w:val="22"/>
                <w:szCs w:val="22"/>
              </w:rPr>
              <w:t xml:space="preserve">: </w:t>
            </w:r>
            <w:r w:rsidRPr="001D62A7" w:rsidR="001D62A7">
              <w:rPr>
                <w:rFonts w:asciiTheme="minorHAnsi" w:hAnsiTheme="minorHAnsi"/>
                <w:color w:val="000000"/>
                <w:sz w:val="22"/>
                <w:szCs w:val="22"/>
              </w:rPr>
              <w:t xml:space="preserve">de eventuele inbreng van het kabinet op deze consultatie agenderen voor een aankomend algemeen overleg  </w:t>
            </w:r>
          </w:p>
          <w:p w:rsidR="001D62A7" w:rsidP="00AF45AF" w:rsidRDefault="001D62A7">
            <w:pPr>
              <w:rPr>
                <w:rFonts w:asciiTheme="minorHAnsi" w:hAnsiTheme="minorHAnsi"/>
                <w:color w:val="000000"/>
                <w:sz w:val="22"/>
                <w:szCs w:val="22"/>
                <w:u w:val="single"/>
              </w:rPr>
            </w:pPr>
          </w:p>
          <w:p w:rsidRPr="001D62A7" w:rsidR="001D62A7" w:rsidP="001D62A7" w:rsidRDefault="001D62A7">
            <w:pPr>
              <w:rPr>
                <w:rFonts w:asciiTheme="minorHAnsi" w:hAnsiTheme="minorHAnsi"/>
                <w:i/>
                <w:color w:val="000000"/>
                <w:sz w:val="22"/>
                <w:szCs w:val="22"/>
              </w:rPr>
            </w:pPr>
            <w:r w:rsidRPr="001D62A7">
              <w:rPr>
                <w:rFonts w:asciiTheme="minorHAnsi" w:hAnsiTheme="minorHAnsi"/>
                <w:i/>
                <w:color w:val="000000"/>
                <w:sz w:val="22"/>
                <w:szCs w:val="22"/>
              </w:rPr>
              <w:t xml:space="preserve">Raadpleging van de Europese Commissie </w:t>
            </w:r>
            <w:proofErr w:type="spellStart"/>
            <w:r w:rsidRPr="001D62A7">
              <w:rPr>
                <w:rFonts w:asciiTheme="minorHAnsi" w:hAnsiTheme="minorHAnsi"/>
                <w:i/>
                <w:color w:val="000000"/>
                <w:sz w:val="22"/>
                <w:szCs w:val="22"/>
              </w:rPr>
              <w:t>mbt</w:t>
            </w:r>
            <w:proofErr w:type="spellEnd"/>
            <w:r w:rsidRPr="001D62A7">
              <w:rPr>
                <w:rFonts w:asciiTheme="minorHAnsi" w:hAnsiTheme="minorHAnsi"/>
                <w:i/>
                <w:color w:val="000000"/>
                <w:sz w:val="22"/>
                <w:szCs w:val="22"/>
              </w:rPr>
              <w:t xml:space="preserve"> de 15 februari 2016 aangenomen (juridisch niet-bindende) aanbeveling van de Raad over de integratie van langdurig werklozen op de arbeidsmarkt.</w:t>
            </w:r>
          </w:p>
        </w:tc>
      </w:tr>
    </w:tbl>
    <w:p w:rsidR="0048348A" w:rsidP="00182FFB" w:rsidRDefault="0048348A">
      <w:pPr>
        <w:rPr>
          <w:rFonts w:asciiTheme="minorHAnsi" w:hAnsiTheme="minorHAnsi"/>
          <w:b/>
          <w:sz w:val="22"/>
          <w:szCs w:val="22"/>
        </w:rPr>
      </w:pPr>
    </w:p>
    <w:p w:rsidR="003E16E1" w:rsidP="00182FFB" w:rsidRDefault="003E16E1">
      <w:pPr>
        <w:rPr>
          <w:rFonts w:asciiTheme="minorHAnsi" w:hAnsiTheme="minorHAnsi"/>
          <w:b/>
          <w:sz w:val="22"/>
          <w:szCs w:val="22"/>
        </w:rPr>
      </w:pPr>
    </w:p>
    <w:p w:rsidRPr="00B30383" w:rsidR="00182FFB" w:rsidP="00182FFB" w:rsidRDefault="00182FFB">
      <w:pPr>
        <w:widowControl w:val="0"/>
        <w:rPr>
          <w:rFonts w:asciiTheme="minorHAnsi" w:hAnsiTheme="minorHAnsi"/>
          <w:b/>
          <w:sz w:val="20"/>
          <w:szCs w:val="20"/>
        </w:rPr>
      </w:pPr>
      <w:r>
        <w:rPr>
          <w:rFonts w:asciiTheme="minorHAnsi" w:hAnsiTheme="minorHAnsi"/>
          <w:b/>
          <w:sz w:val="20"/>
          <w:szCs w:val="20"/>
        </w:rPr>
        <w:t>T</w:t>
      </w:r>
      <w:r w:rsidRPr="00B30383">
        <w:rPr>
          <w:rFonts w:asciiTheme="minorHAnsi" w:hAnsiTheme="minorHAnsi"/>
          <w:b/>
          <w:sz w:val="20"/>
          <w:szCs w:val="20"/>
        </w:rPr>
        <w:t xml:space="preserve">oelichting </w:t>
      </w:r>
    </w:p>
    <w:p w:rsidRPr="00B30383" w:rsidR="00182FFB" w:rsidP="00182FFB" w:rsidRDefault="00182FFB">
      <w:pPr>
        <w:pStyle w:val="Voetnoottekst"/>
        <w:widowControl w:val="0"/>
        <w:numPr>
          <w:ilvl w:val="0"/>
          <w:numId w:val="3"/>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Rood</w:t>
      </w:r>
      <w:r w:rsidRPr="00B30383">
        <w:rPr>
          <w:rFonts w:asciiTheme="minorHAnsi" w:hAnsiTheme="minorHAnsi"/>
          <w:color w:val="000000"/>
          <w:sz w:val="18"/>
          <w:szCs w:val="18"/>
        </w:rPr>
        <w:t xml:space="preserve"> gemarkeerd</w:t>
      </w:r>
      <w:r w:rsidRPr="00B30383">
        <w:rPr>
          <w:rFonts w:asciiTheme="minorHAnsi" w:hAnsiTheme="minorHAnsi"/>
          <w:sz w:val="18"/>
          <w:szCs w:val="18"/>
        </w:rPr>
        <w:t xml:space="preserve"> is, dan betekent dat het desbetreffende EU-voorstel behoort tot een door de commissie als prioritair bestempeld dossier en om die reden een apart behandeltraject doorloopt. De bijzonderheden worden in dat geval in het veld “Opmerking” vermeld.</w:t>
      </w:r>
      <w:r w:rsidRPr="00B30383">
        <w:rPr>
          <w:sz w:val="18"/>
          <w:szCs w:val="18"/>
        </w:rPr>
        <w:t xml:space="preserve"> </w:t>
      </w:r>
    </w:p>
    <w:p w:rsidRPr="00FC1478" w:rsidR="00182FFB" w:rsidP="00182FFB" w:rsidRDefault="00182FFB">
      <w:pPr>
        <w:pStyle w:val="Voetnoottekst"/>
        <w:widowControl w:val="0"/>
        <w:numPr>
          <w:ilvl w:val="0"/>
          <w:numId w:val="3"/>
        </w:numPr>
        <w:rPr>
          <w:rFonts w:asciiTheme="minorHAnsi" w:hAnsiTheme="minorHAnsi"/>
        </w:rPr>
      </w:pPr>
      <w:r w:rsidRPr="004F2D29">
        <w:rPr>
          <w:rFonts w:asciiTheme="minorHAnsi" w:hAnsiTheme="minorHAnsi"/>
          <w:sz w:val="18"/>
          <w:szCs w:val="18"/>
        </w:rPr>
        <w:t>Groen- en witboeken en prioritaire worden voorstellen ook afzonderlijk worden geagendeerd. Hiervoor volstaat een verwijzing naar het aparte agendapunt en de mogelijk hierbij behorende EU-stafnotitie</w:t>
      </w:r>
      <w:r w:rsidRPr="004F2D29">
        <w:rPr>
          <w:rFonts w:asciiTheme="minorHAnsi" w:hAnsiTheme="minorHAnsi"/>
          <w:szCs w:val="22"/>
        </w:rPr>
        <w:t>.</w:t>
      </w:r>
    </w:p>
    <w:p w:rsidR="00FC1478" w:rsidP="00FC1478" w:rsidRDefault="00FC1478">
      <w:pPr>
        <w:pStyle w:val="Voetnoottekst"/>
        <w:widowControl w:val="0"/>
        <w:rPr>
          <w:rFonts w:asciiTheme="minorHAnsi" w:hAnsiTheme="minorHAnsi"/>
          <w:szCs w:val="22"/>
        </w:rPr>
      </w:pPr>
    </w:p>
    <w:p w:rsidR="00FC1478" w:rsidP="00FC1478" w:rsidRDefault="00FC1478">
      <w:pPr>
        <w:pStyle w:val="Voetnoottekst"/>
        <w:widowControl w:val="0"/>
        <w:rPr>
          <w:rFonts w:asciiTheme="minorHAnsi" w:hAnsiTheme="minorHAnsi"/>
          <w:szCs w:val="22"/>
        </w:rPr>
      </w:pPr>
    </w:p>
    <w:p w:rsidRPr="00FB71BA" w:rsidR="00182FFB" w:rsidP="00182FFB" w:rsidRDefault="00182FFB">
      <w:pPr>
        <w:pStyle w:val="Voetnoottekst"/>
        <w:rPr>
          <w:rFonts w:asciiTheme="minorHAnsi" w:hAnsiTheme="minorHAnsi"/>
          <w:b/>
          <w:sz w:val="22"/>
          <w:szCs w:val="22"/>
        </w:rPr>
      </w:pPr>
      <w:r>
        <w:rPr>
          <w:rFonts w:asciiTheme="minorHAnsi" w:hAnsiTheme="minorHAnsi"/>
          <w:b/>
          <w:sz w:val="22"/>
          <w:szCs w:val="22"/>
        </w:rPr>
        <w:t>B</w:t>
      </w:r>
      <w:r w:rsidRPr="00FB71BA">
        <w:rPr>
          <w:rFonts w:asciiTheme="minorHAnsi" w:hAnsiTheme="minorHAnsi"/>
          <w:b/>
          <w:sz w:val="22"/>
          <w:szCs w:val="22"/>
        </w:rPr>
        <w:t>ehandelmogelijkheden EU-voorstellen</w:t>
      </w:r>
    </w:p>
    <w:p w:rsidRPr="00FB71BA" w:rsidR="00182FFB" w:rsidP="00182FFB" w:rsidRDefault="00182FFB">
      <w:pPr>
        <w:pStyle w:val="Voetnoottekst"/>
        <w:rPr>
          <w:rFonts w:asciiTheme="minorHAnsi" w:hAnsiTheme="minorHAnsi"/>
          <w:sz w:val="22"/>
          <w:szCs w:val="22"/>
        </w:rPr>
      </w:pPr>
    </w:p>
    <w:p w:rsidRPr="00FB71BA" w:rsidR="00182FFB" w:rsidP="00182FFB" w:rsidRDefault="00182FFB">
      <w:pPr>
        <w:rPr>
          <w:rFonts w:asciiTheme="minorHAnsi" w:hAnsiTheme="minorHAnsi"/>
          <w:sz w:val="22"/>
          <w:szCs w:val="22"/>
        </w:rPr>
      </w:pPr>
      <w:r w:rsidRPr="00FB71BA">
        <w:rPr>
          <w:rFonts w:asciiTheme="minorHAnsi" w:hAnsiTheme="minorHAnsi"/>
          <w:sz w:val="22"/>
          <w:szCs w:val="22"/>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FB71BA" w:rsidR="00182FFB" w:rsidP="00182FFB" w:rsidRDefault="00182FFB">
      <w:pPr>
        <w:rPr>
          <w:rFonts w:asciiTheme="minorHAnsi" w:hAnsiTheme="minorHAnsi"/>
          <w:sz w:val="22"/>
          <w:szCs w:val="22"/>
        </w:rPr>
      </w:pPr>
      <w:r w:rsidRPr="00FB71BA">
        <w:rPr>
          <w:rFonts w:asciiTheme="minorHAnsi" w:hAnsiTheme="minorHAnsi"/>
          <w:sz w:val="22"/>
          <w:szCs w:val="22"/>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FB71BA" w:rsidR="00182FFB" w:rsidP="00182FFB" w:rsidRDefault="00182FFB">
      <w:pPr>
        <w:pStyle w:val="Voetnoottekst"/>
        <w:rPr>
          <w:rFonts w:asciiTheme="minorHAnsi" w:hAnsiTheme="minorHAnsi"/>
          <w:sz w:val="22"/>
          <w:szCs w:val="22"/>
        </w:rPr>
      </w:pPr>
    </w:p>
    <w:tbl>
      <w:tblPr>
        <w:tblStyle w:val="Tabelraster"/>
        <w:tblW w:w="14142" w:type="dxa"/>
        <w:tblLayout w:type="fixed"/>
        <w:tblLook w:val="04A0" w:firstRow="1" w:lastRow="0" w:firstColumn="1" w:lastColumn="0" w:noHBand="0" w:noVBand="1"/>
      </w:tblPr>
      <w:tblGrid>
        <w:gridCol w:w="2093"/>
        <w:gridCol w:w="6946"/>
        <w:gridCol w:w="5103"/>
      </w:tblGrid>
      <w:tr w:rsidRPr="00FB71BA" w:rsidR="00182FFB" w:rsidTr="00CB61A6">
        <w:tc>
          <w:tcPr>
            <w:tcW w:w="2093" w:type="dxa"/>
          </w:tcPr>
          <w:p w:rsidRPr="00FB71BA" w:rsidR="00182FFB" w:rsidP="00CB61A6" w:rsidRDefault="00182FFB">
            <w:pPr>
              <w:pStyle w:val="Voetnoottekst"/>
              <w:rPr>
                <w:rFonts w:asciiTheme="minorHAnsi" w:hAnsiTheme="minorHAnsi"/>
                <w:b/>
                <w:sz w:val="22"/>
                <w:szCs w:val="22"/>
              </w:rPr>
            </w:pPr>
            <w:r w:rsidRPr="00FB71BA">
              <w:rPr>
                <w:rFonts w:asciiTheme="minorHAnsi" w:hAnsiTheme="minorHAnsi"/>
                <w:b/>
                <w:sz w:val="22"/>
                <w:szCs w:val="22"/>
              </w:rPr>
              <w:t>Soort Instrument</w:t>
            </w:r>
          </w:p>
        </w:tc>
        <w:tc>
          <w:tcPr>
            <w:tcW w:w="6946" w:type="dxa"/>
          </w:tcPr>
          <w:p w:rsidRPr="00FB71BA" w:rsidR="00182FFB" w:rsidP="00CB61A6" w:rsidRDefault="00182FFB">
            <w:pPr>
              <w:pStyle w:val="Voetnoottekst"/>
              <w:rPr>
                <w:rFonts w:asciiTheme="minorHAnsi" w:hAnsiTheme="minorHAnsi"/>
                <w:b/>
                <w:sz w:val="22"/>
                <w:szCs w:val="22"/>
              </w:rPr>
            </w:pPr>
            <w:r w:rsidRPr="00FB71BA">
              <w:rPr>
                <w:rFonts w:asciiTheme="minorHAnsi" w:hAnsiTheme="minorHAnsi"/>
                <w:b/>
                <w:sz w:val="22"/>
                <w:szCs w:val="22"/>
              </w:rPr>
              <w:t>Toelichting</w:t>
            </w:r>
          </w:p>
        </w:tc>
        <w:tc>
          <w:tcPr>
            <w:tcW w:w="5103" w:type="dxa"/>
          </w:tcPr>
          <w:p w:rsidRPr="00FB71BA" w:rsidR="00182FFB" w:rsidP="00CB61A6" w:rsidRDefault="00182FFB">
            <w:pPr>
              <w:pStyle w:val="Voetnoottekst"/>
              <w:rPr>
                <w:rFonts w:asciiTheme="minorHAnsi" w:hAnsiTheme="minorHAnsi"/>
                <w:b/>
                <w:sz w:val="22"/>
                <w:szCs w:val="22"/>
              </w:rPr>
            </w:pPr>
            <w:r w:rsidRPr="00FB71BA">
              <w:rPr>
                <w:rFonts w:asciiTheme="minorHAnsi" w:hAnsiTheme="minorHAnsi"/>
                <w:b/>
                <w:sz w:val="22"/>
                <w:szCs w:val="22"/>
              </w:rPr>
              <w:t xml:space="preserve">Mogelijke beïnvloedingsmomenten </w:t>
            </w:r>
          </w:p>
        </w:tc>
      </w:tr>
      <w:tr w:rsidRPr="00FB71BA" w:rsidR="00182FFB" w:rsidTr="00CB61A6">
        <w:tc>
          <w:tcPr>
            <w:tcW w:w="14142" w:type="dxa"/>
            <w:gridSpan w:val="3"/>
          </w:tcPr>
          <w:p w:rsidRPr="00FB71BA" w:rsidR="00182FFB" w:rsidP="00CB61A6" w:rsidRDefault="00182FFB">
            <w:pPr>
              <w:pStyle w:val="Voetnoottekst"/>
              <w:rPr>
                <w:rFonts w:asciiTheme="minorHAnsi" w:hAnsiTheme="minorHAnsi"/>
                <w:i/>
                <w:sz w:val="22"/>
                <w:szCs w:val="22"/>
              </w:rPr>
            </w:pPr>
          </w:p>
          <w:p w:rsidRPr="00FB71BA" w:rsidR="00182FFB" w:rsidP="00CB61A6" w:rsidRDefault="00182FFB">
            <w:pPr>
              <w:pStyle w:val="Voetnoottekst"/>
              <w:rPr>
                <w:rFonts w:asciiTheme="minorHAnsi" w:hAnsiTheme="minorHAnsi"/>
                <w:i/>
                <w:sz w:val="22"/>
                <w:szCs w:val="22"/>
              </w:rPr>
            </w:pPr>
            <w:r w:rsidRPr="00FB71BA">
              <w:rPr>
                <w:rFonts w:asciiTheme="minorHAnsi" w:hAnsiTheme="minorHAnsi"/>
                <w:i/>
                <w:sz w:val="22"/>
                <w:szCs w:val="22"/>
              </w:rPr>
              <w:t>Wetgevende, bindende rechtshandelingen</w:t>
            </w:r>
          </w:p>
        </w:tc>
      </w:tr>
      <w:tr w:rsidRPr="00FB71BA" w:rsidR="00182FFB" w:rsidTr="00CB61A6">
        <w:tc>
          <w:tcPr>
            <w:tcW w:w="2093"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Verordening</w:t>
            </w:r>
          </w:p>
        </w:tc>
        <w:tc>
          <w:tcPr>
            <w:tcW w:w="6946"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Europese Commissie (de ‘auteurs’) uitnodigen voor briefing/gesprek, evt. via videoconferentie.</w:t>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subsidiariteitstoets overwegen: let op termijn (zie hieronder).</w:t>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behandelvoorbehoud overwegen: let op termijn (zie hieronder).</w:t>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ad-hoc rapporteur(s) binnen de commissie(s) benoemen.</w:t>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tijdens overleg met kabinet NL onderhandelingsinzet aan de orde stellen, evt. aan </w:t>
            </w:r>
            <w:r w:rsidRPr="00FB71BA">
              <w:rPr>
                <w:rFonts w:asciiTheme="minorHAnsi" w:hAnsiTheme="minorHAnsi"/>
                <w:sz w:val="22"/>
                <w:szCs w:val="22"/>
              </w:rPr>
              <w:lastRenderedPageBreak/>
              <w:t>de hand van het “BNC-fiche”.</w:t>
            </w:r>
            <w:r w:rsidRPr="00FB71BA">
              <w:rPr>
                <w:rStyle w:val="Voetnootmarkering"/>
                <w:rFonts w:asciiTheme="minorHAnsi" w:hAnsiTheme="minorHAnsi"/>
                <w:sz w:val="22"/>
                <w:szCs w:val="22"/>
              </w:rPr>
              <w:footnoteReference w:id="1"/>
            </w:r>
            <w:r w:rsidRPr="00FB71BA">
              <w:rPr>
                <w:rFonts w:asciiTheme="minorHAnsi" w:hAnsiTheme="minorHAnsi"/>
                <w:sz w:val="22"/>
                <w:szCs w:val="22"/>
              </w:rPr>
              <w:t xml:space="preserve"> </w:t>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EP-rapporteur uitnodigen, evt. via videoconferentie.</w:t>
            </w:r>
            <w:r w:rsidRPr="00FB71BA">
              <w:rPr>
                <w:rFonts w:asciiTheme="minorHAnsi" w:hAnsiTheme="minorHAnsi"/>
                <w:sz w:val="22"/>
                <w:szCs w:val="22"/>
              </w:rPr>
              <w:br/>
            </w:r>
            <w:r w:rsidRPr="00FB71BA">
              <w:rPr>
                <w:rFonts w:asciiTheme="minorHAnsi" w:hAnsiTheme="minorHAnsi"/>
                <w:sz w:val="22"/>
                <w:szCs w:val="22"/>
              </w:rPr>
              <w:br/>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NB: Pas na afronding van het onderhandelingstraject: nationale wetgevingstraject monitoren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naar nationale wetgeving).</w:t>
            </w:r>
          </w:p>
        </w:tc>
      </w:tr>
      <w:tr w:rsidRPr="00FB71BA" w:rsidR="00182FFB" w:rsidTr="00CB61A6">
        <w:tc>
          <w:tcPr>
            <w:tcW w:w="2093"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 xml:space="preserve">Richtlijn </w:t>
            </w:r>
          </w:p>
        </w:tc>
        <w:tc>
          <w:tcPr>
            <w:tcW w:w="6946"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 xml:space="preserve">Een richtlijn is verbindend ten aanzien van het te bereiken resultaat - aan de nationale instanties wordt de bevoegdheid gelaten vorm en middelen te kiezen. Lidstaten dienen richtlijnen om te zetten in nationaal recht - pas </w:t>
            </w:r>
            <w:r w:rsidRPr="00FB71BA">
              <w:rPr>
                <w:rFonts w:asciiTheme="minorHAnsi" w:hAnsiTheme="minorHAnsi"/>
                <w:sz w:val="22"/>
                <w:szCs w:val="22"/>
              </w:rPr>
              <w:lastRenderedPageBreak/>
              <w:t xml:space="preserve">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FB71BA" w:rsidR="00182FFB" w:rsidP="00CB61A6" w:rsidRDefault="00182FFB">
            <w:pPr>
              <w:pStyle w:val="Voetnoottekst"/>
              <w:numPr>
                <w:ilvl w:val="0"/>
                <w:numId w:val="2"/>
              </w:numPr>
              <w:ind w:left="317" w:hanging="283"/>
              <w:rPr>
                <w:rFonts w:asciiTheme="minorHAnsi" w:hAnsiTheme="minorHAnsi"/>
                <w:sz w:val="22"/>
                <w:szCs w:val="22"/>
              </w:rPr>
            </w:pPr>
          </w:p>
        </w:tc>
      </w:tr>
      <w:tr w:rsidRPr="00FB71BA" w:rsidR="00182FFB" w:rsidTr="00CB61A6">
        <w:tc>
          <w:tcPr>
            <w:tcW w:w="2093"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lastRenderedPageBreak/>
              <w:t>(Besluit)</w:t>
            </w:r>
          </w:p>
        </w:tc>
        <w:tc>
          <w:tcPr>
            <w:tcW w:w="6946"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FB71BA">
              <w:rPr>
                <w:rFonts w:asciiTheme="minorHAnsi" w:hAnsiTheme="minorHAnsi"/>
                <w:sz w:val="22"/>
                <w:szCs w:val="22"/>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FB71BA" w:rsidR="00182FFB" w:rsidP="00CB61A6" w:rsidRDefault="00182FFB">
            <w:pPr>
              <w:pStyle w:val="Voetnoottekst"/>
              <w:numPr>
                <w:ilvl w:val="0"/>
                <w:numId w:val="2"/>
              </w:numPr>
              <w:ind w:left="317" w:hanging="283"/>
              <w:rPr>
                <w:rFonts w:asciiTheme="minorHAnsi" w:hAnsiTheme="minorHAnsi"/>
                <w:sz w:val="22"/>
                <w:szCs w:val="22"/>
              </w:rPr>
            </w:pPr>
          </w:p>
        </w:tc>
      </w:tr>
      <w:tr w:rsidRPr="00FB71BA" w:rsidR="00182FFB" w:rsidTr="00CB61A6">
        <w:tc>
          <w:tcPr>
            <w:tcW w:w="14142" w:type="dxa"/>
            <w:gridSpan w:val="3"/>
          </w:tcPr>
          <w:p w:rsidRPr="00FB71BA" w:rsidR="00182FFB" w:rsidP="00CB61A6" w:rsidRDefault="00182FFB">
            <w:pPr>
              <w:pStyle w:val="Voetnoottekst"/>
              <w:rPr>
                <w:rFonts w:asciiTheme="minorHAnsi" w:hAnsiTheme="minorHAnsi"/>
                <w:i/>
                <w:sz w:val="22"/>
                <w:szCs w:val="22"/>
              </w:rPr>
            </w:pPr>
            <w:r w:rsidRPr="00FB71BA">
              <w:rPr>
                <w:rFonts w:asciiTheme="minorHAnsi" w:hAnsiTheme="minorHAnsi"/>
                <w:i/>
                <w:sz w:val="22"/>
                <w:szCs w:val="22"/>
              </w:rPr>
              <w:t>Niet-wetgevende bindende rechtshandelingen</w:t>
            </w:r>
          </w:p>
        </w:tc>
      </w:tr>
      <w:tr w:rsidRPr="00FB71BA" w:rsidR="00182FFB" w:rsidTr="00CB61A6">
        <w:tc>
          <w:tcPr>
            <w:tcW w:w="2093"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 xml:space="preserve">Gedelegeerde </w:t>
            </w:r>
            <w:r w:rsidRPr="00FB71BA">
              <w:rPr>
                <w:rFonts w:asciiTheme="minorHAnsi" w:hAnsiTheme="minorHAnsi"/>
                <w:sz w:val="22"/>
                <w:szCs w:val="22"/>
              </w:rPr>
              <w:lastRenderedPageBreak/>
              <w:t>handeling</w:t>
            </w:r>
          </w:p>
        </w:tc>
        <w:tc>
          <w:tcPr>
            <w:tcW w:w="6946"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lastRenderedPageBreak/>
              <w:t xml:space="preserve">In een wetgevingshandeling (richtlijn, verordening) kan aan de Europese </w:t>
            </w:r>
            <w:r w:rsidRPr="00FB71BA">
              <w:rPr>
                <w:rFonts w:asciiTheme="minorHAnsi" w:hAnsiTheme="minorHAnsi"/>
                <w:sz w:val="22"/>
                <w:szCs w:val="22"/>
              </w:rPr>
              <w:lastRenderedPageBreak/>
              <w:t>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Er wordt over onderhandeld door comités van nationale ambtenaren en de Europese Commissie.</w:t>
            </w:r>
          </w:p>
        </w:tc>
        <w:tc>
          <w:tcPr>
            <w:tcW w:w="5103" w:type="dxa"/>
          </w:tcPr>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 xml:space="preserve">kabinet per brief of tijdens overleg bevragen over </w:t>
            </w:r>
            <w:r w:rsidRPr="00FB71BA">
              <w:rPr>
                <w:rFonts w:asciiTheme="minorHAnsi" w:hAnsiTheme="minorHAnsi"/>
                <w:sz w:val="22"/>
                <w:szCs w:val="22"/>
              </w:rPr>
              <w:lastRenderedPageBreak/>
              <w:t>stand van zaken en appreciatie EU onderhandelingen en NL inzet.</w:t>
            </w:r>
          </w:p>
          <w:p w:rsidRPr="00FB71BA" w:rsidR="00182FFB" w:rsidP="00CB61A6" w:rsidRDefault="00182FFB">
            <w:pPr>
              <w:pStyle w:val="Voetnoottekst"/>
              <w:ind w:left="360"/>
              <w:rPr>
                <w:rFonts w:asciiTheme="minorHAnsi" w:hAnsiTheme="minorHAnsi"/>
                <w:sz w:val="22"/>
                <w:szCs w:val="22"/>
              </w:rPr>
            </w:pPr>
          </w:p>
        </w:tc>
      </w:tr>
      <w:tr w:rsidRPr="00FB71BA" w:rsidR="00182FFB" w:rsidTr="00CB61A6">
        <w:tc>
          <w:tcPr>
            <w:tcW w:w="2093" w:type="dxa"/>
          </w:tcPr>
          <w:p w:rsidRPr="00FB71BA" w:rsidR="00182FFB" w:rsidP="00CB61A6" w:rsidRDefault="00182FFB">
            <w:pPr>
              <w:pStyle w:val="Voetnoottekst"/>
              <w:rPr>
                <w:rFonts w:asciiTheme="minorHAnsi" w:hAnsiTheme="minorHAnsi"/>
                <w:sz w:val="22"/>
                <w:szCs w:val="22"/>
              </w:rPr>
            </w:pPr>
            <w:proofErr w:type="spellStart"/>
            <w:r w:rsidRPr="00FB71BA">
              <w:rPr>
                <w:rFonts w:asciiTheme="minorHAnsi" w:hAnsiTheme="minorHAnsi"/>
                <w:sz w:val="22"/>
                <w:szCs w:val="22"/>
              </w:rPr>
              <w:lastRenderedPageBreak/>
              <w:t>Uitvoerings-handeling</w:t>
            </w:r>
            <w:proofErr w:type="spellEnd"/>
          </w:p>
        </w:tc>
        <w:tc>
          <w:tcPr>
            <w:tcW w:w="6946"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en de Europese Commissie.</w:t>
            </w:r>
          </w:p>
        </w:tc>
        <w:tc>
          <w:tcPr>
            <w:tcW w:w="5103" w:type="dxa"/>
          </w:tcPr>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kabinet per brief of tijdens algemeen overleg/debat bevragen over stand van zaken en appreciatie EU onderhandelingen en NL inzet.</w:t>
            </w:r>
          </w:p>
          <w:p w:rsidRPr="00FB71BA" w:rsidR="00182FFB" w:rsidP="00CB61A6" w:rsidRDefault="00182FFB">
            <w:pPr>
              <w:numPr>
                <w:ilvl w:val="0"/>
                <w:numId w:val="1"/>
              </w:numPr>
              <w:rPr>
                <w:rFonts w:asciiTheme="minorHAnsi" w:hAnsiTheme="minorHAnsi"/>
                <w:sz w:val="22"/>
                <w:szCs w:val="22"/>
              </w:rPr>
            </w:pPr>
            <w:r w:rsidRPr="00FB71BA">
              <w:rPr>
                <w:rFonts w:asciiTheme="minorHAnsi" w:hAnsiTheme="minorHAnsi"/>
                <w:color w:val="000000"/>
                <w:sz w:val="22"/>
                <w:szCs w:val="22"/>
              </w:rPr>
              <w:t xml:space="preserve">op basis van </w:t>
            </w:r>
            <w:r w:rsidRPr="00FB71BA">
              <w:rPr>
                <w:rFonts w:asciiTheme="minorHAnsi" w:hAnsiTheme="minorHAnsi"/>
                <w:sz w:val="22"/>
                <w:szCs w:val="22"/>
              </w:rPr>
              <w:t xml:space="preserve">de </w:t>
            </w:r>
            <w:hyperlink w:history="1" r:id="rId13">
              <w:r w:rsidRPr="00FB71BA">
                <w:rPr>
                  <w:rFonts w:asciiTheme="minorHAnsi" w:hAnsiTheme="minorHAnsi"/>
                  <w:sz w:val="22"/>
                  <w:szCs w:val="22"/>
                  <w:u w:val="single"/>
                </w:rPr>
                <w:t>(gewijzigde) motie Van Gent</w:t>
              </w:r>
            </w:hyperlink>
            <w:r w:rsidRPr="00FB71BA">
              <w:rPr>
                <w:rFonts w:asciiTheme="minorHAnsi" w:hAnsiTheme="minorHAnsi"/>
                <w:color w:val="000000"/>
                <w:sz w:val="22"/>
                <w:szCs w:val="22"/>
              </w:rPr>
              <w:t xml:space="preserve"> dient het kabinet de Kamer afschriften te sturen van haar correspondentie met de Europese Commissie over de uitvoering van Europese regelgeving.</w:t>
            </w:r>
          </w:p>
        </w:tc>
      </w:tr>
      <w:tr w:rsidRPr="00FB71BA" w:rsidR="00182FFB" w:rsidTr="00CB61A6">
        <w:tc>
          <w:tcPr>
            <w:tcW w:w="2093"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Bijzondere rechtshandelingen</w:t>
            </w:r>
          </w:p>
        </w:tc>
        <w:tc>
          <w:tcPr>
            <w:tcW w:w="6946"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FB71BA" w:rsidR="00182FFB" w:rsidP="00CB61A6" w:rsidRDefault="00182FFB">
            <w:pPr>
              <w:pStyle w:val="Voetnoottekst"/>
              <w:rPr>
                <w:rFonts w:asciiTheme="minorHAnsi" w:hAnsiTheme="minorHAnsi"/>
                <w:sz w:val="22"/>
                <w:szCs w:val="22"/>
              </w:rPr>
            </w:pPr>
          </w:p>
        </w:tc>
        <w:tc>
          <w:tcPr>
            <w:tcW w:w="5103" w:type="dxa"/>
          </w:tcPr>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vragen, bespreken.</w:t>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van Europese Commissie (de ‘auteurs’) uitnodigen voor briefing/gesprek, evt. via videoconferentie</w:t>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indien het Europees Parlement een rapporteur heeft aangesteld kan deze desgewenst worden uitgenodigd voor een gesprek.</w:t>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uw commissie kan op dit onderwerp een ad-hoc rapporteur benoemen</w:t>
            </w:r>
          </w:p>
          <w:p w:rsidRPr="00FB71BA" w:rsidR="00182FFB" w:rsidP="00CB61A6" w:rsidRDefault="00182FFB">
            <w:pPr>
              <w:pStyle w:val="Voetnoottekst"/>
              <w:ind w:left="360"/>
              <w:rPr>
                <w:rFonts w:asciiTheme="minorHAnsi" w:hAnsiTheme="minorHAnsi"/>
                <w:sz w:val="22"/>
                <w:szCs w:val="22"/>
              </w:rPr>
            </w:pPr>
            <w:r w:rsidRPr="00FB71BA">
              <w:rPr>
                <w:rFonts w:asciiTheme="minorHAnsi" w:hAnsiTheme="minorHAnsi"/>
                <w:sz w:val="22"/>
                <w:szCs w:val="22"/>
              </w:rPr>
              <w:t>nationale wetgevingstraject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van richtlijn naar nationale wetgeving).</w:t>
            </w:r>
          </w:p>
        </w:tc>
      </w:tr>
      <w:tr w:rsidRPr="00FB71BA" w:rsidR="00182FFB" w:rsidTr="00CB61A6">
        <w:tc>
          <w:tcPr>
            <w:tcW w:w="14142" w:type="dxa"/>
            <w:gridSpan w:val="3"/>
          </w:tcPr>
          <w:p w:rsidRPr="00FB71BA" w:rsidR="00182FFB" w:rsidP="00CB61A6" w:rsidRDefault="00182FFB">
            <w:pPr>
              <w:pStyle w:val="Voetnoottekst"/>
              <w:rPr>
                <w:rFonts w:asciiTheme="minorHAnsi" w:hAnsiTheme="minorHAnsi"/>
                <w:i/>
                <w:sz w:val="22"/>
                <w:szCs w:val="22"/>
              </w:rPr>
            </w:pPr>
            <w:r w:rsidRPr="00FB71BA">
              <w:rPr>
                <w:rFonts w:asciiTheme="minorHAnsi" w:hAnsiTheme="minorHAnsi"/>
                <w:i/>
                <w:sz w:val="22"/>
                <w:szCs w:val="22"/>
              </w:rPr>
              <w:t>Niet-bindende handelingen (soft-</w:t>
            </w:r>
            <w:proofErr w:type="spellStart"/>
            <w:r w:rsidRPr="00FB71BA">
              <w:rPr>
                <w:rFonts w:asciiTheme="minorHAnsi" w:hAnsiTheme="minorHAnsi"/>
                <w:i/>
                <w:sz w:val="22"/>
                <w:szCs w:val="22"/>
              </w:rPr>
              <w:t>law</w:t>
            </w:r>
            <w:proofErr w:type="spellEnd"/>
            <w:r w:rsidRPr="00FB71BA">
              <w:rPr>
                <w:rFonts w:asciiTheme="minorHAnsi" w:hAnsiTheme="minorHAnsi"/>
                <w:i/>
                <w:sz w:val="22"/>
                <w:szCs w:val="22"/>
              </w:rPr>
              <w:t>)</w:t>
            </w:r>
          </w:p>
        </w:tc>
      </w:tr>
      <w:tr w:rsidRPr="00FB71BA" w:rsidR="00182FFB" w:rsidTr="00CB61A6">
        <w:tc>
          <w:tcPr>
            <w:tcW w:w="2093"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Advies, aanbeveling, mededeling</w:t>
            </w:r>
          </w:p>
          <w:p w:rsidRPr="00FB71BA" w:rsidR="00182FFB" w:rsidP="00CB61A6" w:rsidRDefault="00182FFB">
            <w:pPr>
              <w:jc w:val="right"/>
              <w:rPr>
                <w:rFonts w:asciiTheme="minorHAnsi" w:hAnsiTheme="minorHAnsi"/>
                <w:sz w:val="22"/>
                <w:szCs w:val="22"/>
              </w:rPr>
            </w:pPr>
          </w:p>
          <w:p w:rsidRPr="00FB71BA" w:rsidR="00182FFB" w:rsidP="00CB61A6" w:rsidRDefault="00182FFB">
            <w:pPr>
              <w:jc w:val="right"/>
              <w:rPr>
                <w:rFonts w:asciiTheme="minorHAnsi" w:hAnsiTheme="minorHAnsi"/>
                <w:sz w:val="22"/>
                <w:szCs w:val="22"/>
              </w:rPr>
            </w:pPr>
          </w:p>
          <w:p w:rsidRPr="00FB71BA" w:rsidR="00182FFB" w:rsidP="00CB61A6" w:rsidRDefault="00182FFB">
            <w:pPr>
              <w:jc w:val="right"/>
              <w:rPr>
                <w:rFonts w:asciiTheme="minorHAnsi" w:hAnsiTheme="minorHAnsi"/>
                <w:sz w:val="22"/>
                <w:szCs w:val="22"/>
              </w:rPr>
            </w:pPr>
          </w:p>
          <w:p w:rsidRPr="00FB71BA" w:rsidR="00182FFB" w:rsidP="00CB61A6" w:rsidRDefault="00182FFB">
            <w:pPr>
              <w:jc w:val="right"/>
              <w:rPr>
                <w:rFonts w:asciiTheme="minorHAnsi" w:hAnsiTheme="minorHAnsi"/>
                <w:sz w:val="22"/>
                <w:szCs w:val="22"/>
              </w:rPr>
            </w:pPr>
          </w:p>
          <w:p w:rsidRPr="00FB71BA" w:rsidR="00182FFB" w:rsidP="00CB61A6" w:rsidRDefault="00182FFB">
            <w:pPr>
              <w:jc w:val="right"/>
              <w:rPr>
                <w:rFonts w:asciiTheme="minorHAnsi" w:hAnsiTheme="minorHAnsi"/>
                <w:sz w:val="22"/>
                <w:szCs w:val="22"/>
              </w:rPr>
            </w:pPr>
          </w:p>
        </w:tc>
        <w:tc>
          <w:tcPr>
            <w:tcW w:w="6946" w:type="dxa"/>
          </w:tcPr>
          <w:p w:rsidRPr="00FB71BA" w:rsidR="00182FFB" w:rsidP="00CB61A6" w:rsidRDefault="00182FFB">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lastRenderedPageBreak/>
              <w:t xml:space="preserve">De EU kent een grote hoeveelheid uiteenlopende typen beleid (‘soft </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xml:space="preserve">’)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w:t>
            </w:r>
            <w:r w:rsidRPr="00FB71BA">
              <w:rPr>
                <w:rFonts w:asciiTheme="minorHAnsi" w:hAnsiTheme="minorHAnsi"/>
                <w:sz w:val="22"/>
                <w:szCs w:val="22"/>
              </w:rPr>
              <w:lastRenderedPageBreak/>
              <w:t>Daarnaast moet bij de toepassing van het ‘harde’ Unierecht gekeken worden naar soft-</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xml:space="preserve">. </w:t>
            </w:r>
          </w:p>
        </w:tc>
        <w:tc>
          <w:tcPr>
            <w:tcW w:w="5103" w:type="dxa"/>
          </w:tcPr>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om appreciatie in de vorm van BNC-fiche verzoeken aangezien over deze categorie niet standaard een fiche wordt gemaakt.</w:t>
            </w:r>
          </w:p>
          <w:p w:rsidRPr="00FB71BA" w:rsidR="00182FFB" w:rsidP="00CB61A6" w:rsidRDefault="00182FFB">
            <w:pPr>
              <w:pStyle w:val="Voetnoottekst"/>
              <w:rPr>
                <w:rFonts w:asciiTheme="minorHAnsi" w:hAnsiTheme="minorHAnsi"/>
                <w:sz w:val="22"/>
                <w:szCs w:val="22"/>
              </w:rPr>
            </w:pPr>
          </w:p>
          <w:p w:rsidRPr="00FB71BA" w:rsidR="00182FFB" w:rsidP="00CB61A6" w:rsidRDefault="00182FFB">
            <w:pPr>
              <w:pStyle w:val="Voetnoottekst"/>
              <w:rPr>
                <w:rFonts w:asciiTheme="minorHAnsi" w:hAnsiTheme="minorHAnsi"/>
                <w:sz w:val="22"/>
                <w:szCs w:val="22"/>
              </w:rPr>
            </w:pPr>
          </w:p>
          <w:p w:rsidRPr="00FB71BA" w:rsidR="00182FFB" w:rsidP="00CB61A6" w:rsidRDefault="00182FFB">
            <w:pPr>
              <w:pStyle w:val="Voetnoottekst"/>
              <w:rPr>
                <w:rFonts w:asciiTheme="minorHAnsi" w:hAnsiTheme="minorHAnsi"/>
                <w:sz w:val="22"/>
                <w:szCs w:val="22"/>
              </w:rPr>
            </w:pPr>
          </w:p>
          <w:p w:rsidRPr="00FB71BA" w:rsidR="00182FFB" w:rsidP="00CB61A6" w:rsidRDefault="00182FFB">
            <w:pPr>
              <w:pStyle w:val="Voetnoottekst"/>
              <w:rPr>
                <w:rFonts w:asciiTheme="minorHAnsi" w:hAnsiTheme="minorHAnsi"/>
                <w:sz w:val="22"/>
                <w:szCs w:val="22"/>
              </w:rPr>
            </w:pPr>
          </w:p>
          <w:p w:rsidRPr="00FB71BA" w:rsidR="00182FFB" w:rsidP="00CB61A6" w:rsidRDefault="00182FFB">
            <w:pPr>
              <w:pStyle w:val="Voetnoottekst"/>
              <w:rPr>
                <w:rFonts w:asciiTheme="minorHAnsi" w:hAnsiTheme="minorHAnsi"/>
                <w:sz w:val="22"/>
                <w:szCs w:val="22"/>
              </w:rPr>
            </w:pPr>
          </w:p>
        </w:tc>
      </w:tr>
      <w:tr w:rsidRPr="00FB71BA" w:rsidR="00182FFB" w:rsidTr="00CB61A6">
        <w:tc>
          <w:tcPr>
            <w:tcW w:w="14142" w:type="dxa"/>
            <w:gridSpan w:val="3"/>
          </w:tcPr>
          <w:p w:rsidRPr="00FB71BA" w:rsidR="00182FFB" w:rsidP="00CB61A6" w:rsidRDefault="00182FFB">
            <w:pPr>
              <w:pStyle w:val="Voetnoottekst"/>
              <w:rPr>
                <w:rFonts w:asciiTheme="minorHAnsi" w:hAnsiTheme="minorHAnsi"/>
                <w:i/>
                <w:sz w:val="22"/>
                <w:szCs w:val="22"/>
              </w:rPr>
            </w:pPr>
            <w:r w:rsidRPr="00FB71BA">
              <w:rPr>
                <w:rFonts w:asciiTheme="minorHAnsi" w:hAnsiTheme="minorHAnsi"/>
                <w:i/>
                <w:sz w:val="22"/>
                <w:szCs w:val="22"/>
              </w:rPr>
              <w:lastRenderedPageBreak/>
              <w:t xml:space="preserve">Overige handelingen en instrumenten </w:t>
            </w:r>
          </w:p>
        </w:tc>
      </w:tr>
      <w:tr w:rsidRPr="00FB71BA" w:rsidR="00182FFB" w:rsidTr="00CB61A6">
        <w:tc>
          <w:tcPr>
            <w:tcW w:w="2093"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 xml:space="preserve">Routekaart, actieplannen, strategie, agenda </w:t>
            </w:r>
          </w:p>
        </w:tc>
        <w:tc>
          <w:tcPr>
            <w:tcW w:w="6946" w:type="dxa"/>
          </w:tcPr>
          <w:p w:rsidRPr="00FB71BA" w:rsidR="00182FFB" w:rsidP="00CB61A6" w:rsidRDefault="00182FFB">
            <w:pPr>
              <w:pStyle w:val="Voetnoottekst"/>
              <w:rPr>
                <w:rFonts w:asciiTheme="minorHAnsi" w:hAnsiTheme="minorHAnsi"/>
                <w:sz w:val="22"/>
                <w:szCs w:val="22"/>
              </w:rPr>
            </w:pPr>
            <w:r w:rsidRPr="00FB71BA">
              <w:rPr>
                <w:rFonts w:cs="Arial" w:asciiTheme="minorHAnsi" w:hAnsiTheme="minorHAnsi"/>
                <w:sz w:val="22"/>
                <w:szCs w:val="22"/>
              </w:rPr>
              <w:t xml:space="preserve">Via routekaarten, actieplannen, strategieën en agenda’s informeert de Europese Commissie belanghebbenden en burgers over nieuwe initiatieven, evaluaties en geschiktheidscontroles. In deze documenten </w:t>
            </w:r>
            <w:r w:rsidRPr="00FB71BA">
              <w:rPr>
                <w:rStyle w:val="Zwaar"/>
                <w:rFonts w:cs="Arial" w:asciiTheme="minorHAnsi" w:hAnsiTheme="minorHAnsi"/>
                <w:sz w:val="22"/>
                <w:szCs w:val="22"/>
              </w:rPr>
              <w:t>voor nieuwe initiatieven</w:t>
            </w:r>
            <w:r w:rsidRPr="00FB71BA">
              <w:rPr>
                <w:rFonts w:cs="Arial" w:asciiTheme="minorHAnsi" w:hAnsiTheme="minorHAnsi"/>
                <w:sz w:val="22"/>
                <w:szCs w:val="22"/>
              </w:rPr>
              <w:t xml:space="preserve"> wordt uitgelegd wat het probleem is, wat de Commissie wil bereiken, waarom juist de EU maatregelen moet nemen, wat de toegevoegde waarde is en welke alternatieven er zijn. In deze documenten</w:t>
            </w:r>
            <w:r w:rsidRPr="00FB71BA">
              <w:rPr>
                <w:rStyle w:val="Zwaar"/>
                <w:rFonts w:cs="Arial" w:asciiTheme="minorHAnsi" w:hAnsiTheme="minorHAnsi"/>
                <w:sz w:val="22"/>
                <w:szCs w:val="22"/>
              </w:rPr>
              <w:t xml:space="preserve"> voor evaluaties en geschiktheidscontroles</w:t>
            </w:r>
            <w:r w:rsidRPr="00FB71BA">
              <w:rPr>
                <w:rFonts w:cs="Arial" w:asciiTheme="minorHAnsi" w:hAnsiTheme="minorHAnsi"/>
                <w:sz w:val="22"/>
                <w:szCs w:val="22"/>
              </w:rPr>
              <w:t xml:space="preserve"> wordt bepaald wat er geëvalueerd moet worden en welke aspecten moeten worden onderzocht. </w:t>
            </w:r>
          </w:p>
        </w:tc>
        <w:tc>
          <w:tcPr>
            <w:tcW w:w="5103" w:type="dxa"/>
          </w:tcPr>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kabinet om appreciatie in de vorm van BNC-fiche verzoeken aangezien over deze categorie niet standaard een fiche wordt gemaakt</w:t>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en/of kabinet vragen om NL inzet (per commissiebrief of tijdens algemeen overleg/debat).</w:t>
            </w:r>
          </w:p>
        </w:tc>
      </w:tr>
      <w:tr w:rsidRPr="00FB71BA" w:rsidR="00182FFB" w:rsidTr="00CB61A6">
        <w:tc>
          <w:tcPr>
            <w:tcW w:w="2093"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Groen- en witboek</w:t>
            </w:r>
          </w:p>
        </w:tc>
        <w:tc>
          <w:tcPr>
            <w:tcW w:w="6946"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 xml:space="preserve">Groenboek: een discussiestuk, waarmee de Europese Commissie de stand van zaken inventariseert omtrent een onderwerp. Ook doet ze aanbevelingen voor nieuw beleid. </w:t>
            </w:r>
          </w:p>
          <w:p w:rsidRPr="00FB71BA" w:rsidR="00182FFB" w:rsidP="00CB61A6" w:rsidRDefault="00182FFB">
            <w:pPr>
              <w:pStyle w:val="Voetnoottekst"/>
              <w:rPr>
                <w:rFonts w:asciiTheme="minorHAnsi" w:hAnsiTheme="minorHAnsi"/>
                <w:sz w:val="22"/>
                <w:szCs w:val="22"/>
              </w:rPr>
            </w:pPr>
          </w:p>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Witboek: hierin zet de Europese Commissie uiteen hoe zij bepaalde doelen wil bereiken. Vaak worden in een witboek al concrete voorstellen uitgewerkt en toegelicht.</w:t>
            </w:r>
          </w:p>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 xml:space="preserve">De Europese Commissie nodigt overheden, nationale parlementen en andere organisaties uit om binnen een bepaalde termijn op een Groen- of Witboek te reageren. </w:t>
            </w:r>
          </w:p>
        </w:tc>
        <w:tc>
          <w:tcPr>
            <w:tcW w:w="5103" w:type="dxa"/>
          </w:tcPr>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desgewenst ambtenaren EC of Europees Commissaris uitnodigen voor een toelichting.</w:t>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in commissieverband (via schriftelijke inbreng in de vorm van een politieke dialoog) of als lid, burger of via fracties een reactie sturen aan de Europese Commissie.</w:t>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FB71BA" w:rsidR="00182FFB" w:rsidTr="00CB61A6">
        <w:tc>
          <w:tcPr>
            <w:tcW w:w="2093"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Openbare raadpleging (consultatie)</w:t>
            </w:r>
          </w:p>
        </w:tc>
        <w:tc>
          <w:tcPr>
            <w:tcW w:w="6946" w:type="dxa"/>
          </w:tcPr>
          <w:p w:rsidRPr="00FB71BA" w:rsidR="00182FFB" w:rsidP="00CB61A6" w:rsidRDefault="00182FFB">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FB71BA">
                <w:rPr>
                  <w:rStyle w:val="Hyperlink"/>
                  <w:rFonts w:asciiTheme="minorHAnsi" w:hAnsiTheme="minorHAnsi"/>
                  <w:sz w:val="22"/>
                  <w:szCs w:val="22"/>
                </w:rPr>
                <w:t>Bekijk alle openbare raadplegingen op "Uw stem in Europa"</w:t>
              </w:r>
            </w:hyperlink>
            <w:r w:rsidRPr="00FB71BA">
              <w:rPr>
                <w:rFonts w:asciiTheme="minorHAnsi" w:hAnsiTheme="minorHAnsi"/>
                <w:sz w:val="22"/>
                <w:szCs w:val="22"/>
              </w:rPr>
              <w:t xml:space="preserve"> . </w:t>
            </w:r>
          </w:p>
        </w:tc>
        <w:tc>
          <w:tcPr>
            <w:tcW w:w="5103" w:type="dxa"/>
          </w:tcPr>
          <w:p w:rsidRPr="00FB71BA" w:rsidR="00182FFB" w:rsidP="00CB61A6" w:rsidRDefault="00182FFB">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als burger, lid, fractie of in commissieverband (via schriftelijke inbreng in de vorm van een politieke dialoog). meedoen aan de openbare raadpleging.</w:t>
            </w:r>
          </w:p>
          <w:p w:rsidRPr="00FB71BA" w:rsidR="00182FFB" w:rsidP="00CB61A6" w:rsidRDefault="00182FFB">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kabinet verzoeken om de concept-kabinetsreactie naar de Kamer te sturen voordat de definitieve versie naar de Europese Commissie wordt gestuurd, teneinde desgewenst hierover met de </w:t>
            </w:r>
            <w:r w:rsidRPr="00FB71BA">
              <w:rPr>
                <w:rFonts w:asciiTheme="minorHAnsi" w:hAnsiTheme="minorHAnsi"/>
                <w:sz w:val="22"/>
                <w:szCs w:val="22"/>
              </w:rPr>
              <w:lastRenderedPageBreak/>
              <w:t>bewindspersoon in gesprek te treden.</w:t>
            </w:r>
          </w:p>
          <w:p w:rsidRPr="00FB71BA" w:rsidR="00182FFB" w:rsidP="00CB61A6" w:rsidRDefault="00182FFB">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de Kamer ontvangt krachtens de standaard-informatieafspraken de definitieve kabinetsreactie op alle consultaties van de Europese Commissie waarop het kabinet reageert.</w:t>
            </w:r>
          </w:p>
        </w:tc>
      </w:tr>
      <w:tr w:rsidRPr="00FB71BA" w:rsidR="00182FFB" w:rsidTr="00CB61A6">
        <w:tc>
          <w:tcPr>
            <w:tcW w:w="14142" w:type="dxa"/>
            <w:gridSpan w:val="3"/>
          </w:tcPr>
          <w:p w:rsidRPr="00FB71BA" w:rsidR="00182FFB" w:rsidP="00CB61A6" w:rsidRDefault="00182FFB">
            <w:pPr>
              <w:pStyle w:val="Voetnoottekst"/>
              <w:rPr>
                <w:rFonts w:asciiTheme="minorHAnsi" w:hAnsiTheme="minorHAnsi"/>
                <w:i/>
                <w:sz w:val="22"/>
                <w:szCs w:val="22"/>
              </w:rPr>
            </w:pPr>
            <w:r w:rsidRPr="00FB71BA">
              <w:rPr>
                <w:rFonts w:asciiTheme="minorHAnsi" w:hAnsiTheme="minorHAnsi"/>
                <w:i/>
                <w:sz w:val="22"/>
                <w:szCs w:val="22"/>
              </w:rPr>
              <w:lastRenderedPageBreak/>
              <w:t>Uitgelicht: twee specifieke parlementaire instrumenten bij nieuw gepubliceerde EU-voorstellen</w:t>
            </w:r>
          </w:p>
        </w:tc>
      </w:tr>
      <w:tr w:rsidRPr="00FB71BA" w:rsidR="00182FFB" w:rsidTr="00CB61A6">
        <w:tc>
          <w:tcPr>
            <w:tcW w:w="2093"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 xml:space="preserve">Subsidiariteitstoets </w:t>
            </w:r>
          </w:p>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(richting EU)</w:t>
            </w:r>
          </w:p>
        </w:tc>
        <w:tc>
          <w:tcPr>
            <w:tcW w:w="6946" w:type="dxa"/>
          </w:tcPr>
          <w:p w:rsidRPr="00FB71BA" w:rsidR="00182FFB" w:rsidP="00CB61A6" w:rsidRDefault="00182FFB">
            <w:pPr>
              <w:pStyle w:val="Lijstalinea"/>
              <w:ind w:left="0"/>
              <w:rPr>
                <w:rFonts w:asciiTheme="minorHAnsi" w:hAnsiTheme="minorHAnsi"/>
                <w:sz w:val="22"/>
                <w:szCs w:val="22"/>
              </w:rPr>
            </w:pPr>
            <w:r w:rsidRPr="00FB71BA">
              <w:rPr>
                <w:rFonts w:asciiTheme="minorHAnsi" w:hAnsiTheme="minorHAnsi"/>
                <w:sz w:val="22"/>
                <w:szCs w:val="22"/>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FB71BA">
              <w:rPr>
                <w:rFonts w:asciiTheme="minorHAnsi" w:hAnsiTheme="minorHAnsi" w:cstheme="minorHAnsi"/>
                <w:color w:val="000000" w:themeColor="text1"/>
                <w:sz w:val="22"/>
                <w:szCs w:val="22"/>
              </w:rPr>
              <w:t xml:space="preserve">Elk parlement krijgt 2 stemmen, maar bij een </w:t>
            </w:r>
            <w:proofErr w:type="spellStart"/>
            <w:r w:rsidRPr="00FB71BA">
              <w:rPr>
                <w:rFonts w:asciiTheme="minorHAnsi" w:hAnsiTheme="minorHAnsi" w:cstheme="minorHAnsi"/>
                <w:color w:val="000000" w:themeColor="text1"/>
                <w:sz w:val="22"/>
                <w:szCs w:val="22"/>
              </w:rPr>
              <w:t>bicameraal</w:t>
            </w:r>
            <w:proofErr w:type="spellEnd"/>
            <w:r w:rsidRPr="00FB71BA">
              <w:rPr>
                <w:rFonts w:asciiTheme="minorHAnsi" w:hAnsiTheme="minorHAnsi" w:cstheme="minorHAnsi"/>
                <w:color w:val="000000" w:themeColor="text1"/>
                <w:sz w:val="22"/>
                <w:szCs w:val="22"/>
              </w:rPr>
              <w:t xml:space="preserve"> stelsel, zoals in Nederland, krijgt elke kamer 1 stem</w:t>
            </w:r>
            <w:r w:rsidRPr="00FB71BA">
              <w:rPr>
                <w:rFonts w:asciiTheme="minorHAnsi" w:hAnsiTheme="minorHAnsi"/>
                <w:sz w:val="22"/>
                <w:szCs w:val="22"/>
              </w:rPr>
              <w:t>.</w:t>
            </w:r>
            <w:r w:rsidRPr="00FB71BA">
              <w:rPr>
                <w:rFonts w:asciiTheme="minorHAnsi" w:hAnsiTheme="minorHAnsi" w:cstheme="minorHAnsi"/>
                <w:color w:val="000000" w:themeColor="text1"/>
                <w:sz w:val="22"/>
                <w:szCs w:val="22"/>
              </w:rPr>
              <w:t xml:space="preserve"> Om een gele kaart te trekken moeten er 19 stemmen worden gehaald.</w:t>
            </w:r>
          </w:p>
        </w:tc>
        <w:tc>
          <w:tcPr>
            <w:tcW w:w="5103" w:type="dxa"/>
          </w:tcPr>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bij wetgevende EU-voorstellen kan een Kamercommissie besluiten tot het uitvoeren van een subsidiariteitstoets. Let op: dit moet binnen acht weken na het uitkomen van alle taalversies van het voorstel.</w:t>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komt voor aangekondigde subsidiariteitstoetsen binnen drie weken t.b.v. een snelle behandeling.</w:t>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met andere parlementen in overleg treden t.b.v. behalen meerderheid voor ’gele kaart’ (1/3 stemmen) via parlementaire vertegenwoordiging en/of fractielijnen. </w:t>
            </w:r>
          </w:p>
        </w:tc>
      </w:tr>
      <w:tr w:rsidRPr="00FB71BA" w:rsidR="00182FFB" w:rsidTr="00CB61A6">
        <w:tc>
          <w:tcPr>
            <w:tcW w:w="2093" w:type="dxa"/>
          </w:tcPr>
          <w:p w:rsidRPr="00FB71BA" w:rsidR="00182FFB" w:rsidP="00CB61A6" w:rsidRDefault="00182FFB">
            <w:pPr>
              <w:pStyle w:val="Voetnoottekst"/>
              <w:rPr>
                <w:rFonts w:asciiTheme="minorHAnsi" w:hAnsiTheme="minorHAnsi"/>
                <w:sz w:val="22"/>
                <w:szCs w:val="22"/>
              </w:rPr>
            </w:pPr>
            <w:r w:rsidRPr="00FB71BA">
              <w:rPr>
                <w:rFonts w:asciiTheme="minorHAnsi" w:hAnsiTheme="minorHAnsi"/>
                <w:sz w:val="22"/>
                <w:szCs w:val="22"/>
              </w:rPr>
              <w:t>Behandel-voorbehoud (richting regering)</w:t>
            </w:r>
          </w:p>
        </w:tc>
        <w:tc>
          <w:tcPr>
            <w:tcW w:w="6946" w:type="dxa"/>
          </w:tcPr>
          <w:p w:rsidRPr="00FB71BA" w:rsidR="00182FFB" w:rsidP="00CB61A6" w:rsidRDefault="00182FFB">
            <w:pPr>
              <w:pStyle w:val="Lijstalinea"/>
              <w:ind w:left="34"/>
              <w:rPr>
                <w:rFonts w:asciiTheme="minorHAnsi" w:hAnsiTheme="minorHAnsi"/>
                <w:sz w:val="22"/>
                <w:szCs w:val="22"/>
              </w:rPr>
            </w:pPr>
            <w:r w:rsidRPr="00FB71BA">
              <w:rPr>
                <w:rFonts w:asciiTheme="minorHAnsi" w:hAnsiTheme="minorHAnsi"/>
                <w:sz w:val="22"/>
                <w:szCs w:val="22"/>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bij wetgevende EU-voorstellen kan een commissie besluiten tot het uitvoeren van een zgn. ‘behandelvoorbehoud’. Over deze brief moet plenair gestemd worden (let op de termijnen).</w:t>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tijdens een speciaal overleg kan de commissie afspraken maken over informatieverstrekking (bv. in kwartaalrapportages) zolang het desbetreffende dossier in onderhandeling is.</w:t>
            </w:r>
          </w:p>
          <w:p w:rsidRPr="00FB71BA" w:rsidR="00182FFB" w:rsidP="00CB61A6" w:rsidRDefault="00182FFB">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kabinetsappreciatie (‘BNC-fiche’) komt voor aangekondigde </w:t>
            </w:r>
            <w:proofErr w:type="spellStart"/>
            <w:r w:rsidRPr="00FB71BA">
              <w:rPr>
                <w:rFonts w:asciiTheme="minorHAnsi" w:hAnsiTheme="minorHAnsi"/>
                <w:sz w:val="22"/>
                <w:szCs w:val="22"/>
              </w:rPr>
              <w:t>behandelvoorbehouden</w:t>
            </w:r>
            <w:proofErr w:type="spellEnd"/>
            <w:r w:rsidRPr="00FB71BA">
              <w:rPr>
                <w:rFonts w:asciiTheme="minorHAnsi" w:hAnsiTheme="minorHAnsi"/>
                <w:sz w:val="22"/>
                <w:szCs w:val="22"/>
              </w:rPr>
              <w:t xml:space="preserve"> binnen drie weken t.b.v. een snelle behandeling.</w:t>
            </w:r>
          </w:p>
          <w:p w:rsidRPr="00FB71BA" w:rsidR="00182FFB" w:rsidP="00CB61A6" w:rsidRDefault="00182FFB">
            <w:pPr>
              <w:pStyle w:val="Voetnoottekst"/>
              <w:rPr>
                <w:rFonts w:asciiTheme="minorHAnsi" w:hAnsiTheme="minorHAnsi"/>
                <w:sz w:val="22"/>
                <w:szCs w:val="22"/>
              </w:rPr>
            </w:pPr>
          </w:p>
        </w:tc>
      </w:tr>
    </w:tbl>
    <w:p w:rsidRPr="00FB71BA" w:rsidR="00182FFB" w:rsidP="00182FFB" w:rsidRDefault="00182FFB">
      <w:pPr>
        <w:rPr>
          <w:rFonts w:asciiTheme="minorHAnsi" w:hAnsiTheme="minorHAnsi"/>
          <w:sz w:val="22"/>
          <w:szCs w:val="22"/>
        </w:rPr>
      </w:pPr>
    </w:p>
    <w:p w:rsidRPr="00FB71BA" w:rsidR="00182FFB" w:rsidP="00182FFB" w:rsidRDefault="00182FFB">
      <w:pPr>
        <w:rPr>
          <w:rFonts w:asciiTheme="minorHAnsi" w:hAnsiTheme="minorHAnsi"/>
          <w:sz w:val="22"/>
          <w:szCs w:val="22"/>
        </w:rPr>
      </w:pPr>
    </w:p>
    <w:p w:rsidRPr="00FB71BA" w:rsidR="00182FFB" w:rsidP="00182FFB" w:rsidRDefault="00182FFB">
      <w:pPr>
        <w:rPr>
          <w:rFonts w:asciiTheme="minorHAnsi" w:hAnsiTheme="minorHAnsi"/>
          <w:sz w:val="22"/>
          <w:szCs w:val="22"/>
        </w:rPr>
      </w:pPr>
    </w:p>
    <w:p w:rsidR="00182FFB" w:rsidP="00182FFB" w:rsidRDefault="00182FFB"/>
    <w:p w:rsidR="00182FFB" w:rsidP="00182FFB" w:rsidRDefault="00182FFB"/>
    <w:p w:rsidR="00182FFB" w:rsidP="00182FFB" w:rsidRDefault="00182FFB"/>
    <w:p w:rsidR="009C6562" w:rsidRDefault="009C6562"/>
    <w:sectPr w:rsidR="009C6562" w:rsidSect="000024F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F85" w:rsidRDefault="000D0F85" w:rsidP="00182FFB">
      <w:r>
        <w:separator/>
      </w:r>
    </w:p>
  </w:endnote>
  <w:endnote w:type="continuationSeparator" w:id="0">
    <w:p w:rsidR="000D0F85" w:rsidRDefault="000D0F85" w:rsidP="00182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F85" w:rsidRDefault="000D0F85" w:rsidP="00182FFB">
      <w:r>
        <w:separator/>
      </w:r>
    </w:p>
  </w:footnote>
  <w:footnote w:type="continuationSeparator" w:id="0">
    <w:p w:rsidR="000D0F85" w:rsidRDefault="000D0F85" w:rsidP="00182FFB">
      <w:r>
        <w:continuationSeparator/>
      </w:r>
    </w:p>
  </w:footnote>
  <w:footnote w:id="1">
    <w:p w:rsidR="00182FFB" w:rsidRPr="00B45904" w:rsidRDefault="00182FFB" w:rsidP="00182FFB">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t>Krachtens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2731134"/>
    <w:multiLevelType w:val="hybridMultilevel"/>
    <w:tmpl w:val="4F722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FFB"/>
    <w:rsid w:val="000D0F85"/>
    <w:rsid w:val="000E3699"/>
    <w:rsid w:val="00182FFB"/>
    <w:rsid w:val="001D62A7"/>
    <w:rsid w:val="003E16E1"/>
    <w:rsid w:val="0040373A"/>
    <w:rsid w:val="00433D6E"/>
    <w:rsid w:val="0048348A"/>
    <w:rsid w:val="00771328"/>
    <w:rsid w:val="00781966"/>
    <w:rsid w:val="007F34B0"/>
    <w:rsid w:val="00967E0A"/>
    <w:rsid w:val="009A47EA"/>
    <w:rsid w:val="009C6562"/>
    <w:rsid w:val="00C44A84"/>
    <w:rsid w:val="00CC156A"/>
    <w:rsid w:val="00E0209B"/>
    <w:rsid w:val="00EA04E2"/>
    <w:rsid w:val="00F70B59"/>
    <w:rsid w:val="00F917AD"/>
    <w:rsid w:val="00FB5728"/>
    <w:rsid w:val="00FC14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82FF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82FFB"/>
    <w:rPr>
      <w:color w:val="0000FF"/>
      <w:u w:val="single"/>
    </w:rPr>
  </w:style>
  <w:style w:type="character" w:styleId="Zwaar">
    <w:name w:val="Strong"/>
    <w:basedOn w:val="Standaardalinea-lettertype"/>
    <w:uiPriority w:val="22"/>
    <w:qFormat/>
    <w:rsid w:val="00182FFB"/>
    <w:rPr>
      <w:b/>
      <w:bCs/>
    </w:rPr>
  </w:style>
  <w:style w:type="paragraph" w:styleId="Voetnoottekst">
    <w:name w:val="footnote text"/>
    <w:basedOn w:val="Standaard"/>
    <w:link w:val="VoetnoottekstChar"/>
    <w:rsid w:val="00182FFB"/>
    <w:rPr>
      <w:sz w:val="20"/>
      <w:szCs w:val="20"/>
    </w:rPr>
  </w:style>
  <w:style w:type="character" w:customStyle="1" w:styleId="VoetnoottekstChar">
    <w:name w:val="Voetnoottekst Char"/>
    <w:basedOn w:val="Standaardalinea-lettertype"/>
    <w:link w:val="Voetnoottekst"/>
    <w:rsid w:val="00182FFB"/>
  </w:style>
  <w:style w:type="table" w:styleId="Tabelraster">
    <w:name w:val="Table Grid"/>
    <w:basedOn w:val="Standaardtabel"/>
    <w:rsid w:val="00182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82FFB"/>
    <w:pPr>
      <w:ind w:left="720"/>
    </w:pPr>
    <w:rPr>
      <w:rFonts w:eastAsiaTheme="minorHAnsi"/>
    </w:rPr>
  </w:style>
  <w:style w:type="character" w:styleId="Voetnootmarkering">
    <w:name w:val="footnote reference"/>
    <w:basedOn w:val="Standaardalinea-lettertype"/>
    <w:uiPriority w:val="99"/>
    <w:rsid w:val="00182FFB"/>
    <w:rPr>
      <w:vertAlign w:val="superscript"/>
    </w:rPr>
  </w:style>
  <w:style w:type="character" w:styleId="GevolgdeHyperlink">
    <w:name w:val="FollowedHyperlink"/>
    <w:basedOn w:val="Standaardalinea-lettertype"/>
    <w:rsid w:val="001D62A7"/>
    <w:rPr>
      <w:color w:val="800080" w:themeColor="followedHyperlink"/>
      <w:u w:val="single"/>
    </w:rPr>
  </w:style>
  <w:style w:type="paragraph" w:styleId="Ballontekst">
    <w:name w:val="Balloon Text"/>
    <w:basedOn w:val="Standaard"/>
    <w:link w:val="BallontekstChar"/>
    <w:rsid w:val="00EA04E2"/>
    <w:rPr>
      <w:rFonts w:ascii="Tahoma" w:hAnsi="Tahoma" w:cs="Tahoma"/>
      <w:sz w:val="16"/>
      <w:szCs w:val="16"/>
    </w:rPr>
  </w:style>
  <w:style w:type="character" w:customStyle="1" w:styleId="BallontekstChar">
    <w:name w:val="Ballontekst Char"/>
    <w:basedOn w:val="Standaardalinea-lettertype"/>
    <w:link w:val="Ballontekst"/>
    <w:rsid w:val="00EA04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82FFB"/>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82FFB"/>
    <w:rPr>
      <w:color w:val="0000FF"/>
      <w:u w:val="single"/>
    </w:rPr>
  </w:style>
  <w:style w:type="character" w:styleId="Zwaar">
    <w:name w:val="Strong"/>
    <w:basedOn w:val="Standaardalinea-lettertype"/>
    <w:uiPriority w:val="22"/>
    <w:qFormat/>
    <w:rsid w:val="00182FFB"/>
    <w:rPr>
      <w:b/>
      <w:bCs/>
    </w:rPr>
  </w:style>
  <w:style w:type="paragraph" w:styleId="Voetnoottekst">
    <w:name w:val="footnote text"/>
    <w:basedOn w:val="Standaard"/>
    <w:link w:val="VoetnoottekstChar"/>
    <w:rsid w:val="00182FFB"/>
    <w:rPr>
      <w:sz w:val="20"/>
      <w:szCs w:val="20"/>
    </w:rPr>
  </w:style>
  <w:style w:type="character" w:customStyle="1" w:styleId="VoetnoottekstChar">
    <w:name w:val="Voetnoottekst Char"/>
    <w:basedOn w:val="Standaardalinea-lettertype"/>
    <w:link w:val="Voetnoottekst"/>
    <w:rsid w:val="00182FFB"/>
  </w:style>
  <w:style w:type="table" w:styleId="Tabelraster">
    <w:name w:val="Table Grid"/>
    <w:basedOn w:val="Standaardtabel"/>
    <w:rsid w:val="00182F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82FFB"/>
    <w:pPr>
      <w:ind w:left="720"/>
    </w:pPr>
    <w:rPr>
      <w:rFonts w:eastAsiaTheme="minorHAnsi"/>
    </w:rPr>
  </w:style>
  <w:style w:type="character" w:styleId="Voetnootmarkering">
    <w:name w:val="footnote reference"/>
    <w:basedOn w:val="Standaardalinea-lettertype"/>
    <w:uiPriority w:val="99"/>
    <w:rsid w:val="00182FFB"/>
    <w:rPr>
      <w:vertAlign w:val="superscript"/>
    </w:rPr>
  </w:style>
  <w:style w:type="character" w:styleId="GevolgdeHyperlink">
    <w:name w:val="FollowedHyperlink"/>
    <w:basedOn w:val="Standaardalinea-lettertype"/>
    <w:rsid w:val="001D62A7"/>
    <w:rPr>
      <w:color w:val="800080" w:themeColor="followedHyperlink"/>
      <w:u w:val="single"/>
    </w:rPr>
  </w:style>
  <w:style w:type="paragraph" w:styleId="Ballontekst">
    <w:name w:val="Balloon Text"/>
    <w:basedOn w:val="Standaard"/>
    <w:link w:val="BallontekstChar"/>
    <w:rsid w:val="00EA04E2"/>
    <w:rPr>
      <w:rFonts w:ascii="Tahoma" w:hAnsi="Tahoma" w:cs="Tahoma"/>
      <w:sz w:val="16"/>
      <w:szCs w:val="16"/>
    </w:rPr>
  </w:style>
  <w:style w:type="character" w:customStyle="1" w:styleId="BallontekstChar">
    <w:name w:val="Ballontekst Char"/>
    <w:basedOn w:val="Standaardalinea-lettertype"/>
    <w:link w:val="Ballontekst"/>
    <w:rsid w:val="00EA04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6243">
      <w:bodyDiv w:val="1"/>
      <w:marLeft w:val="0"/>
      <w:marRight w:val="0"/>
      <w:marTop w:val="0"/>
      <w:marBottom w:val="0"/>
      <w:divBdr>
        <w:top w:val="none" w:sz="0" w:space="0" w:color="auto"/>
        <w:left w:val="none" w:sz="0" w:space="0" w:color="auto"/>
        <w:bottom w:val="none" w:sz="0" w:space="0" w:color="auto"/>
        <w:right w:val="none" w:sz="0" w:space="0" w:color="auto"/>
      </w:divBdr>
    </w:div>
    <w:div w:id="267351440">
      <w:bodyDiv w:val="1"/>
      <w:marLeft w:val="0"/>
      <w:marRight w:val="0"/>
      <w:marTop w:val="0"/>
      <w:marBottom w:val="0"/>
      <w:divBdr>
        <w:top w:val="none" w:sz="0" w:space="0" w:color="auto"/>
        <w:left w:val="none" w:sz="0" w:space="0" w:color="auto"/>
        <w:bottom w:val="none" w:sz="0" w:space="0" w:color="auto"/>
        <w:right w:val="none" w:sz="0" w:space="0" w:color="auto"/>
      </w:divBdr>
    </w:div>
    <w:div w:id="784080587">
      <w:bodyDiv w:val="1"/>
      <w:marLeft w:val="0"/>
      <w:marRight w:val="0"/>
      <w:marTop w:val="0"/>
      <w:marBottom w:val="0"/>
      <w:divBdr>
        <w:top w:val="none" w:sz="0" w:space="0" w:color="auto"/>
        <w:left w:val="none" w:sz="0" w:space="0" w:color="auto"/>
        <w:bottom w:val="none" w:sz="0" w:space="0" w:color="auto"/>
        <w:right w:val="none" w:sz="0" w:space="0" w:color="auto"/>
      </w:divBdr>
    </w:div>
    <w:div w:id="1701540710">
      <w:bodyDiv w:val="1"/>
      <w:marLeft w:val="0"/>
      <w:marRight w:val="0"/>
      <w:marTop w:val="0"/>
      <w:marBottom w:val="0"/>
      <w:divBdr>
        <w:top w:val="none" w:sz="0" w:space="0" w:color="auto"/>
        <w:left w:val="none" w:sz="0" w:space="0" w:color="auto"/>
        <w:bottom w:val="none" w:sz="0" w:space="0" w:color="auto"/>
        <w:right w:val="none" w:sz="0" w:space="0" w:color="auto"/>
      </w:divBdr>
    </w:div>
    <w:div w:id="196118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ipex.eu/IPEXL-WEB/dossier/document/COM20180207.do" TargetMode="Externa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yperlink" Target="https://ec.europa.eu/info/consultations/public-consultation-integration-long-term-unemployed-labour-market_nl" TargetMode="Externa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yperlink" Target="http://www.ipex.eu/IPEXL-WEB/dossier/document/COM20180292.do"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yperlink" Target="http://www.ipex.eu/IPEXL-WEB/dossier/document/COM20180273.do" TargetMode="External" Id="rId10" /><Relationship Type="http://schemas.openxmlformats.org/officeDocument/2006/relationships/settings" Target="settings.xml" Id="rId4" /><Relationship Type="http://schemas.openxmlformats.org/officeDocument/2006/relationships/hyperlink" Target="http://www.ipex.eu/IPEXL-WEB/dossier/document/COM20180230.do" TargetMode="Externa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2438</ap:Words>
  <ap:Characters>16283</ap:Characters>
  <ap:DocSecurity>0</ap:DocSecurity>
  <ap:Lines>135</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18684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2018-05-17T14:05:00.0000000Z</lastPrinted>
  <dcterms:created xsi:type="dcterms:W3CDTF">2018-05-17T14:05:00.0000000Z</dcterms:created>
  <dcterms:modified xsi:type="dcterms:W3CDTF">2018-05-17T14:05:00.0000000Z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0x01010075B02DE40EE1324FBACB805FA8DC241E</vt:lpwstr>
  </property>
</Properties>
</file>