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0835" w:rsidR="004C4702" w:rsidP="00E05E5D" w:rsidRDefault="00B603E8" w14:paraId="1C454E8B" w14:textId="7738CCF3">
      <w:pPr>
        <w:ind w:left="120"/>
        <w:rPr>
          <w:b/>
          <w:i/>
          <w:sz w:val="18"/>
          <w:lang w:val="nl-NL"/>
        </w:rPr>
      </w:pPr>
      <w:bookmarkStart w:name="_GoBack" w:id="0"/>
      <w:bookmarkEnd w:id="0"/>
      <w:r w:rsidRPr="00310835">
        <w:rPr>
          <w:b/>
          <w:sz w:val="18"/>
          <w:lang w:val="nl-NL"/>
        </w:rPr>
        <w:t xml:space="preserve">Bijlage </w:t>
      </w:r>
      <w:r w:rsidRPr="00310835" w:rsidR="00E7139D">
        <w:rPr>
          <w:b/>
          <w:sz w:val="18"/>
          <w:lang w:val="nl-NL"/>
        </w:rPr>
        <w:t>1</w:t>
      </w:r>
      <w:r w:rsidRPr="00310835">
        <w:rPr>
          <w:b/>
          <w:sz w:val="18"/>
          <w:lang w:val="nl-NL"/>
        </w:rPr>
        <w:t xml:space="preserve">: </w:t>
      </w:r>
      <w:r w:rsidRPr="00310835">
        <w:rPr>
          <w:b/>
          <w:i/>
          <w:sz w:val="18"/>
          <w:lang w:val="nl-NL"/>
        </w:rPr>
        <w:t xml:space="preserve">Voortgangsrapportage handelsakkoorden – </w:t>
      </w:r>
      <w:r w:rsidRPr="00310835" w:rsidR="005313D6">
        <w:rPr>
          <w:b/>
          <w:i/>
          <w:sz w:val="18"/>
          <w:lang w:val="nl-NL"/>
        </w:rPr>
        <w:t>mei</w:t>
      </w:r>
      <w:r w:rsidRPr="00310835">
        <w:rPr>
          <w:b/>
          <w:i/>
          <w:sz w:val="18"/>
          <w:lang w:val="nl-NL"/>
        </w:rPr>
        <w:t xml:space="preserve"> 201</w:t>
      </w:r>
      <w:r w:rsidRPr="00310835" w:rsidR="00B550CA">
        <w:rPr>
          <w:b/>
          <w:i/>
          <w:sz w:val="18"/>
          <w:lang w:val="nl-NL"/>
        </w:rPr>
        <w:t>8</w:t>
      </w:r>
      <w:r w:rsidRPr="00310835" w:rsidR="003F49EA">
        <w:rPr>
          <w:b/>
          <w:i/>
          <w:sz w:val="18"/>
          <w:lang w:val="nl-NL"/>
        </w:rPr>
        <w:br/>
      </w:r>
    </w:p>
    <w:p w:rsidRPr="00310835" w:rsidR="004C4702" w:rsidP="00E05E5D" w:rsidRDefault="00B603E8" w14:paraId="1C454E8C" w14:textId="77777777">
      <w:pPr>
        <w:pStyle w:val="Plattetekst"/>
        <w:ind w:left="120" w:right="218"/>
        <w:rPr>
          <w:lang w:val="nl-NL"/>
        </w:rPr>
      </w:pPr>
      <w:r w:rsidRPr="00310835">
        <w:rPr>
          <w:lang w:val="nl-NL"/>
        </w:rPr>
        <w:t>Deze bijlage bevat EU-handelsakkoorden die nog niet in werking zijn getreden en waarbij de betrokken partijen al wel de intentie hebben kenbaar gemaakt om een handelsakkoord te verkennen. Deze rapportage wordt ieder kwartaal aan de Kamer toegezonden.</w:t>
      </w:r>
    </w:p>
    <w:p w:rsidRPr="00310835" w:rsidR="004C4702" w:rsidP="00E05E5D" w:rsidRDefault="004C4702" w14:paraId="1C454E8D" w14:textId="77777777">
      <w:pPr>
        <w:pStyle w:val="Plattetekst"/>
        <w:rPr>
          <w:sz w:val="19"/>
          <w:lang w:val="nl-NL"/>
        </w:rPr>
      </w:pPr>
    </w:p>
    <w:p w:rsidRPr="00310835" w:rsidR="00623E06" w:rsidP="00B01380" w:rsidRDefault="00623E06" w14:paraId="3FA010C7" w14:textId="77777777">
      <w:pPr>
        <w:pStyle w:val="Plattetekst"/>
        <w:numPr>
          <w:ilvl w:val="0"/>
          <w:numId w:val="4"/>
        </w:numPr>
        <w:rPr>
          <w:u w:val="single"/>
          <w:lang w:val="nl-NL"/>
        </w:rPr>
      </w:pPr>
      <w:r w:rsidRPr="00310835">
        <w:rPr>
          <w:u w:val="single"/>
          <w:lang w:val="nl-NL"/>
        </w:rPr>
        <w:t>Multilaterale handelsakkoorden</w:t>
      </w:r>
    </w:p>
    <w:p w:rsidRPr="00310835" w:rsidR="00623E06" w:rsidP="00623E06" w:rsidRDefault="00623E06" w14:paraId="383FCA9A" w14:textId="2A83CC6F">
      <w:pPr>
        <w:pStyle w:val="Plattetekst"/>
        <w:ind w:left="120"/>
        <w:rPr>
          <w:lang w:val="nl-NL"/>
        </w:rPr>
      </w:pPr>
      <w:r w:rsidRPr="00310835">
        <w:rPr>
          <w:lang w:val="nl-NL"/>
        </w:rPr>
        <w:t>-</w:t>
      </w:r>
    </w:p>
    <w:p w:rsidRPr="00310835" w:rsidR="004C4702" w:rsidP="00E66D8F" w:rsidRDefault="00B603E8" w14:paraId="1C454E93" w14:textId="7F42944A">
      <w:pPr>
        <w:pStyle w:val="Plattetekst"/>
        <w:ind w:left="120"/>
        <w:rPr>
          <w:lang w:val="nl-NL"/>
        </w:rPr>
      </w:pPr>
      <w:r w:rsidRPr="00310835">
        <w:rPr>
          <w:lang w:val="nl-NL"/>
        </w:rPr>
        <w:t xml:space="preserve"> </w:t>
      </w:r>
      <w:r w:rsidRPr="00310835" w:rsidR="00347A86">
        <w:rPr>
          <w:lang w:val="nl-NL"/>
        </w:rPr>
        <w:br/>
      </w:r>
      <w:r w:rsidRPr="00310835">
        <w:rPr>
          <w:u w:val="single"/>
          <w:lang w:val="nl-NL"/>
        </w:rPr>
        <w:t>B. Plurilaterale handelsakkoorden</w:t>
      </w:r>
      <w:r w:rsidRPr="00310835" w:rsidR="00347A86">
        <w:rPr>
          <w:u w:val="single"/>
          <w:lang w:val="nl-NL"/>
        </w:rPr>
        <w:br/>
      </w:r>
    </w:p>
    <w:p w:rsidRPr="00310835" w:rsidR="004C4702" w:rsidP="00E05E5D" w:rsidRDefault="00B603E8" w14:paraId="1C454E94" w14:textId="77777777">
      <w:pPr>
        <w:ind w:left="120"/>
        <w:rPr>
          <w:sz w:val="18"/>
          <w:lang w:val="nl-NL"/>
        </w:rPr>
      </w:pPr>
      <w:r w:rsidRPr="00310835">
        <w:rPr>
          <w:sz w:val="18"/>
          <w:u w:val="single"/>
          <w:lang w:val="nl-NL"/>
        </w:rPr>
        <w:t>Milieugoederenakkoord (</w:t>
      </w:r>
      <w:r w:rsidRPr="00310835">
        <w:rPr>
          <w:i/>
          <w:sz w:val="18"/>
          <w:u w:val="single"/>
          <w:lang w:val="nl-NL"/>
        </w:rPr>
        <w:t xml:space="preserve">Environmental Goods Agreement </w:t>
      </w:r>
      <w:r w:rsidRPr="00310835">
        <w:rPr>
          <w:sz w:val="18"/>
          <w:u w:val="single"/>
          <w:lang w:val="nl-NL"/>
        </w:rPr>
        <w:t>(EGA))</w:t>
      </w:r>
      <w:r w:rsidRPr="00310835">
        <w:rPr>
          <w:sz w:val="18"/>
          <w:lang w:val="nl-NL"/>
        </w:rPr>
        <w:t>:</w:t>
      </w:r>
    </w:p>
    <w:p w:rsidRPr="00310835" w:rsidR="004C4702" w:rsidP="00E05E5D" w:rsidRDefault="00B603E8" w14:paraId="1C454E95" w14:textId="04482E14">
      <w:pPr>
        <w:pStyle w:val="Plattetekst"/>
        <w:ind w:left="119" w:right="202"/>
        <w:rPr>
          <w:lang w:val="nl-NL"/>
        </w:rPr>
      </w:pPr>
      <w:r w:rsidRPr="00310835">
        <w:rPr>
          <w:lang w:val="nl-NL"/>
        </w:rPr>
        <w:t>Sinds juli 2014 onderhandelen achttien partijen, waaronder de EU, over een Milieugoederenakkoord. Dit beoogde akkoord richt zicht op de vrijmaking van de handel in goederen die bijdragen aan 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w:t>
      </w:r>
      <w:r w:rsidRPr="00310835" w:rsidR="007177CB">
        <w:rPr>
          <w:lang w:val="nl-NL"/>
        </w:rPr>
        <w:t xml:space="preserve"> van een akkoord</w:t>
      </w:r>
      <w:r w:rsidRPr="00310835">
        <w:rPr>
          <w:lang w:val="nl-NL"/>
        </w:rPr>
        <w:t xml:space="preserve"> (</w:t>
      </w:r>
      <w:r w:rsidRPr="00310835">
        <w:rPr>
          <w:i/>
          <w:lang w:val="nl-NL"/>
        </w:rPr>
        <w:t xml:space="preserve">landing zones) </w:t>
      </w:r>
      <w:r w:rsidRPr="00310835">
        <w:rPr>
          <w:lang w:val="nl-NL"/>
        </w:rPr>
        <w:t xml:space="preserve">geïdentificeerd. Partijen hebben gepoogd de onderhandelingen in 2016 af te ronden, maar zijn daar niet in geslaagd. Hierop zijn de onderhandelingen stilgelegd. </w:t>
      </w:r>
      <w:r w:rsidRPr="00310835" w:rsidR="00C56847">
        <w:rPr>
          <w:lang w:val="nl-NL"/>
        </w:rPr>
        <w:t>Het is onduidelijk wanneer de onderhandelingen worden hervat, gezien het veranderd internationale krachtenveld sinds 2016.</w:t>
      </w:r>
    </w:p>
    <w:p w:rsidRPr="00310835" w:rsidR="004C4702" w:rsidP="00E05E5D" w:rsidRDefault="004C4702" w14:paraId="1C454E96" w14:textId="77777777">
      <w:pPr>
        <w:pStyle w:val="Plattetekst"/>
        <w:rPr>
          <w:sz w:val="19"/>
          <w:lang w:val="nl-NL"/>
        </w:rPr>
      </w:pPr>
    </w:p>
    <w:p w:rsidRPr="00310835" w:rsidR="004C4702" w:rsidP="00E05E5D" w:rsidRDefault="00B603E8" w14:paraId="1C454E97" w14:textId="77777777">
      <w:pPr>
        <w:ind w:left="120"/>
        <w:rPr>
          <w:sz w:val="18"/>
          <w:lang w:val="nl-NL"/>
        </w:rPr>
      </w:pPr>
      <w:r w:rsidRPr="00310835">
        <w:rPr>
          <w:sz w:val="18"/>
          <w:u w:val="single"/>
          <w:lang w:val="nl-NL"/>
        </w:rPr>
        <w:t xml:space="preserve">Verdrag over de handel in diensten </w:t>
      </w:r>
      <w:r w:rsidRPr="00310835">
        <w:rPr>
          <w:i/>
          <w:sz w:val="18"/>
          <w:u w:val="single"/>
          <w:lang w:val="nl-NL"/>
        </w:rPr>
        <w:t xml:space="preserve">(Trade in Services Agreement </w:t>
      </w:r>
      <w:r w:rsidRPr="00310835">
        <w:rPr>
          <w:sz w:val="18"/>
          <w:u w:val="single"/>
          <w:lang w:val="nl-NL"/>
        </w:rPr>
        <w:t>(TiSA)):</w:t>
      </w:r>
    </w:p>
    <w:p w:rsidRPr="00310835" w:rsidR="004C4702" w:rsidP="00E05E5D" w:rsidRDefault="00B603E8" w14:paraId="1C454E98" w14:textId="70A1F53F">
      <w:pPr>
        <w:pStyle w:val="Plattetekst"/>
        <w:ind w:left="119" w:right="122"/>
        <w:rPr>
          <w:lang w:val="nl-NL"/>
        </w:rPr>
      </w:pPr>
      <w:r w:rsidRPr="00310835">
        <w:rPr>
          <w:lang w:val="nl-NL"/>
        </w:rPr>
        <w:t xml:space="preserve">Het </w:t>
      </w:r>
      <w:r w:rsidRPr="00310835">
        <w:rPr>
          <w:i/>
          <w:lang w:val="nl-NL"/>
        </w:rPr>
        <w:t xml:space="preserve">Trade in Services Agreement </w:t>
      </w:r>
      <w:r w:rsidRPr="00310835">
        <w:rPr>
          <w:lang w:val="nl-NL"/>
        </w:rPr>
        <w:t xml:space="preserve">(TiSA) is een plurilateraal handelsakkoord over de handel in diensten waarover de EU </w:t>
      </w:r>
      <w:r w:rsidRPr="00310835" w:rsidR="003962C1">
        <w:rPr>
          <w:lang w:val="nl-NL"/>
        </w:rPr>
        <w:t xml:space="preserve">tot </w:t>
      </w:r>
      <w:r w:rsidRPr="00310835" w:rsidR="008E55A4">
        <w:rPr>
          <w:lang w:val="nl-NL"/>
        </w:rPr>
        <w:t xml:space="preserve">in </w:t>
      </w:r>
      <w:r w:rsidRPr="00310835" w:rsidR="003962C1">
        <w:rPr>
          <w:lang w:val="nl-NL"/>
        </w:rPr>
        <w:t xml:space="preserve">december 2016 </w:t>
      </w:r>
      <w:r w:rsidRPr="00310835">
        <w:rPr>
          <w:lang w:val="nl-NL"/>
        </w:rPr>
        <w:t xml:space="preserve">met 22 WTO-leden </w:t>
      </w:r>
      <w:r w:rsidRPr="00310835" w:rsidR="003962C1">
        <w:rPr>
          <w:lang w:val="nl-NL"/>
        </w:rPr>
        <w:t>onderhandelde</w:t>
      </w:r>
      <w:r w:rsidRPr="00310835">
        <w:rPr>
          <w:lang w:val="nl-NL"/>
        </w:rPr>
        <w:t>, op basis van een mandaat van de Raad uit maart 2013.</w:t>
      </w:r>
      <w:r w:rsidRPr="00310835" w:rsidR="002C5598">
        <w:rPr>
          <w:rStyle w:val="Voetnootmarkering"/>
          <w:lang w:val="nl-NL"/>
        </w:rPr>
        <w:footnoteReference w:id="2"/>
      </w:r>
      <w:r w:rsidRPr="00310835">
        <w:rPr>
          <w:sz w:val="12"/>
          <w:lang w:val="nl-NL"/>
        </w:rPr>
        <w:t xml:space="preserve"> </w:t>
      </w:r>
      <w:r w:rsidRPr="00310835" w:rsidR="003962C1">
        <w:rPr>
          <w:lang w:val="nl-NL"/>
        </w:rPr>
        <w:t xml:space="preserve">Het doel van </w:t>
      </w:r>
      <w:r w:rsidRPr="00310835" w:rsidR="008E55A4">
        <w:rPr>
          <w:lang w:val="nl-NL"/>
        </w:rPr>
        <w:t xml:space="preserve">het </w:t>
      </w:r>
      <w:r w:rsidRPr="00310835">
        <w:rPr>
          <w:lang w:val="nl-NL"/>
        </w:rPr>
        <w:t xml:space="preserve">akkoord </w:t>
      </w:r>
      <w:r w:rsidRPr="00310835" w:rsidR="003962C1">
        <w:rPr>
          <w:lang w:val="nl-NL"/>
        </w:rPr>
        <w:t xml:space="preserve">is </w:t>
      </w:r>
      <w:r w:rsidRPr="00310835">
        <w:rPr>
          <w:lang w:val="nl-NL"/>
        </w:rPr>
        <w:t xml:space="preserve">onder meer afspraken </w:t>
      </w:r>
      <w:r w:rsidRPr="00310835" w:rsidR="003962C1">
        <w:rPr>
          <w:lang w:val="nl-NL"/>
        </w:rPr>
        <w:t xml:space="preserve">te maken </w:t>
      </w:r>
      <w:r w:rsidRPr="00310835">
        <w:rPr>
          <w:lang w:val="nl-NL"/>
        </w:rPr>
        <w:t>over internationale e-commerce, datastromen, telecommunicatie, transport, kennismigratie en betere regelgeving. Van 2 tot en met 10 november 2016 heeft de 21</w:t>
      </w:r>
      <w:r w:rsidRPr="00310835">
        <w:rPr>
          <w:position w:val="6"/>
          <w:sz w:val="12"/>
          <w:lang w:val="nl-NL"/>
        </w:rPr>
        <w:t xml:space="preserve">ste </w:t>
      </w:r>
      <w:r w:rsidRPr="00310835">
        <w:rPr>
          <w:lang w:val="nl-NL"/>
        </w:rPr>
        <w:t>onderhandelingsronde plaatsgevonden. De Europese Commissie heeft een verslag van deze ronde op haar website gepubliceerd.</w:t>
      </w:r>
      <w:r w:rsidRPr="00310835" w:rsidR="002C5598">
        <w:rPr>
          <w:rStyle w:val="Voetnootmarkering"/>
          <w:lang w:val="nl-NL"/>
        </w:rPr>
        <w:footnoteReference w:id="3"/>
      </w:r>
      <w:r w:rsidRPr="00310835">
        <w:rPr>
          <w:sz w:val="12"/>
          <w:lang w:val="nl-NL"/>
        </w:rPr>
        <w:t xml:space="preserve"> </w:t>
      </w:r>
      <w:r w:rsidRPr="00310835" w:rsidR="006257B8">
        <w:rPr>
          <w:lang w:val="nl-NL"/>
        </w:rPr>
        <w:t>Sindsdien zijn er in verband met het veranderde internationaal krachtenveld geen onderhandelingen meer geweest</w:t>
      </w:r>
      <w:r w:rsidRPr="00310835">
        <w:rPr>
          <w:lang w:val="nl-NL"/>
        </w:rPr>
        <w:t>. Het is onbekend wanneer de onderhandeling</w:t>
      </w:r>
      <w:r w:rsidRPr="00310835" w:rsidR="006257B8">
        <w:rPr>
          <w:lang w:val="nl-NL"/>
        </w:rPr>
        <w:t>en</w:t>
      </w:r>
      <w:r w:rsidRPr="00310835">
        <w:rPr>
          <w:lang w:val="nl-NL"/>
        </w:rPr>
        <w:t xml:space="preserve"> </w:t>
      </w:r>
      <w:r w:rsidRPr="00310835" w:rsidR="006257B8">
        <w:rPr>
          <w:lang w:val="nl-NL"/>
        </w:rPr>
        <w:t>worden hervat</w:t>
      </w:r>
      <w:r w:rsidRPr="00310835">
        <w:rPr>
          <w:lang w:val="nl-NL"/>
        </w:rPr>
        <w:t>.</w:t>
      </w:r>
    </w:p>
    <w:p w:rsidRPr="00310835" w:rsidR="000B74D5" w:rsidP="00E05E5D" w:rsidRDefault="000B74D5" w14:paraId="72D4ECC6" w14:textId="77777777">
      <w:pPr>
        <w:pStyle w:val="Plattetekst"/>
        <w:rPr>
          <w:sz w:val="17"/>
          <w:lang w:val="nl-NL"/>
        </w:rPr>
      </w:pPr>
    </w:p>
    <w:p w:rsidRPr="00310835" w:rsidR="004C4702" w:rsidP="00E05E5D" w:rsidRDefault="00B603E8" w14:paraId="1C454EA6" w14:textId="77777777">
      <w:pPr>
        <w:pStyle w:val="Lijstalinea"/>
        <w:numPr>
          <w:ilvl w:val="0"/>
          <w:numId w:val="2"/>
        </w:numPr>
        <w:tabs>
          <w:tab w:val="left" w:pos="377"/>
        </w:tabs>
        <w:ind w:hanging="256"/>
        <w:rPr>
          <w:sz w:val="18"/>
        </w:rPr>
      </w:pPr>
      <w:r w:rsidRPr="00310835">
        <w:rPr>
          <w:sz w:val="18"/>
          <w:u w:val="single"/>
        </w:rPr>
        <w:t>Bilaterale</w:t>
      </w:r>
      <w:r w:rsidRPr="00310835">
        <w:rPr>
          <w:spacing w:val="-17"/>
          <w:sz w:val="18"/>
          <w:u w:val="single"/>
        </w:rPr>
        <w:t xml:space="preserve"> </w:t>
      </w:r>
      <w:r w:rsidRPr="00310835">
        <w:rPr>
          <w:sz w:val="18"/>
          <w:u w:val="single"/>
        </w:rPr>
        <w:t>handelsakkoorden</w:t>
      </w:r>
    </w:p>
    <w:p w:rsidRPr="00310835" w:rsidR="004C4702" w:rsidP="00E05E5D" w:rsidRDefault="004C4702" w14:paraId="1C454EA7" w14:textId="77777777">
      <w:pPr>
        <w:pStyle w:val="Plattetekst"/>
        <w:rPr>
          <w:sz w:val="13"/>
        </w:rPr>
      </w:pPr>
    </w:p>
    <w:p w:rsidRPr="00310835" w:rsidR="004C4702" w:rsidP="00E05E5D" w:rsidRDefault="00B603E8" w14:paraId="1C454EA8" w14:textId="77777777">
      <w:pPr>
        <w:pStyle w:val="Lijstalinea"/>
        <w:numPr>
          <w:ilvl w:val="1"/>
          <w:numId w:val="2"/>
        </w:numPr>
        <w:tabs>
          <w:tab w:val="left" w:pos="490"/>
        </w:tabs>
        <w:ind w:hanging="369"/>
        <w:rPr>
          <w:sz w:val="18"/>
          <w:u w:val="single"/>
        </w:rPr>
      </w:pPr>
      <w:r w:rsidRPr="00310835">
        <w:rPr>
          <w:i/>
          <w:sz w:val="18"/>
          <w:u w:val="single"/>
        </w:rPr>
        <w:t>Afrika</w:t>
      </w:r>
      <w:r w:rsidRPr="00310835">
        <w:rPr>
          <w:sz w:val="18"/>
          <w:u w:val="single"/>
        </w:rPr>
        <w:t>:</w:t>
      </w:r>
    </w:p>
    <w:p w:rsidRPr="00310835" w:rsidR="00770E9E" w:rsidP="00B01380" w:rsidRDefault="00B603E8" w14:paraId="242B39E7" w14:textId="06D5DED2">
      <w:pPr>
        <w:pStyle w:val="Plattetekst"/>
        <w:ind w:left="120" w:right="183"/>
        <w:rPr>
          <w:u w:val="single"/>
          <w:lang w:val="nl-NL"/>
        </w:rPr>
      </w:pPr>
      <w:r w:rsidRPr="00310835">
        <w:rPr>
          <w:lang w:val="nl-NL"/>
        </w:rPr>
        <w:t>Op basis van een mandaat uit 2002 zijn in hetzelfde jaar de onderhandelingen gestart met landen in Afrika, de Cariben en de Stille Oceaan (ACS-landen) over een Economisch Partnerschapsakkoord (EPA). De landen zijn verdeeld in zeven regio’s, waarvan er vijf in Afrika liggen, één in de Cariben en één in de Stille Oceaan. Een interim-EPA is beperkt in reikwijdte (vaak alleen bepalingen over goederen en ontwikkelingssamenwerking en is gericht op een beperkt aantal landen in de regio) terwijl een volledige EPA doorgaans betrekking heeft op meerdere onderwerpen, waaronder handel in goederen en diensten, investeringen, intellectueel eigendom, duurzaamheid en aanbestedingen, en een gehele regio beslaat.</w:t>
      </w:r>
    </w:p>
    <w:p w:rsidRPr="00310835" w:rsidR="00770E9E" w:rsidP="00B01380" w:rsidRDefault="00770E9E" w14:paraId="54538F83" w14:textId="77777777">
      <w:pPr>
        <w:pStyle w:val="Plattetekst"/>
        <w:ind w:left="120" w:right="183"/>
        <w:rPr>
          <w:u w:val="single"/>
          <w:lang w:val="nl-NL"/>
        </w:rPr>
      </w:pPr>
    </w:p>
    <w:p w:rsidRPr="00310835" w:rsidR="004C4702" w:rsidP="00B01380" w:rsidRDefault="00B603E8" w14:paraId="1C454EAB" w14:textId="7FA76827">
      <w:pPr>
        <w:pStyle w:val="Plattetekst"/>
        <w:ind w:left="120" w:right="183"/>
        <w:rPr>
          <w:lang w:val="nl-NL"/>
        </w:rPr>
      </w:pPr>
      <w:r w:rsidRPr="00310835">
        <w:rPr>
          <w:u w:val="single"/>
          <w:lang w:val="nl-NL"/>
        </w:rPr>
        <w:t>Economisch Partnerschap Centraal Afrika (Centraal Afrika-EU EPA)</w:t>
      </w:r>
      <w:r w:rsidRPr="00310835">
        <w:rPr>
          <w:lang w:val="nl-NL"/>
        </w:rPr>
        <w:t>:</w:t>
      </w:r>
    </w:p>
    <w:p w:rsidRPr="00310835" w:rsidR="004C4702" w:rsidP="00E05E5D" w:rsidRDefault="00B603E8" w14:paraId="1C454EAC" w14:textId="77777777">
      <w:pPr>
        <w:pStyle w:val="Plattetekst"/>
        <w:ind w:left="119" w:right="337"/>
        <w:rPr>
          <w:lang w:val="nl-NL"/>
        </w:rPr>
      </w:pPr>
      <w:r w:rsidRPr="00310835">
        <w:rPr>
          <w:lang w:val="nl-NL"/>
        </w:rPr>
        <w:t>In Centraal Afrika zijn de onderhandelingen over een volledige EPA nog altijd gaande. In afwachting van een volledige EPA is voor Kameroen op dit moment een interim-EPA van kracht.</w:t>
      </w:r>
    </w:p>
    <w:p w:rsidRPr="00310835" w:rsidR="004C4702" w:rsidP="00E05E5D" w:rsidRDefault="004C4702" w14:paraId="1C454EAD" w14:textId="77777777">
      <w:pPr>
        <w:pStyle w:val="Plattetekst"/>
        <w:rPr>
          <w:sz w:val="19"/>
          <w:lang w:val="nl-NL"/>
        </w:rPr>
      </w:pPr>
    </w:p>
    <w:p w:rsidRPr="00310835" w:rsidR="004C4702" w:rsidP="00E05E5D" w:rsidRDefault="00B603E8" w14:paraId="1C454EAE" w14:textId="7B8C318E">
      <w:pPr>
        <w:pStyle w:val="Plattetekst"/>
        <w:ind w:left="119"/>
        <w:rPr>
          <w:lang w:val="nl-NL"/>
        </w:rPr>
      </w:pPr>
      <w:r w:rsidRPr="00310835">
        <w:rPr>
          <w:u w:val="single"/>
          <w:lang w:val="nl-NL"/>
        </w:rPr>
        <w:t>Economisch Partnerschap Westelijk Afrika (ECOWAS-EU EPA)</w:t>
      </w:r>
      <w:r w:rsidRPr="00310835">
        <w:rPr>
          <w:lang w:val="nl-NL"/>
        </w:rPr>
        <w:t>:</w:t>
      </w:r>
    </w:p>
    <w:p w:rsidRPr="00310835" w:rsidR="004C4702" w:rsidP="00E05E5D" w:rsidRDefault="00B603E8" w14:paraId="1C454EAF" w14:textId="6247CEF5">
      <w:pPr>
        <w:pStyle w:val="Plattetekst"/>
        <w:ind w:left="120" w:right="134"/>
        <w:rPr>
          <w:lang w:val="nl-NL"/>
        </w:rPr>
      </w:pPr>
      <w:r w:rsidRPr="00310835">
        <w:rPr>
          <w:lang w:val="nl-NL"/>
        </w:rPr>
        <w:t xml:space="preserve">Eind 2014 is een akkoord bereikt met de 16 landen in de Westelijk Afrikaanse regio (verenigd in de ECOWAS) over een EPA. De juridische revisie van de uitkomst is door beide partijen afgerond en de EPA dient nog door Gambia, Nigeria en Mauritanië ondertekend te worden. Het akkoord </w:t>
      </w:r>
      <w:r w:rsidRPr="00310835" w:rsidR="0082388D">
        <w:rPr>
          <w:lang w:val="nl-NL"/>
        </w:rPr>
        <w:t>komt in aanmerking voor voorlopige toepassing</w:t>
      </w:r>
      <w:r w:rsidRPr="00310835">
        <w:rPr>
          <w:lang w:val="nl-NL"/>
        </w:rPr>
        <w:t xml:space="preserve"> wanneer de ECOWAS-lidstaten het akkoord allemaal getekend hebben en wanneer minimaal twee derde van de ECOWAS-lidstaten het akkoord hebben geratificeerd. In afwachting van een volledige EPA</w:t>
      </w:r>
      <w:r w:rsidRPr="00310835" w:rsidR="00362463">
        <w:rPr>
          <w:lang w:val="nl-NL"/>
        </w:rPr>
        <w:t>,</w:t>
      </w:r>
      <w:r w:rsidRPr="00310835">
        <w:rPr>
          <w:lang w:val="nl-NL"/>
        </w:rPr>
        <w:t xml:space="preserve"> zijn de reeds bestaande interim-EPA’s met </w:t>
      </w:r>
      <w:r w:rsidRPr="00310835">
        <w:rPr>
          <w:lang w:val="nl-NL"/>
        </w:rPr>
        <w:lastRenderedPageBreak/>
        <w:t>Ghana en Ivoorkust in september 2016 tot stand gekomen. Beide interim-EPA’s worden voorlopig toegepast (Ivoorkust per 3 september 2016 en Ghana per 15 december 2016).</w:t>
      </w:r>
    </w:p>
    <w:p w:rsidRPr="00310835" w:rsidR="004C4702" w:rsidP="00E05E5D" w:rsidRDefault="004C4702" w14:paraId="1C454EB0" w14:textId="77777777">
      <w:pPr>
        <w:pStyle w:val="Plattetekst"/>
        <w:rPr>
          <w:sz w:val="19"/>
          <w:lang w:val="nl-NL"/>
        </w:rPr>
      </w:pPr>
    </w:p>
    <w:p w:rsidRPr="00310835" w:rsidR="004C4702" w:rsidP="00E05E5D" w:rsidRDefault="00B603E8" w14:paraId="1C454EB1" w14:textId="77777777">
      <w:pPr>
        <w:pStyle w:val="Plattetekst"/>
        <w:ind w:left="120"/>
        <w:rPr>
          <w:lang w:val="nl-NL"/>
        </w:rPr>
      </w:pPr>
      <w:r w:rsidRPr="00310835">
        <w:rPr>
          <w:u w:val="single"/>
          <w:lang w:val="nl-NL"/>
        </w:rPr>
        <w:t>Economisch Partnerschap Oostelijk Afrika (EAC-EU EPA)</w:t>
      </w:r>
      <w:r w:rsidRPr="00310835">
        <w:rPr>
          <w:lang w:val="nl-NL"/>
        </w:rPr>
        <w:t>:</w:t>
      </w:r>
    </w:p>
    <w:p w:rsidRPr="00310835" w:rsidR="004C4702" w:rsidP="00E05E5D" w:rsidRDefault="00B603E8" w14:paraId="1C454EB2" w14:textId="2EA331C6">
      <w:pPr>
        <w:pStyle w:val="Plattetekst"/>
        <w:ind w:left="119" w:right="108"/>
        <w:rPr>
          <w:lang w:val="nl-NL"/>
        </w:rPr>
      </w:pPr>
      <w:r w:rsidRPr="00310835">
        <w:rPr>
          <w:lang w:val="nl-NL"/>
        </w:rPr>
        <w:t xml:space="preserve">Eind 2014 is een akkoord bereikt met de 5 landen in de Oostelijk Afrikaanse regio (de </w:t>
      </w:r>
      <w:r w:rsidRPr="00310835">
        <w:rPr>
          <w:i/>
          <w:lang w:val="nl-NL"/>
        </w:rPr>
        <w:t>East African Community</w:t>
      </w:r>
      <w:r w:rsidRPr="00310835">
        <w:rPr>
          <w:lang w:val="nl-NL"/>
        </w:rPr>
        <w:t xml:space="preserve">, EAC) over een EPA. De EPA wacht nu op ondertekening door de EAC-landen, waarna het akkoord geratificeerd dient te worden. Tanzania heeft tot op heden echter aangegeven nog niet klaar </w:t>
      </w:r>
      <w:r w:rsidRPr="00310835" w:rsidR="00CB21B1">
        <w:rPr>
          <w:lang w:val="nl-NL"/>
        </w:rPr>
        <w:t xml:space="preserve">te </w:t>
      </w:r>
      <w:r w:rsidRPr="00310835">
        <w:rPr>
          <w:lang w:val="nl-NL"/>
        </w:rPr>
        <w:t>zijn om</w:t>
      </w:r>
      <w:r w:rsidRPr="00310835" w:rsidR="00CB21B1">
        <w:rPr>
          <w:lang w:val="nl-NL"/>
        </w:rPr>
        <w:t xml:space="preserve"> te</w:t>
      </w:r>
      <w:r w:rsidRPr="00310835">
        <w:rPr>
          <w:lang w:val="nl-NL"/>
        </w:rPr>
        <w:t xml:space="preserve"> tekenen</w:t>
      </w:r>
      <w:r w:rsidRPr="00310835" w:rsidR="00CB21B1">
        <w:rPr>
          <w:lang w:val="nl-NL"/>
        </w:rPr>
        <w:t>,omdat het land</w:t>
      </w:r>
      <w:r w:rsidRPr="00310835">
        <w:rPr>
          <w:lang w:val="nl-NL"/>
        </w:rPr>
        <w:t xml:space="preserve"> eerst meer informatie wil over de gevolgen van Brexit op het EPA-proces. Daarom wordt zowel in EAC-verband als tussen de EU en Tanzania overleg gepleegd om de impasse te doorbreken. Na ratificatie door de EAC-lidstaten zal het akkoord na goedkeuring van het Europees Parlement voorlopig toegepast worden.</w:t>
      </w:r>
    </w:p>
    <w:p w:rsidRPr="00310835" w:rsidR="004C4702" w:rsidP="00E05E5D" w:rsidRDefault="004C4702" w14:paraId="1C454EB3" w14:textId="77777777">
      <w:pPr>
        <w:pStyle w:val="Plattetekst"/>
        <w:rPr>
          <w:sz w:val="19"/>
          <w:lang w:val="nl-NL"/>
        </w:rPr>
      </w:pPr>
    </w:p>
    <w:p w:rsidRPr="00310835" w:rsidR="004C4702" w:rsidP="00E05E5D" w:rsidRDefault="00B603E8" w14:paraId="1C454EB4" w14:textId="77777777">
      <w:pPr>
        <w:pStyle w:val="Plattetekst"/>
        <w:ind w:left="119"/>
        <w:rPr>
          <w:lang w:val="nl-NL"/>
        </w:rPr>
      </w:pPr>
      <w:r w:rsidRPr="00310835">
        <w:rPr>
          <w:u w:val="single"/>
          <w:lang w:val="nl-NL"/>
        </w:rPr>
        <w:t>Economisch Partnerschap Oostelijk en Zuidelijk Afrika (ESA-EU EPA)</w:t>
      </w:r>
      <w:r w:rsidRPr="00310835">
        <w:rPr>
          <w:lang w:val="nl-NL"/>
        </w:rPr>
        <w:t>:</w:t>
      </w:r>
    </w:p>
    <w:p w:rsidRPr="00310835" w:rsidR="004C4702" w:rsidP="00E05E5D" w:rsidRDefault="00B603E8" w14:paraId="1C454EB5" w14:textId="77777777">
      <w:pPr>
        <w:pStyle w:val="Plattetekst"/>
        <w:ind w:left="120" w:right="566"/>
        <w:rPr>
          <w:lang w:val="nl-NL"/>
        </w:rPr>
      </w:pPr>
      <w:r w:rsidRPr="00310835">
        <w:rPr>
          <w:lang w:val="nl-NL"/>
        </w:rPr>
        <w:t>Op dit moment zijn de onderhandelingen met de gehele regio over een EPA nog altijd gaande. In afwachting van een volledige EPA is voor Madagaskar, Mauritius, de Seychellen en Zimbabwe een interim-EPA van kracht.</w:t>
      </w:r>
    </w:p>
    <w:p w:rsidRPr="00310835" w:rsidR="004C4702" w:rsidP="00E05E5D" w:rsidRDefault="004C4702" w14:paraId="1C454EB6" w14:textId="77777777">
      <w:pPr>
        <w:pStyle w:val="Plattetekst"/>
        <w:rPr>
          <w:sz w:val="19"/>
          <w:lang w:val="nl-NL"/>
        </w:rPr>
      </w:pPr>
    </w:p>
    <w:p w:rsidRPr="00310835" w:rsidR="004C4702" w:rsidP="00E05E5D" w:rsidRDefault="00B603E8" w14:paraId="1C454EB7" w14:textId="77777777">
      <w:pPr>
        <w:pStyle w:val="Plattetekst"/>
        <w:ind w:left="120"/>
        <w:rPr>
          <w:lang w:val="nl-NL"/>
        </w:rPr>
      </w:pPr>
      <w:r w:rsidRPr="00310835">
        <w:rPr>
          <w:u w:val="single"/>
          <w:lang w:val="nl-NL"/>
        </w:rPr>
        <w:t>Economisch Partnerschap Zuidelijk Afrika (SADC-EU EPA)</w:t>
      </w:r>
      <w:r w:rsidRPr="00310835">
        <w:rPr>
          <w:lang w:val="nl-NL"/>
        </w:rPr>
        <w:t>:</w:t>
      </w:r>
    </w:p>
    <w:p w:rsidRPr="00310835" w:rsidR="004C4702" w:rsidP="00E05E5D" w:rsidRDefault="00B603E8" w14:paraId="1C454EB8" w14:textId="77777777">
      <w:pPr>
        <w:pStyle w:val="Plattetekst"/>
        <w:ind w:left="119" w:right="210"/>
        <w:rPr>
          <w:lang w:val="nl-NL"/>
        </w:rPr>
      </w:pPr>
      <w:r w:rsidRPr="00310835">
        <w:rPr>
          <w:lang w:val="nl-NL"/>
        </w:rPr>
        <w:t xml:space="preserve">Na bijna 15 jaar onderhandelen is er eind 2014 een akkoord bereikt met de 6 landen in de Zuidelijk Afrikaanse regio (de </w:t>
      </w:r>
      <w:r w:rsidRPr="00310835">
        <w:rPr>
          <w:i/>
          <w:lang w:val="nl-NL"/>
        </w:rPr>
        <w:t>Southern African Development Community</w:t>
      </w:r>
      <w:r w:rsidRPr="00310835">
        <w:rPr>
          <w:lang w:val="nl-NL"/>
        </w:rPr>
        <w:t>, SADC) over een EPA. De EPA is in juni 2016 tot stand gekomen en wordt sinds 10 oktober 2016 voorlopig toegepast. In de EU-lidstaten zal, aangezien het een gemengd akkoord betreft, de nationale goedkeuringsprocedure worden opgestart.</w:t>
      </w:r>
    </w:p>
    <w:p w:rsidRPr="00310835" w:rsidR="004C4702" w:rsidP="00E05E5D" w:rsidRDefault="004C4702" w14:paraId="1C454EB9" w14:textId="77777777">
      <w:pPr>
        <w:pStyle w:val="Plattetekst"/>
        <w:rPr>
          <w:sz w:val="19"/>
          <w:lang w:val="nl-NL"/>
        </w:rPr>
      </w:pPr>
    </w:p>
    <w:p w:rsidRPr="00310835" w:rsidR="004C4702" w:rsidP="00E05E5D" w:rsidRDefault="00B603E8" w14:paraId="1C454EBA" w14:textId="77777777">
      <w:pPr>
        <w:ind w:left="119"/>
        <w:rPr>
          <w:sz w:val="18"/>
        </w:rPr>
      </w:pPr>
      <w:r w:rsidRPr="00310835">
        <w:rPr>
          <w:sz w:val="18"/>
          <w:u w:val="single"/>
        </w:rPr>
        <w:t>Egypte (</w:t>
      </w:r>
      <w:r w:rsidRPr="00310835">
        <w:rPr>
          <w:i/>
          <w:sz w:val="18"/>
          <w:u w:val="single"/>
        </w:rPr>
        <w:t xml:space="preserve">Deep and Comprehensive Free Trade Agreement </w:t>
      </w:r>
      <w:r w:rsidRPr="00310835">
        <w:rPr>
          <w:sz w:val="18"/>
          <w:u w:val="single"/>
        </w:rPr>
        <w:t>(DCFTA))</w:t>
      </w:r>
      <w:r w:rsidRPr="00310835">
        <w:rPr>
          <w:sz w:val="18"/>
        </w:rPr>
        <w:t>:</w:t>
      </w:r>
    </w:p>
    <w:p w:rsidRPr="00310835" w:rsidR="004C4702" w:rsidP="00A8778D" w:rsidRDefault="00B603E8" w14:paraId="1C454EBD" w14:textId="63A0A883">
      <w:pPr>
        <w:pStyle w:val="Plattetekst"/>
        <w:ind w:left="120" w:right="94"/>
        <w:rPr>
          <w:lang w:val="nl-NL"/>
        </w:rPr>
      </w:pPr>
      <w:r w:rsidRPr="00310835">
        <w:rPr>
          <w:lang w:val="nl-NL"/>
        </w:rPr>
        <w:t>In 2004 trad een associatieakkoord tussen EU en Egypte in werking. Dit heeft vrijhandel van goederen bewerkstelligd door de afschaffing van invoerrechten voor industriële producten en omvatte diverse concessies voor landbouwproducten. In 2010 trad additioneel een akkoord in werking voor landbouw en visserij. In 2011 kreeg de Europese Commissie een mandaat om te onderhandelen over verbreding en verdieping van het akkoord, met afspraken over onder meer handel in diensten en investeringen. Een dialoog daarover is gestart in juni 2013. Er is geen zicht op opening van de onderhandelingen.</w:t>
      </w:r>
    </w:p>
    <w:p w:rsidRPr="00310835" w:rsidR="00A8778D" w:rsidP="00A8778D" w:rsidRDefault="00A8778D" w14:paraId="256DA752" w14:textId="77777777">
      <w:pPr>
        <w:pStyle w:val="Plattetekst"/>
        <w:ind w:left="120" w:right="94"/>
        <w:rPr>
          <w:lang w:val="nl-NL"/>
        </w:rPr>
      </w:pPr>
    </w:p>
    <w:p w:rsidRPr="00310835" w:rsidR="004C4702" w:rsidP="00E05E5D" w:rsidRDefault="00B603E8" w14:paraId="1C454EBE" w14:textId="77777777">
      <w:pPr>
        <w:ind w:left="120"/>
        <w:rPr>
          <w:sz w:val="18"/>
        </w:rPr>
      </w:pPr>
      <w:r w:rsidRPr="00310835">
        <w:rPr>
          <w:sz w:val="18"/>
          <w:u w:val="single"/>
        </w:rPr>
        <w:t>Marokko (</w:t>
      </w:r>
      <w:r w:rsidRPr="00310835">
        <w:rPr>
          <w:i/>
          <w:sz w:val="18"/>
          <w:u w:val="single"/>
        </w:rPr>
        <w:t xml:space="preserve">Deep and Comprehensive Free Trade Agreement </w:t>
      </w:r>
      <w:r w:rsidRPr="00310835">
        <w:rPr>
          <w:sz w:val="18"/>
          <w:u w:val="single"/>
        </w:rPr>
        <w:t>(DCFTA))</w:t>
      </w:r>
      <w:r w:rsidRPr="00310835">
        <w:rPr>
          <w:sz w:val="18"/>
        </w:rPr>
        <w:t>:</w:t>
      </w:r>
    </w:p>
    <w:p w:rsidRPr="00310835" w:rsidR="004C4702" w:rsidP="00E05E5D" w:rsidRDefault="00B603E8" w14:paraId="1C454EBF" w14:textId="4CF28852">
      <w:pPr>
        <w:pStyle w:val="Plattetekst"/>
        <w:ind w:left="120" w:right="98"/>
        <w:rPr>
          <w:lang w:val="nl-NL"/>
        </w:rPr>
      </w:pPr>
      <w:r w:rsidRPr="00310835">
        <w:rPr>
          <w:lang w:val="nl-NL"/>
        </w:rPr>
        <w:t xml:space="preserve">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 over verbreding en verdieping van het akkoord, met afspraken over onder meer handel in diensten en investeringen. De onderhandelingen daarover zijn in april 2013 van start gegaan. Sinds de vierde ronde in april 2014 liggen de onderhandelingen stil. Marokko wenste meer tijd voor interne afstemming. In oktober 2012 trad een </w:t>
      </w:r>
      <w:r w:rsidRPr="00310835" w:rsidR="00B11CB6">
        <w:rPr>
          <w:lang w:val="nl-NL"/>
        </w:rPr>
        <w:t>separaat</w:t>
      </w:r>
      <w:r w:rsidRPr="00310835">
        <w:rPr>
          <w:lang w:val="nl-NL"/>
        </w:rPr>
        <w:t xml:space="preserve"> akkoord in werking op het gebied van landbouw en visserij. Op 21 december 2016 heeft het Europese Hof van Justitie geoordeeld dat dit akkoord géén betrekking heeft op producten uit de Westelijke Sahara. De Raad Buitenlandse Zaken </w:t>
      </w:r>
      <w:r w:rsidRPr="00310835" w:rsidR="00B8199F">
        <w:rPr>
          <w:lang w:val="nl-NL"/>
        </w:rPr>
        <w:t>heeft daarom ingestemd</w:t>
      </w:r>
      <w:r w:rsidRPr="00310835">
        <w:rPr>
          <w:lang w:val="nl-NL"/>
        </w:rPr>
        <w:t xml:space="preserve"> met het mandaat voor onderhandelingen met Marokko ten behoeve van uitbreiding van de geografische reikwijdte van twee protocollen (oorsprongsregels, import) bij het EU-Marokko Associatieakkoord tot de Westelijke Sahara, opdat goederen uit dat gebied ook onder gunstig tarief de EU kunnen worden ingevoerd. </w:t>
      </w:r>
      <w:r w:rsidRPr="00310835" w:rsidR="00374D49">
        <w:rPr>
          <w:lang w:val="nl-NL"/>
        </w:rPr>
        <w:t>De o</w:t>
      </w:r>
      <w:r w:rsidRPr="00310835" w:rsidR="00DD2687">
        <w:rPr>
          <w:lang w:val="nl-NL"/>
        </w:rPr>
        <w:t>nderhandelingen zijn nog niet afgerond</w:t>
      </w:r>
      <w:r w:rsidRPr="00310835" w:rsidR="00000FA0">
        <w:rPr>
          <w:lang w:val="nl-NL"/>
        </w:rPr>
        <w:t xml:space="preserve">. </w:t>
      </w:r>
      <w:r w:rsidRPr="00310835" w:rsidR="00F87FC7">
        <w:rPr>
          <w:lang w:val="nl-NL"/>
        </w:rPr>
        <w:t>Daarnaast</w:t>
      </w:r>
      <w:r w:rsidRPr="00310835" w:rsidR="00000FA0">
        <w:rPr>
          <w:lang w:val="nl-NL"/>
        </w:rPr>
        <w:t xml:space="preserve"> </w:t>
      </w:r>
      <w:r w:rsidRPr="00310835" w:rsidR="00DD2687">
        <w:rPr>
          <w:lang w:val="nl-NL"/>
        </w:rPr>
        <w:t xml:space="preserve">onderhandelt </w:t>
      </w:r>
      <w:r w:rsidRPr="00310835" w:rsidR="00000FA0">
        <w:rPr>
          <w:lang w:val="nl-NL"/>
        </w:rPr>
        <w:t xml:space="preserve">de Commissie </w:t>
      </w:r>
      <w:r w:rsidRPr="00310835" w:rsidR="00DD2687">
        <w:rPr>
          <w:lang w:val="nl-NL"/>
        </w:rPr>
        <w:t>met Marokko</w:t>
      </w:r>
      <w:r w:rsidRPr="00310835" w:rsidR="00000FA0">
        <w:rPr>
          <w:lang w:val="nl-NL"/>
        </w:rPr>
        <w:t xml:space="preserve"> </w:t>
      </w:r>
      <w:r w:rsidRPr="00310835" w:rsidR="00E20469">
        <w:rPr>
          <w:lang w:val="nl-NL"/>
        </w:rPr>
        <w:t>o</w:t>
      </w:r>
      <w:r w:rsidRPr="00310835" w:rsidR="00374D49">
        <w:rPr>
          <w:lang w:val="nl-NL"/>
        </w:rPr>
        <w:t>ver vernieuwing van</w:t>
      </w:r>
      <w:r w:rsidRPr="00310835" w:rsidR="00E20469">
        <w:rPr>
          <w:lang w:val="nl-NL"/>
        </w:rPr>
        <w:t xml:space="preserve"> het visserijprotocol tussen de Europese Unie en Marokko</w:t>
      </w:r>
      <w:r w:rsidRPr="00310835" w:rsidR="00E73BAE">
        <w:rPr>
          <w:lang w:val="nl-NL"/>
        </w:rPr>
        <w:t>,</w:t>
      </w:r>
      <w:r w:rsidRPr="00310835" w:rsidR="00E20469">
        <w:rPr>
          <w:lang w:val="nl-NL"/>
        </w:rPr>
        <w:t xml:space="preserve"> </w:t>
      </w:r>
      <w:r w:rsidRPr="00310835" w:rsidR="002C1E28">
        <w:rPr>
          <w:lang w:val="nl-NL"/>
        </w:rPr>
        <w:t>dat op 14 juli 2018 afloopt</w:t>
      </w:r>
      <w:r w:rsidRPr="00310835" w:rsidR="00E20469">
        <w:rPr>
          <w:lang w:val="nl-NL"/>
        </w:rPr>
        <w:t>.</w:t>
      </w:r>
      <w:r w:rsidRPr="00310835" w:rsidR="002C1E28">
        <w:rPr>
          <w:lang w:val="nl-NL"/>
        </w:rPr>
        <w:t xml:space="preserve"> </w:t>
      </w:r>
    </w:p>
    <w:p w:rsidRPr="00310835" w:rsidR="004C4702" w:rsidP="00E05E5D" w:rsidRDefault="002205CA" w14:paraId="1C454EC1" w14:textId="6A2E7FB7">
      <w:pPr>
        <w:ind w:left="120"/>
        <w:rPr>
          <w:sz w:val="18"/>
        </w:rPr>
      </w:pPr>
      <w:r w:rsidRPr="00310835">
        <w:rPr>
          <w:sz w:val="18"/>
          <w:u w:val="single"/>
        </w:rPr>
        <w:br w:type="column"/>
      </w:r>
      <w:r w:rsidRPr="00310835" w:rsidR="00B603E8">
        <w:rPr>
          <w:sz w:val="18"/>
          <w:u w:val="single"/>
        </w:rPr>
        <w:lastRenderedPageBreak/>
        <w:t>Tunesië (</w:t>
      </w:r>
      <w:r w:rsidRPr="00310835" w:rsidR="00B603E8">
        <w:rPr>
          <w:i/>
          <w:sz w:val="18"/>
          <w:u w:val="single"/>
        </w:rPr>
        <w:t xml:space="preserve">Deep and Comprehensive Free Trade Agreement </w:t>
      </w:r>
      <w:r w:rsidRPr="00310835" w:rsidR="00B603E8">
        <w:rPr>
          <w:sz w:val="18"/>
          <w:u w:val="single"/>
        </w:rPr>
        <w:t>(DCFTA))</w:t>
      </w:r>
      <w:r w:rsidRPr="00310835" w:rsidR="00B603E8">
        <w:rPr>
          <w:sz w:val="18"/>
        </w:rPr>
        <w:t>:</w:t>
      </w:r>
    </w:p>
    <w:p w:rsidRPr="00310835" w:rsidR="004C4702" w:rsidP="00E05E5D" w:rsidRDefault="00B603E8" w14:paraId="1C454EC2" w14:textId="4FD190E1">
      <w:pPr>
        <w:pStyle w:val="Plattetekst"/>
        <w:ind w:left="120" w:right="82"/>
        <w:rPr>
          <w:lang w:val="nl-NL"/>
        </w:rPr>
      </w:pPr>
      <w:r w:rsidRPr="00310835">
        <w:rPr>
          <w:lang w:val="nl-NL"/>
        </w:rPr>
        <w:t xml:space="preserve">Het associatieakkoord tussen de EU en Tunesië is in 1998 in werking getreden. In 2008 zijn de douanerechten voor industrieproducten volledig afgeschaft. In 2011 kreeg de Europese Commissie een mandaat om te onderhandelen over verbreding en verdieping van het akkoord, met afspraken over onder meer handel in diensten en investeringen. </w:t>
      </w:r>
      <w:r w:rsidRPr="00310835" w:rsidR="0050577F">
        <w:rPr>
          <w:lang w:val="nl-NL"/>
        </w:rPr>
        <w:t>EU-t</w:t>
      </w:r>
      <w:r w:rsidRPr="00310835" w:rsidR="006F6E53">
        <w:rPr>
          <w:lang w:val="nl-NL"/>
        </w:rPr>
        <w:t>ekstvoorstellen zijn online te vinden.</w:t>
      </w:r>
      <w:r w:rsidRPr="00310835" w:rsidR="006F6E53">
        <w:rPr>
          <w:rStyle w:val="Voetnootmarkering"/>
          <w:lang w:val="nl-NL"/>
        </w:rPr>
        <w:footnoteReference w:id="4"/>
      </w:r>
      <w:r w:rsidRPr="00310835" w:rsidR="006F6E53">
        <w:rPr>
          <w:lang w:val="nl-NL"/>
        </w:rPr>
        <w:t xml:space="preserve"> </w:t>
      </w:r>
      <w:r w:rsidRPr="00310835" w:rsidR="00452494">
        <w:rPr>
          <w:lang w:val="nl-NL"/>
        </w:rPr>
        <w:t xml:space="preserve"> Dit geldt tevens voor </w:t>
      </w:r>
      <w:r w:rsidRPr="00310835" w:rsidR="004D1BA4">
        <w:rPr>
          <w:lang w:val="nl-NL"/>
        </w:rPr>
        <w:t>de resultaten van</w:t>
      </w:r>
      <w:r w:rsidRPr="00310835" w:rsidR="00452494">
        <w:rPr>
          <w:lang w:val="nl-NL"/>
        </w:rPr>
        <w:t xml:space="preserve"> een consultatie met </w:t>
      </w:r>
      <w:r w:rsidRPr="00310835" w:rsidR="00684AC1">
        <w:rPr>
          <w:lang w:val="nl-NL"/>
        </w:rPr>
        <w:t>belanghebbenden</w:t>
      </w:r>
      <w:r w:rsidRPr="00310835" w:rsidR="00452494">
        <w:rPr>
          <w:lang w:val="nl-NL"/>
        </w:rPr>
        <w:t>.</w:t>
      </w:r>
      <w:r w:rsidRPr="00310835" w:rsidR="00452494">
        <w:rPr>
          <w:rStyle w:val="Voetnootmarkering"/>
          <w:lang w:val="nl-NL"/>
        </w:rPr>
        <w:footnoteReference w:id="5"/>
      </w:r>
      <w:r w:rsidRPr="00310835" w:rsidR="00452494">
        <w:rPr>
          <w:lang w:val="nl-NL"/>
        </w:rPr>
        <w:t xml:space="preserve"> </w:t>
      </w:r>
      <w:r w:rsidRPr="00310835" w:rsidR="00955888">
        <w:rPr>
          <w:lang w:val="nl-NL"/>
        </w:rPr>
        <w:t>Een eerste volledige onderhandelingsronde vond plaats in april 2016.</w:t>
      </w:r>
      <w:r w:rsidRPr="00310835" w:rsidR="00327014">
        <w:rPr>
          <w:lang w:val="nl-NL"/>
        </w:rPr>
        <w:t xml:space="preserve"> De Europese Commissie heeft het verslag van deze ronde op haar website gepubliceerd.</w:t>
      </w:r>
      <w:r w:rsidRPr="00310835" w:rsidR="00E73BAE">
        <w:rPr>
          <w:rStyle w:val="Voetnootmarkering"/>
          <w:lang w:val="nl-NL"/>
        </w:rPr>
        <w:footnoteReference w:id="6"/>
      </w:r>
      <w:r w:rsidRPr="00310835" w:rsidR="00955888">
        <w:rPr>
          <w:lang w:val="nl-NL"/>
        </w:rPr>
        <w:t xml:space="preserve"> De volgende onderhandelingsronde </w:t>
      </w:r>
      <w:r w:rsidRPr="00310835" w:rsidR="009612D2">
        <w:rPr>
          <w:lang w:val="nl-NL"/>
        </w:rPr>
        <w:t>vindt naar verwachting plaats rond</w:t>
      </w:r>
      <w:r w:rsidRPr="00310835" w:rsidR="0018018F">
        <w:rPr>
          <w:lang w:val="nl-NL"/>
        </w:rPr>
        <w:t xml:space="preserve"> </w:t>
      </w:r>
      <w:r w:rsidRPr="00310835" w:rsidR="009612D2">
        <w:rPr>
          <w:lang w:val="nl-NL"/>
        </w:rPr>
        <w:t>eind mei</w:t>
      </w:r>
      <w:r w:rsidRPr="00310835" w:rsidR="00374D49">
        <w:rPr>
          <w:lang w:val="nl-NL"/>
        </w:rPr>
        <w:t xml:space="preserve"> of</w:t>
      </w:r>
      <w:r w:rsidRPr="00310835" w:rsidR="009612D2">
        <w:rPr>
          <w:lang w:val="nl-NL"/>
        </w:rPr>
        <w:t xml:space="preserve"> begin juni.</w:t>
      </w:r>
    </w:p>
    <w:p w:rsidRPr="00310835" w:rsidR="004C4702" w:rsidP="00E05E5D" w:rsidRDefault="004C4702" w14:paraId="1C454EC3" w14:textId="77777777">
      <w:pPr>
        <w:pStyle w:val="Plattetekst"/>
        <w:rPr>
          <w:sz w:val="19"/>
          <w:lang w:val="nl-NL"/>
        </w:rPr>
      </w:pPr>
    </w:p>
    <w:p w:rsidRPr="00310835" w:rsidR="004C4702" w:rsidP="00E05E5D" w:rsidRDefault="00B603E8" w14:paraId="1C454EC5" w14:textId="47741B96">
      <w:pPr>
        <w:pStyle w:val="Lijstalinea"/>
        <w:numPr>
          <w:ilvl w:val="1"/>
          <w:numId w:val="2"/>
        </w:numPr>
        <w:tabs>
          <w:tab w:val="left" w:pos="489"/>
        </w:tabs>
        <w:ind w:left="488" w:hanging="368"/>
        <w:rPr>
          <w:sz w:val="18"/>
          <w:lang w:val="nl-NL"/>
        </w:rPr>
      </w:pPr>
      <w:r w:rsidRPr="00310835">
        <w:rPr>
          <w:i/>
          <w:sz w:val="18"/>
          <w:u w:val="single"/>
          <w:lang w:val="nl-NL"/>
        </w:rPr>
        <w:t>Azië</w:t>
      </w:r>
      <w:r w:rsidRPr="00310835">
        <w:rPr>
          <w:sz w:val="18"/>
          <w:lang w:val="nl-NL"/>
        </w:rPr>
        <w:t>:</w:t>
      </w:r>
    </w:p>
    <w:p w:rsidRPr="00310835" w:rsidR="00412C0C" w:rsidP="00412C0C" w:rsidRDefault="00412C0C" w14:paraId="4C531CAA" w14:textId="77777777">
      <w:pPr>
        <w:pStyle w:val="Lijstalinea"/>
        <w:tabs>
          <w:tab w:val="left" w:pos="489"/>
        </w:tabs>
        <w:ind w:left="488" w:firstLine="0"/>
        <w:rPr>
          <w:sz w:val="18"/>
          <w:lang w:val="nl-NL"/>
        </w:rPr>
      </w:pPr>
    </w:p>
    <w:p w:rsidRPr="00310835" w:rsidR="004C4702" w:rsidP="00E05E5D" w:rsidRDefault="00B603E8" w14:paraId="1C454EC6" w14:textId="77777777">
      <w:pPr>
        <w:ind w:left="120"/>
        <w:rPr>
          <w:sz w:val="18"/>
        </w:rPr>
      </w:pPr>
      <w:r w:rsidRPr="00310835">
        <w:rPr>
          <w:sz w:val="18"/>
          <w:u w:val="single"/>
        </w:rPr>
        <w:t>ASEAN (</w:t>
      </w:r>
      <w:r w:rsidRPr="00310835">
        <w:rPr>
          <w:i/>
          <w:sz w:val="18"/>
          <w:u w:val="single"/>
        </w:rPr>
        <w:t>Association of Southeast Asian Nations</w:t>
      </w:r>
      <w:r w:rsidRPr="00310835">
        <w:rPr>
          <w:sz w:val="18"/>
          <w:u w:val="single"/>
        </w:rPr>
        <w:t>)</w:t>
      </w:r>
      <w:r w:rsidRPr="00310835">
        <w:rPr>
          <w:sz w:val="18"/>
        </w:rPr>
        <w:t>:</w:t>
      </w:r>
    </w:p>
    <w:p w:rsidRPr="00310835" w:rsidR="004C4702" w:rsidP="00E05E5D" w:rsidRDefault="00B603E8" w14:paraId="1C454EC7" w14:textId="2A769FE5">
      <w:pPr>
        <w:pStyle w:val="Plattetekst"/>
        <w:ind w:left="119" w:right="116"/>
        <w:rPr>
          <w:lang w:val="nl-NL"/>
        </w:rPr>
      </w:pPr>
      <w:r w:rsidRPr="00310835">
        <w:rPr>
          <w:lang w:val="nl-NL"/>
        </w:rPr>
        <w:t xml:space="preserve">In 2007 zijn de onderhandelingen begonnen tussen de EU en de </w:t>
      </w:r>
      <w:r w:rsidRPr="00310835">
        <w:rPr>
          <w:i/>
          <w:lang w:val="nl-NL"/>
        </w:rPr>
        <w:t>Association of Southeast Asian Nations</w:t>
      </w:r>
      <w:r w:rsidRPr="00310835">
        <w:rPr>
          <w:sz w:val="12"/>
          <w:lang w:val="nl-NL"/>
        </w:rPr>
        <w:t xml:space="preserve"> </w:t>
      </w:r>
      <w:r w:rsidRPr="00310835">
        <w:rPr>
          <w:lang w:val="nl-NL"/>
        </w:rPr>
        <w:t>(ASEAN)</w:t>
      </w:r>
      <w:r w:rsidRPr="00310835" w:rsidR="002205CA">
        <w:rPr>
          <w:rStyle w:val="Voetnootmarkering"/>
          <w:lang w:val="nl-NL"/>
        </w:rPr>
        <w:footnoteReference w:id="7"/>
      </w:r>
      <w:r w:rsidRPr="00310835">
        <w:rPr>
          <w:lang w:val="nl-NL"/>
        </w:rPr>
        <w:t xml:space="preserve"> om tot een regionaal handelsakkoord te komen. De basis hiervoor is het ASEAN- mandaat uit 2007. Na zeven onderhandelingsrondes hebben de EU-lidstaten in 2009 besloten om verder te gaan op de weg van bilaterale handelsakkoorden met ASEAN-landen. Deze handelsakkoorden kunnen als bouwstenen dienen om later alsnog tot een regionaal handelsakkoord te komen.</w:t>
      </w:r>
    </w:p>
    <w:p w:rsidRPr="00310835" w:rsidR="004C4702" w:rsidP="00E05E5D" w:rsidRDefault="004C4702" w14:paraId="1C454EC8" w14:textId="77777777">
      <w:pPr>
        <w:pStyle w:val="Plattetekst"/>
        <w:rPr>
          <w:sz w:val="19"/>
          <w:lang w:val="nl-NL"/>
        </w:rPr>
      </w:pPr>
    </w:p>
    <w:p w:rsidRPr="00310835" w:rsidR="004C4702" w:rsidP="00E05E5D" w:rsidRDefault="00B603E8" w14:paraId="1C454EC9" w14:textId="77777777">
      <w:pPr>
        <w:ind w:left="119"/>
        <w:rPr>
          <w:sz w:val="18"/>
        </w:rPr>
      </w:pPr>
      <w:r w:rsidRPr="00310835">
        <w:rPr>
          <w:sz w:val="18"/>
          <w:u w:val="single"/>
        </w:rPr>
        <w:t>China (</w:t>
      </w:r>
      <w:r w:rsidRPr="00310835">
        <w:rPr>
          <w:i/>
          <w:sz w:val="18"/>
          <w:u w:val="single"/>
        </w:rPr>
        <w:t>EU-China Investment Agreement</w:t>
      </w:r>
      <w:r w:rsidRPr="00310835">
        <w:rPr>
          <w:sz w:val="18"/>
          <w:u w:val="single"/>
        </w:rPr>
        <w:t>)</w:t>
      </w:r>
      <w:r w:rsidRPr="00310835">
        <w:rPr>
          <w:sz w:val="18"/>
        </w:rPr>
        <w:t>:</w:t>
      </w:r>
    </w:p>
    <w:p w:rsidRPr="00310835" w:rsidR="004C4702" w:rsidP="00E05E5D" w:rsidRDefault="00B603E8" w14:paraId="1C454ECA" w14:textId="7E977990">
      <w:pPr>
        <w:pStyle w:val="Plattetekst"/>
        <w:ind w:left="120" w:right="453"/>
        <w:rPr>
          <w:lang w:val="nl-NL"/>
        </w:rPr>
      </w:pPr>
      <w:r w:rsidRPr="00310835">
        <w:rPr>
          <w:lang w:val="nl-NL"/>
        </w:rPr>
        <w:t>Sinds november 2013 is de Europese Commissie, op basis van een mandaat uit oktober 2013, met China in onderhandeling over een investeringsakkoord. Het doel is om een kwalitatief hoogwaardig akkoord te sluiten waarbij het gaat om het verzekeren van markttoegang van investeringen en transparantie, duurzaamheidsafspraken te maken en het beschermen van investeringen met een nieuw investeringsbeschermingsmechanisme volgens de nieuwe EU-benadering. De 26 bestaande bilaterale investeringsbeschermingsovereenkomsten tussen de EU-lidstaten en China zullen uiteindelijk vervangen worden door dit diepgaa</w:t>
      </w:r>
      <w:r w:rsidRPr="00310835" w:rsidR="002301C5">
        <w:rPr>
          <w:lang w:val="nl-NL"/>
        </w:rPr>
        <w:t>nd EU-investeringsakkoord. De 1</w:t>
      </w:r>
      <w:r w:rsidRPr="00310835" w:rsidR="00C505B4">
        <w:rPr>
          <w:lang w:val="nl-NL"/>
        </w:rPr>
        <w:t>6</w:t>
      </w:r>
      <w:r w:rsidRPr="00310835">
        <w:rPr>
          <w:position w:val="6"/>
          <w:sz w:val="12"/>
          <w:lang w:val="nl-NL"/>
        </w:rPr>
        <w:t xml:space="preserve">e </w:t>
      </w:r>
      <w:r w:rsidRPr="00310835">
        <w:rPr>
          <w:lang w:val="nl-NL"/>
        </w:rPr>
        <w:t xml:space="preserve">onderhandelingsronde vond </w:t>
      </w:r>
      <w:r w:rsidRPr="00310835" w:rsidR="00753C33">
        <w:rPr>
          <w:lang w:val="nl-NL"/>
        </w:rPr>
        <w:t xml:space="preserve">plaats </w:t>
      </w:r>
      <w:r w:rsidRPr="00310835" w:rsidR="002301C5">
        <w:rPr>
          <w:lang w:val="nl-NL"/>
        </w:rPr>
        <w:t xml:space="preserve">van </w:t>
      </w:r>
      <w:r w:rsidRPr="00310835" w:rsidR="00C505B4">
        <w:rPr>
          <w:lang w:val="nl-NL"/>
        </w:rPr>
        <w:t>12</w:t>
      </w:r>
      <w:r w:rsidRPr="00310835" w:rsidR="002301C5">
        <w:rPr>
          <w:lang w:val="nl-NL"/>
        </w:rPr>
        <w:t xml:space="preserve"> tot </w:t>
      </w:r>
      <w:r w:rsidRPr="00310835" w:rsidR="00EE0264">
        <w:rPr>
          <w:lang w:val="nl-NL"/>
        </w:rPr>
        <w:t>en met 1</w:t>
      </w:r>
      <w:r w:rsidRPr="00310835" w:rsidR="00C505B4">
        <w:rPr>
          <w:lang w:val="nl-NL"/>
        </w:rPr>
        <w:t>5</w:t>
      </w:r>
      <w:r w:rsidRPr="00310835" w:rsidR="00EE0264">
        <w:rPr>
          <w:lang w:val="nl-NL"/>
        </w:rPr>
        <w:t xml:space="preserve"> </w:t>
      </w:r>
      <w:r w:rsidRPr="00310835" w:rsidR="00C505B4">
        <w:rPr>
          <w:lang w:val="nl-NL"/>
        </w:rPr>
        <w:t>december</w:t>
      </w:r>
      <w:r w:rsidRPr="00310835" w:rsidR="002301C5">
        <w:rPr>
          <w:lang w:val="nl-NL"/>
        </w:rPr>
        <w:t xml:space="preserve">2017 in </w:t>
      </w:r>
      <w:r w:rsidRPr="00310835" w:rsidR="00EE0264">
        <w:rPr>
          <w:lang w:val="nl-NL"/>
        </w:rPr>
        <w:t>B</w:t>
      </w:r>
      <w:r w:rsidRPr="00310835" w:rsidR="00C505B4">
        <w:rPr>
          <w:lang w:val="nl-NL"/>
        </w:rPr>
        <w:t>russel</w:t>
      </w:r>
      <w:r w:rsidRPr="00310835">
        <w:rPr>
          <w:lang w:val="nl-NL"/>
        </w:rPr>
        <w:t xml:space="preserve">. </w:t>
      </w:r>
      <w:r w:rsidRPr="00310835" w:rsidR="002301C5">
        <w:rPr>
          <w:lang w:val="nl-NL"/>
        </w:rPr>
        <w:t>Een verslag van de onderhandelingsronde heeft de Commissie gepubliceerd op haar website.</w:t>
      </w:r>
      <w:r w:rsidRPr="00310835" w:rsidR="002301C5">
        <w:rPr>
          <w:rStyle w:val="Voetnootmarkering"/>
          <w:lang w:val="nl-NL"/>
        </w:rPr>
        <w:footnoteReference w:id="8"/>
      </w:r>
      <w:r w:rsidRPr="00310835" w:rsidR="002301C5">
        <w:rPr>
          <w:lang w:val="nl-NL"/>
        </w:rPr>
        <w:t xml:space="preserve"> </w:t>
      </w:r>
      <w:r w:rsidRPr="00310835" w:rsidR="00C505B4">
        <w:rPr>
          <w:lang w:val="nl-NL"/>
        </w:rPr>
        <w:t xml:space="preserve">De eerstvolgende ronde </w:t>
      </w:r>
      <w:r w:rsidRPr="00310835" w:rsidR="00B64B6B">
        <w:rPr>
          <w:lang w:val="nl-NL"/>
        </w:rPr>
        <w:t>zal op 16 april 2018 plaatsvinden.</w:t>
      </w:r>
    </w:p>
    <w:p w:rsidRPr="00310835" w:rsidR="004A170C" w:rsidP="00E05E5D" w:rsidRDefault="004A170C" w14:paraId="7665C2B0" w14:textId="0A8EE2F6">
      <w:pPr>
        <w:pStyle w:val="Plattetekst"/>
        <w:ind w:left="120" w:right="453"/>
        <w:rPr>
          <w:lang w:val="nl-NL"/>
        </w:rPr>
      </w:pPr>
    </w:p>
    <w:p w:rsidRPr="00310835" w:rsidR="004A170C" w:rsidP="00E05E5D" w:rsidRDefault="004A170C" w14:paraId="26A5A2E7" w14:textId="496004DA">
      <w:pPr>
        <w:pStyle w:val="Plattetekst"/>
        <w:ind w:left="120" w:right="453"/>
        <w:rPr>
          <w:lang w:val="nl-NL"/>
        </w:rPr>
      </w:pPr>
      <w:r w:rsidRPr="00310835">
        <w:rPr>
          <w:lang w:val="nl-NL"/>
        </w:rPr>
        <w:t xml:space="preserve">De Raad heeft de Commissie in december 2005 gemachtigd voor het voeren van onderhandelingen over een </w:t>
      </w:r>
      <w:r w:rsidRPr="00310835">
        <w:rPr>
          <w:i/>
          <w:lang w:val="nl-NL"/>
        </w:rPr>
        <w:t>Partnership and Cooperation Agreement</w:t>
      </w:r>
      <w:r w:rsidRPr="00310835">
        <w:rPr>
          <w:lang w:val="nl-NL"/>
        </w:rPr>
        <w:t>. Onderhandelingen zijn gestart in 2007, maar zijn in 2011 vastgelopen vanwege</w:t>
      </w:r>
      <w:r w:rsidRPr="00310835" w:rsidR="00995338">
        <w:rPr>
          <w:lang w:val="nl-NL"/>
        </w:rPr>
        <w:t xml:space="preserve"> het</w:t>
      </w:r>
      <w:r w:rsidRPr="00310835">
        <w:rPr>
          <w:lang w:val="nl-NL"/>
        </w:rPr>
        <w:t xml:space="preserve"> verschil in </w:t>
      </w:r>
      <w:r w:rsidRPr="00310835" w:rsidR="00995338">
        <w:rPr>
          <w:lang w:val="nl-NL"/>
        </w:rPr>
        <w:t xml:space="preserve">de </w:t>
      </w:r>
      <w:r w:rsidRPr="00310835">
        <w:rPr>
          <w:lang w:val="nl-NL"/>
        </w:rPr>
        <w:t>verwachtingen tussen beide partijen.</w:t>
      </w:r>
    </w:p>
    <w:p w:rsidRPr="00310835" w:rsidR="004A170C" w:rsidP="00E05E5D" w:rsidRDefault="004A170C" w14:paraId="52DED2EE" w14:textId="460A9127">
      <w:pPr>
        <w:pStyle w:val="Plattetekst"/>
        <w:ind w:left="120" w:right="453"/>
        <w:rPr>
          <w:lang w:val="nl-NL"/>
        </w:rPr>
      </w:pPr>
    </w:p>
    <w:p w:rsidRPr="00310835" w:rsidR="004C4702" w:rsidP="00E05E5D" w:rsidRDefault="00B603E8" w14:paraId="1C454ED4" w14:textId="48A362A9">
      <w:pPr>
        <w:ind w:left="120"/>
        <w:rPr>
          <w:sz w:val="18"/>
        </w:rPr>
      </w:pPr>
      <w:r w:rsidRPr="00310835">
        <w:rPr>
          <w:sz w:val="18"/>
          <w:u w:val="single"/>
        </w:rPr>
        <w:t>Filipijnen (</w:t>
      </w:r>
      <w:r w:rsidRPr="00310835">
        <w:rPr>
          <w:i/>
          <w:sz w:val="18"/>
          <w:u w:val="single"/>
        </w:rPr>
        <w:t>EU-Philippines Free Trade Agreement</w:t>
      </w:r>
      <w:r w:rsidRPr="00310835">
        <w:rPr>
          <w:sz w:val="18"/>
          <w:u w:val="single"/>
        </w:rPr>
        <w:t>)</w:t>
      </w:r>
      <w:r w:rsidRPr="00310835">
        <w:rPr>
          <w:sz w:val="18"/>
        </w:rPr>
        <w:t>:</w:t>
      </w:r>
    </w:p>
    <w:p w:rsidRPr="00310835" w:rsidR="004C4702" w:rsidP="00E05E5D" w:rsidRDefault="00B603E8" w14:paraId="1C454ED5" w14:textId="35A5E259">
      <w:pPr>
        <w:pStyle w:val="Plattetekst"/>
        <w:ind w:left="120" w:right="155"/>
        <w:rPr>
          <w:sz w:val="12"/>
          <w:lang w:val="nl-NL"/>
        </w:rPr>
      </w:pPr>
      <w:r w:rsidRPr="00310835">
        <w:rPr>
          <w:lang w:val="nl-NL"/>
        </w:rPr>
        <w:t>In december 2015 zijn de onderhandelingen over een handelsakkoord tussen EU en de Filipijnen aangekondigd. De Raad heeft eind 2015 ingestemd met een Voorzitterschapsnotitie voor de start van de onderhandelingen. Deze notitie vormt een aanvulling op het mandaat van de Raad aan de Europese Commissie voor de onderhandelingen over een regionaal handelsakkoord met de ASEAN- regio uit 2007. De tweede onderhandelingsronde vond plaats van 13 tot en met 17 februari 2017. De Europese Commissie heeft het verslag van deze ronde op haar website gepubliceerd.</w:t>
      </w:r>
      <w:r w:rsidRPr="00310835" w:rsidR="00E11CA6">
        <w:rPr>
          <w:rStyle w:val="Voetnootmarkering"/>
          <w:lang w:val="nl-NL"/>
        </w:rPr>
        <w:footnoteReference w:id="9"/>
      </w:r>
      <w:r w:rsidRPr="00310835" w:rsidR="0049405E">
        <w:rPr>
          <w:lang w:val="nl-NL"/>
        </w:rPr>
        <w:t xml:space="preserve"> Op dit moment is nog geen volgende onderhandelingsronde gepland.</w:t>
      </w:r>
    </w:p>
    <w:p w:rsidRPr="00310835" w:rsidR="004C4702" w:rsidP="00E05E5D" w:rsidRDefault="004C4702" w14:paraId="1C454ED6" w14:textId="77777777">
      <w:pPr>
        <w:pStyle w:val="Plattetekst"/>
        <w:rPr>
          <w:sz w:val="19"/>
          <w:lang w:val="nl-NL"/>
        </w:rPr>
      </w:pPr>
    </w:p>
    <w:p w:rsidRPr="00310835" w:rsidR="004C4702" w:rsidP="00E05E5D" w:rsidRDefault="00B603E8" w14:paraId="1C454ED7" w14:textId="194716AE">
      <w:pPr>
        <w:ind w:left="119"/>
        <w:rPr>
          <w:sz w:val="18"/>
          <w:lang w:val="nl-NL"/>
        </w:rPr>
      </w:pPr>
      <w:r w:rsidRPr="00310835">
        <w:rPr>
          <w:sz w:val="18"/>
          <w:u w:val="single"/>
          <w:lang w:val="nl-NL"/>
        </w:rPr>
        <w:t>India (</w:t>
      </w:r>
      <w:r w:rsidRPr="00310835">
        <w:rPr>
          <w:i/>
          <w:sz w:val="18"/>
          <w:u w:val="single"/>
          <w:lang w:val="nl-NL"/>
        </w:rPr>
        <w:t>India-EU Free Trade Agreement</w:t>
      </w:r>
      <w:r w:rsidRPr="00310835">
        <w:rPr>
          <w:sz w:val="18"/>
          <w:u w:val="single"/>
          <w:lang w:val="nl-NL"/>
        </w:rPr>
        <w:t>)</w:t>
      </w:r>
      <w:r w:rsidRPr="00310835">
        <w:rPr>
          <w:sz w:val="18"/>
          <w:lang w:val="nl-NL"/>
        </w:rPr>
        <w:t>:</w:t>
      </w:r>
    </w:p>
    <w:p w:rsidRPr="00310835" w:rsidR="00E20BE6" w:rsidP="00374D49" w:rsidRDefault="00B603E8" w14:paraId="14D9D13F" w14:textId="33BB6C11">
      <w:pPr>
        <w:pStyle w:val="Geenafstand"/>
        <w:ind w:left="119"/>
        <w:rPr>
          <w:rFonts w:cstheme="minorHAnsi"/>
          <w:sz w:val="18"/>
          <w:szCs w:val="18"/>
          <w:lang w:val="nl-NL"/>
        </w:rPr>
      </w:pPr>
      <w:r w:rsidRPr="00310835">
        <w:rPr>
          <w:sz w:val="18"/>
          <w:szCs w:val="18"/>
          <w:lang w:val="nl-NL"/>
        </w:rPr>
        <w:t xml:space="preserve">Na </w:t>
      </w:r>
      <w:r w:rsidRPr="00310835" w:rsidR="00327014">
        <w:rPr>
          <w:sz w:val="18"/>
          <w:szCs w:val="18"/>
          <w:lang w:val="nl-NL"/>
        </w:rPr>
        <w:t>vaststelling</w:t>
      </w:r>
      <w:r w:rsidRPr="00310835">
        <w:rPr>
          <w:sz w:val="18"/>
          <w:szCs w:val="18"/>
          <w:lang w:val="nl-NL"/>
        </w:rPr>
        <w:t xml:space="preserve"> van </w:t>
      </w:r>
      <w:r w:rsidRPr="00310835" w:rsidR="00327014">
        <w:rPr>
          <w:sz w:val="18"/>
          <w:szCs w:val="18"/>
          <w:lang w:val="nl-NL"/>
        </w:rPr>
        <w:t>het onderhandelings</w:t>
      </w:r>
      <w:r w:rsidRPr="00310835">
        <w:rPr>
          <w:sz w:val="18"/>
          <w:szCs w:val="18"/>
          <w:lang w:val="nl-NL"/>
        </w:rPr>
        <w:t xml:space="preserve">mandaat in de Raad in april 2007, zijn onderhandelingen over een handelsakkoord in juni 2007 van start gegaan. Na 12 onderhandelingsrondes, waarvan de laatste in de zomer van 2013, staan de onderhandelingen voorlopig stil. Pas als de ambities en verwachtingen van beide partijen weer nader tot elkaar komen, is hervatting van de </w:t>
      </w:r>
      <w:r w:rsidRPr="00310835">
        <w:rPr>
          <w:sz w:val="18"/>
          <w:szCs w:val="18"/>
          <w:lang w:val="nl-NL"/>
        </w:rPr>
        <w:lastRenderedPageBreak/>
        <w:t>onderhandelingen mogelijk.</w:t>
      </w:r>
      <w:r w:rsidRPr="00310835" w:rsidR="0008664D">
        <w:rPr>
          <w:sz w:val="18"/>
          <w:szCs w:val="18"/>
          <w:lang w:val="nl-NL"/>
        </w:rPr>
        <w:t xml:space="preserve"> </w:t>
      </w:r>
      <w:r w:rsidRPr="00310835" w:rsidR="003C604E">
        <w:rPr>
          <w:sz w:val="18"/>
          <w:szCs w:val="18"/>
          <w:lang w:val="nl-NL"/>
        </w:rPr>
        <w:t>Op de EU-India top van 6 oktober 2017 hebben de leiders van beide partijen aang</w:t>
      </w:r>
      <w:r w:rsidRPr="00310835" w:rsidR="00327014">
        <w:rPr>
          <w:sz w:val="18"/>
          <w:szCs w:val="18"/>
          <w:lang w:val="nl-NL"/>
        </w:rPr>
        <w:t>e</w:t>
      </w:r>
      <w:r w:rsidRPr="00310835" w:rsidR="003C604E">
        <w:rPr>
          <w:sz w:val="18"/>
          <w:szCs w:val="18"/>
          <w:lang w:val="nl-NL"/>
        </w:rPr>
        <w:t xml:space="preserve">kondigd om zich actief in te zetten voor het heropenen van de onderhandelingen. </w:t>
      </w:r>
      <w:r w:rsidRPr="00310835" w:rsidR="00E20BE6">
        <w:rPr>
          <w:rFonts w:cstheme="minorHAnsi"/>
          <w:sz w:val="18"/>
          <w:szCs w:val="18"/>
          <w:lang w:val="nl-NL"/>
        </w:rPr>
        <w:t xml:space="preserve">In </w:t>
      </w:r>
      <w:r w:rsidRPr="00310835" w:rsidR="00374D49">
        <w:rPr>
          <w:rFonts w:cstheme="minorHAnsi"/>
          <w:sz w:val="18"/>
          <w:szCs w:val="18"/>
          <w:lang w:val="nl-NL"/>
        </w:rPr>
        <w:t xml:space="preserve">december </w:t>
      </w:r>
      <w:r w:rsidRPr="00310835" w:rsidR="00E20BE6">
        <w:rPr>
          <w:rFonts w:cstheme="minorHAnsi"/>
          <w:sz w:val="18"/>
          <w:szCs w:val="18"/>
          <w:lang w:val="nl-NL"/>
        </w:rPr>
        <w:t xml:space="preserve">2017 en </w:t>
      </w:r>
      <w:r w:rsidRPr="00310835" w:rsidR="00374D49">
        <w:rPr>
          <w:rFonts w:cstheme="minorHAnsi"/>
          <w:sz w:val="18"/>
          <w:szCs w:val="18"/>
          <w:lang w:val="nl-NL"/>
        </w:rPr>
        <w:t xml:space="preserve">april </w:t>
      </w:r>
      <w:r w:rsidRPr="00310835" w:rsidR="00E20BE6">
        <w:rPr>
          <w:rFonts w:cstheme="minorHAnsi"/>
          <w:sz w:val="18"/>
          <w:szCs w:val="18"/>
          <w:lang w:val="nl-NL"/>
        </w:rPr>
        <w:t xml:space="preserve">2018 is er tussen de hoofdonderhandelaars opnieuw gediscussieerd over een mogelijke herstart van de onderhandelingen. Momenteel is er </w:t>
      </w:r>
      <w:r w:rsidRPr="00310835" w:rsidR="00972F62">
        <w:rPr>
          <w:rFonts w:cstheme="minorHAnsi"/>
          <w:sz w:val="18"/>
          <w:szCs w:val="18"/>
          <w:lang w:val="nl-NL"/>
        </w:rPr>
        <w:t>nog geen</w:t>
      </w:r>
      <w:r w:rsidRPr="00310835" w:rsidR="00E20BE6">
        <w:rPr>
          <w:rFonts w:cstheme="minorHAnsi"/>
          <w:sz w:val="18"/>
          <w:szCs w:val="18"/>
          <w:lang w:val="nl-NL"/>
        </w:rPr>
        <w:t xml:space="preserve"> zicht op </w:t>
      </w:r>
      <w:r w:rsidRPr="00310835" w:rsidR="00972F62">
        <w:rPr>
          <w:rFonts w:cstheme="minorHAnsi"/>
          <w:sz w:val="18"/>
          <w:szCs w:val="18"/>
          <w:lang w:val="nl-NL"/>
        </w:rPr>
        <w:t xml:space="preserve">een </w:t>
      </w:r>
      <w:r w:rsidRPr="00310835" w:rsidR="00E20BE6">
        <w:rPr>
          <w:rFonts w:cstheme="minorHAnsi"/>
          <w:sz w:val="18"/>
          <w:szCs w:val="18"/>
          <w:lang w:val="nl-NL"/>
        </w:rPr>
        <w:t xml:space="preserve">herstart van de onderhandelingen. </w:t>
      </w:r>
    </w:p>
    <w:p w:rsidRPr="00310835" w:rsidR="00D5104D" w:rsidP="00E20BE6" w:rsidRDefault="00D5104D" w14:paraId="7DC16291" w14:textId="77777777">
      <w:pPr>
        <w:pStyle w:val="Default"/>
        <w:ind w:left="119"/>
      </w:pPr>
    </w:p>
    <w:p w:rsidRPr="00310835" w:rsidR="004C4702" w:rsidP="00D5104D" w:rsidRDefault="00B603E8" w14:paraId="1C454EDA" w14:textId="383F0406">
      <w:pPr>
        <w:pStyle w:val="Plattetekst"/>
        <w:ind w:left="120" w:right="272"/>
      </w:pPr>
      <w:r w:rsidRPr="00310835">
        <w:rPr>
          <w:u w:val="single"/>
        </w:rPr>
        <w:t>Indonesië (</w:t>
      </w:r>
      <w:r w:rsidRPr="00310835">
        <w:rPr>
          <w:i/>
          <w:u w:val="single"/>
        </w:rPr>
        <w:t xml:space="preserve">Indonesia-EU Comprehensive Economic Partnership Agreement </w:t>
      </w:r>
      <w:r w:rsidRPr="00310835">
        <w:rPr>
          <w:u w:val="single"/>
        </w:rPr>
        <w:t>(CEPA))</w:t>
      </w:r>
      <w:r w:rsidRPr="00310835">
        <w:t>:</w:t>
      </w:r>
    </w:p>
    <w:p w:rsidRPr="00310835" w:rsidR="004C4702" w:rsidP="00B01380" w:rsidRDefault="00B603E8" w14:paraId="1C454EDC" w14:textId="7715E389">
      <w:pPr>
        <w:pStyle w:val="Plattetekst"/>
        <w:ind w:left="119" w:right="110"/>
        <w:rPr>
          <w:sz w:val="19"/>
          <w:lang w:val="nl-NL"/>
        </w:rPr>
      </w:pPr>
      <w:r w:rsidRPr="00310835">
        <w:rPr>
          <w:lang w:val="nl-NL"/>
        </w:rPr>
        <w:t xml:space="preserve">De Raad heeft op 18 juli 2016 ingestemd met een Voorzitterschapsnotitie voor de start van de onderhandelingen over een handelsakkoord tussen de EU en Indonesië. Deze notitie vormt een aanvulling op het bestaande ASEAN-mandaat uit 2007. </w:t>
      </w:r>
      <w:r w:rsidRPr="00310835" w:rsidR="00565D0F">
        <w:rPr>
          <w:lang w:val="nl-NL"/>
        </w:rPr>
        <w:t xml:space="preserve">De vierde </w:t>
      </w:r>
      <w:r w:rsidRPr="00310835" w:rsidR="009612D2">
        <w:rPr>
          <w:lang w:val="nl-NL"/>
        </w:rPr>
        <w:t>onderhandelings</w:t>
      </w:r>
      <w:r w:rsidRPr="00310835" w:rsidR="00565D0F">
        <w:rPr>
          <w:lang w:val="nl-NL"/>
        </w:rPr>
        <w:t xml:space="preserve">ronde </w:t>
      </w:r>
      <w:r w:rsidRPr="00310835" w:rsidR="009612D2">
        <w:rPr>
          <w:lang w:val="nl-NL"/>
        </w:rPr>
        <w:t xml:space="preserve">vond plaats </w:t>
      </w:r>
      <w:r w:rsidRPr="00310835" w:rsidR="00565D0F">
        <w:rPr>
          <w:lang w:val="nl-NL"/>
        </w:rPr>
        <w:t>van 19</w:t>
      </w:r>
      <w:r w:rsidRPr="00310835" w:rsidR="009612D2">
        <w:rPr>
          <w:lang w:val="nl-NL"/>
        </w:rPr>
        <w:t xml:space="preserve"> tot en met </w:t>
      </w:r>
      <w:r w:rsidRPr="00310835" w:rsidR="00565D0F">
        <w:rPr>
          <w:lang w:val="nl-NL"/>
        </w:rPr>
        <w:t xml:space="preserve">23 februari </w:t>
      </w:r>
      <w:r w:rsidRPr="00310835" w:rsidR="00A12DA7">
        <w:rPr>
          <w:lang w:val="nl-NL"/>
        </w:rPr>
        <w:t xml:space="preserve">2018 </w:t>
      </w:r>
      <w:r w:rsidRPr="00310835" w:rsidR="00565D0F">
        <w:rPr>
          <w:lang w:val="nl-NL"/>
        </w:rPr>
        <w:t xml:space="preserve">in Solo, </w:t>
      </w:r>
      <w:r w:rsidRPr="00310835" w:rsidR="00374D49">
        <w:rPr>
          <w:lang w:val="nl-NL"/>
        </w:rPr>
        <w:t xml:space="preserve">Indonesië. </w:t>
      </w:r>
      <w:r w:rsidRPr="00310835" w:rsidR="009612D2">
        <w:rPr>
          <w:lang w:val="nl-NL"/>
        </w:rPr>
        <w:t>Het verslag van deze rond</w:t>
      </w:r>
      <w:r w:rsidRPr="00310835" w:rsidR="00374D49">
        <w:rPr>
          <w:lang w:val="nl-NL"/>
        </w:rPr>
        <w:t>e</w:t>
      </w:r>
      <w:r w:rsidRPr="00310835" w:rsidR="009612D2">
        <w:rPr>
          <w:lang w:val="nl-NL"/>
        </w:rPr>
        <w:t xml:space="preserve"> is online gepubliceerd.</w:t>
      </w:r>
      <w:r w:rsidRPr="00310835" w:rsidR="009612D2">
        <w:rPr>
          <w:rStyle w:val="Voetnootmarkering"/>
          <w:lang w:val="nl-NL"/>
        </w:rPr>
        <w:footnoteReference w:id="10"/>
      </w:r>
      <w:r w:rsidRPr="00310835" w:rsidR="009612D2">
        <w:rPr>
          <w:lang w:val="nl-NL"/>
        </w:rPr>
        <w:t xml:space="preserve"> De EU en Indonesië hebben tijdens deze ronde nog geen markttoegangsaanbod uitgewisseld. Wel is onder andere voortgang geboekt op gebied van sanitaire en fytosanitaire eisen en handel in diensten.</w:t>
      </w:r>
    </w:p>
    <w:p w:rsidRPr="00310835" w:rsidR="00D5104D" w:rsidP="00E05E5D" w:rsidRDefault="00D5104D" w14:paraId="2A60CDBC" w14:textId="77777777">
      <w:pPr>
        <w:ind w:left="120"/>
        <w:rPr>
          <w:sz w:val="18"/>
          <w:u w:val="single"/>
          <w:lang w:val="nl-NL"/>
        </w:rPr>
      </w:pPr>
    </w:p>
    <w:p w:rsidRPr="00310835" w:rsidR="004C4702" w:rsidP="00E05E5D" w:rsidRDefault="00B603E8" w14:paraId="1C454EDD" w14:textId="5F14572A">
      <w:pPr>
        <w:ind w:left="120"/>
        <w:rPr>
          <w:sz w:val="18"/>
        </w:rPr>
      </w:pPr>
      <w:r w:rsidRPr="00310835">
        <w:rPr>
          <w:sz w:val="18"/>
          <w:u w:val="single"/>
        </w:rPr>
        <w:t>Irak (</w:t>
      </w:r>
      <w:r w:rsidRPr="00310835">
        <w:rPr>
          <w:i/>
          <w:sz w:val="18"/>
          <w:u w:val="single"/>
        </w:rPr>
        <w:t>Partnership and Cooperation Agreement</w:t>
      </w:r>
      <w:r w:rsidRPr="00310835">
        <w:rPr>
          <w:sz w:val="18"/>
          <w:u w:val="single"/>
        </w:rPr>
        <w:t>)</w:t>
      </w:r>
      <w:r w:rsidRPr="00310835">
        <w:rPr>
          <w:sz w:val="18"/>
        </w:rPr>
        <w:t>:</w:t>
      </w:r>
    </w:p>
    <w:p w:rsidRPr="00310835" w:rsidR="004C4702" w:rsidP="00E05E5D" w:rsidRDefault="00B603E8" w14:paraId="1C454EDE" w14:textId="77777777">
      <w:pPr>
        <w:pStyle w:val="Plattetekst"/>
        <w:ind w:left="119" w:right="229"/>
        <w:rPr>
          <w:lang w:val="nl-NL"/>
        </w:rPr>
      </w:pPr>
      <w:r w:rsidRPr="00310835">
        <w:rPr>
          <w:lang w:val="nl-NL"/>
        </w:rPr>
        <w:t xml:space="preserve">Het </w:t>
      </w:r>
      <w:r w:rsidRPr="00310835">
        <w:rPr>
          <w:i/>
          <w:lang w:val="nl-NL"/>
        </w:rPr>
        <w:t xml:space="preserve">EU-Iraq Partnership and Cooperation Agreement </w:t>
      </w:r>
      <w:r w:rsidRPr="00310835">
        <w:rPr>
          <w:lang w:val="nl-NL"/>
        </w:rPr>
        <w:t>uit 2012 biedt een basis voor samenwerking op handelsgebied. Omdat een aantal EU-lidstaten de ratificatie nog niet hebben afgerond, worden de handelsbepalingen van het akkoord sinds augustus 2012 voorlopig toegepast. Nederland heeft het akkoord in 2013 geratificeerd.</w:t>
      </w:r>
    </w:p>
    <w:p w:rsidRPr="00310835" w:rsidR="004C4702" w:rsidP="00E05E5D" w:rsidRDefault="004C4702" w14:paraId="1C454EDF" w14:textId="77777777">
      <w:pPr>
        <w:pStyle w:val="Plattetekst"/>
        <w:rPr>
          <w:sz w:val="19"/>
          <w:lang w:val="nl-NL"/>
        </w:rPr>
      </w:pPr>
    </w:p>
    <w:p w:rsidRPr="00310835" w:rsidR="004C4702" w:rsidP="00E05E5D" w:rsidRDefault="00B603E8" w14:paraId="1C454EE0" w14:textId="0487D742">
      <w:pPr>
        <w:ind w:left="119"/>
        <w:rPr>
          <w:sz w:val="18"/>
          <w:lang w:val="nl-NL"/>
        </w:rPr>
      </w:pPr>
      <w:r w:rsidRPr="00310835">
        <w:rPr>
          <w:sz w:val="18"/>
          <w:u w:val="single"/>
          <w:lang w:val="nl-NL"/>
        </w:rPr>
        <w:t>Japan (</w:t>
      </w:r>
      <w:r w:rsidRPr="00310835">
        <w:rPr>
          <w:i/>
          <w:sz w:val="18"/>
          <w:u w:val="single"/>
          <w:lang w:val="nl-NL"/>
        </w:rPr>
        <w:t xml:space="preserve">EU-Japan </w:t>
      </w:r>
      <w:r w:rsidRPr="00310835" w:rsidR="00DE7878">
        <w:rPr>
          <w:i/>
          <w:sz w:val="18"/>
          <w:u w:val="single"/>
          <w:lang w:val="nl-NL"/>
        </w:rPr>
        <w:t>Economic Partnership Agreement</w:t>
      </w:r>
      <w:r w:rsidRPr="00310835">
        <w:rPr>
          <w:sz w:val="18"/>
          <w:u w:val="single"/>
          <w:lang w:val="nl-NL"/>
        </w:rPr>
        <w:t>)</w:t>
      </w:r>
      <w:r w:rsidRPr="00310835">
        <w:rPr>
          <w:sz w:val="18"/>
          <w:lang w:val="nl-NL"/>
        </w:rPr>
        <w:t>:</w:t>
      </w:r>
    </w:p>
    <w:p w:rsidRPr="00310835" w:rsidR="00896A00" w:rsidP="00374D49" w:rsidRDefault="00896A00" w14:paraId="754E34BE" w14:textId="29FC6D39">
      <w:pPr>
        <w:pStyle w:val="Plattetekst"/>
        <w:ind w:left="142" w:right="126"/>
        <w:rPr>
          <w:lang w:val="nl-NL"/>
        </w:rPr>
      </w:pPr>
      <w:r w:rsidRPr="00310835">
        <w:rPr>
          <w:rFonts w:eastAsia="SymbolOOEnc" w:cs="Times New Roman"/>
          <w:lang w:val="nl-NL"/>
        </w:rPr>
        <w:t>De EU en Japan hebben vanaf 2013 onderhandeld over een handelsakkoord.</w:t>
      </w:r>
      <w:r w:rsidRPr="00310835" w:rsidR="00E7486C">
        <w:rPr>
          <w:lang w:val="nl-NL"/>
        </w:rPr>
        <w:t xml:space="preserve"> </w:t>
      </w:r>
      <w:r w:rsidRPr="00310835">
        <w:rPr>
          <w:rFonts w:cs="Times New Roman"/>
          <w:lang w:val="nl-NL"/>
        </w:rPr>
        <w:t>Op 8 december 2017</w:t>
      </w:r>
      <w:r w:rsidRPr="00310835" w:rsidR="00374D49">
        <w:rPr>
          <w:rFonts w:cs="Times New Roman"/>
          <w:lang w:val="nl-NL"/>
        </w:rPr>
        <w:t xml:space="preserve"> </w:t>
      </w:r>
      <w:r w:rsidRPr="00310835">
        <w:rPr>
          <w:rFonts w:cs="Times New Roman"/>
          <w:lang w:val="nl-NL"/>
        </w:rPr>
        <w:t xml:space="preserve">zijn die onderhandelingen afgerond. Op 18 april 2018 heeft de Europese Commissie voorstellen aan de Raad voorgelegd ter sluiting en ondertekening van het handelsakkoord. De planning is dat ondertekening van het verdrag op 11 juli </w:t>
      </w:r>
      <w:r w:rsidRPr="00310835" w:rsidR="00374D49">
        <w:rPr>
          <w:rFonts w:cs="Times New Roman"/>
          <w:lang w:val="nl-NL"/>
        </w:rPr>
        <w:t>2018</w:t>
      </w:r>
      <w:r w:rsidRPr="00310835">
        <w:rPr>
          <w:rFonts w:cs="Times New Roman"/>
          <w:lang w:val="nl-NL"/>
        </w:rPr>
        <w:t xml:space="preserve"> plaatsvindt tijdens de EU-Japan top.</w:t>
      </w:r>
      <w:r w:rsidRPr="00310835" w:rsidR="00374D49">
        <w:rPr>
          <w:rFonts w:cs="Times New Roman"/>
          <w:lang w:val="nl-NL"/>
        </w:rPr>
        <w:t xml:space="preserve"> </w:t>
      </w:r>
      <w:r w:rsidRPr="00310835" w:rsidR="00E7486C">
        <w:rPr>
          <w:lang w:val="nl-NL"/>
        </w:rPr>
        <w:t xml:space="preserve">Over </w:t>
      </w:r>
      <w:r w:rsidRPr="00310835" w:rsidR="00662719">
        <w:rPr>
          <w:lang w:val="nl-NL"/>
        </w:rPr>
        <w:t>het mechanisme voor de beslechting van geschillen tussen investeerders en staten</w:t>
      </w:r>
      <w:r w:rsidRPr="00310835" w:rsidR="00E7486C">
        <w:rPr>
          <w:lang w:val="nl-NL"/>
        </w:rPr>
        <w:t xml:space="preserve"> is </w:t>
      </w:r>
      <w:r w:rsidRPr="00310835" w:rsidR="00B25E00">
        <w:rPr>
          <w:lang w:val="nl-NL"/>
        </w:rPr>
        <w:t>tussen</w:t>
      </w:r>
    </w:p>
    <w:p w:rsidRPr="00310835" w:rsidR="007B3099" w:rsidP="00896A00" w:rsidRDefault="00B25E00" w14:paraId="3428C4D4" w14:textId="36EACFA5">
      <w:pPr>
        <w:pStyle w:val="Plattetekst"/>
        <w:ind w:right="126" w:firstLine="120"/>
        <w:rPr>
          <w:lang w:val="nl-NL"/>
        </w:rPr>
      </w:pPr>
      <w:r w:rsidRPr="00310835">
        <w:rPr>
          <w:lang w:val="nl-NL"/>
        </w:rPr>
        <w:t xml:space="preserve">Japan en de EU </w:t>
      </w:r>
      <w:r w:rsidRPr="00310835" w:rsidR="00471E4B">
        <w:rPr>
          <w:lang w:val="nl-NL"/>
        </w:rPr>
        <w:t>geen overeenstemming</w:t>
      </w:r>
      <w:r w:rsidRPr="00310835" w:rsidR="00662719">
        <w:rPr>
          <w:lang w:val="nl-NL"/>
        </w:rPr>
        <w:t xml:space="preserve"> </w:t>
      </w:r>
      <w:r w:rsidRPr="00310835">
        <w:rPr>
          <w:lang w:val="nl-NL"/>
        </w:rPr>
        <w:t>bereikt</w:t>
      </w:r>
      <w:r w:rsidRPr="00310835" w:rsidR="00471E4B">
        <w:rPr>
          <w:lang w:val="nl-NL"/>
        </w:rPr>
        <w:t>.</w:t>
      </w:r>
      <w:r w:rsidRPr="00310835" w:rsidR="00060E8C">
        <w:rPr>
          <w:lang w:val="nl-NL"/>
        </w:rPr>
        <w:t xml:space="preserve"> </w:t>
      </w:r>
      <w:r w:rsidRPr="00310835" w:rsidR="00896A00">
        <w:rPr>
          <w:lang w:val="nl-NL"/>
        </w:rPr>
        <w:t>Daardoor is het EU-Japan akkoord een EU-only</w:t>
      </w:r>
    </w:p>
    <w:p w:rsidRPr="00310835" w:rsidR="00896A00" w:rsidDel="00896A00" w:rsidP="00896A00" w:rsidRDefault="00896A00" w14:paraId="61B7AAFA" w14:textId="0CD6872D">
      <w:pPr>
        <w:pStyle w:val="Plattetekst"/>
        <w:ind w:right="126" w:firstLine="120"/>
      </w:pPr>
      <w:r w:rsidRPr="00310835">
        <w:t>akkoord.</w:t>
      </w:r>
    </w:p>
    <w:p w:rsidRPr="00310835" w:rsidR="004C4702" w:rsidP="00374D49" w:rsidRDefault="004C4702" w14:paraId="1C454EE2" w14:textId="53F6F215">
      <w:pPr>
        <w:pStyle w:val="Plattetekst"/>
        <w:ind w:right="126" w:firstLine="120"/>
        <w:rPr>
          <w:sz w:val="19"/>
        </w:rPr>
      </w:pPr>
    </w:p>
    <w:p w:rsidRPr="00310835" w:rsidR="004C4702" w:rsidP="00E05E5D" w:rsidRDefault="00B603E8" w14:paraId="1C454EE3" w14:textId="77777777">
      <w:pPr>
        <w:ind w:left="120"/>
        <w:rPr>
          <w:sz w:val="18"/>
        </w:rPr>
      </w:pPr>
      <w:r w:rsidRPr="00310835">
        <w:rPr>
          <w:sz w:val="18"/>
          <w:u w:val="single"/>
        </w:rPr>
        <w:t>Jordanië (</w:t>
      </w:r>
      <w:r w:rsidRPr="00310835">
        <w:rPr>
          <w:i/>
          <w:sz w:val="18"/>
          <w:u w:val="single"/>
        </w:rPr>
        <w:t xml:space="preserve">Deep and Comprehensive Free Trade Agreement </w:t>
      </w:r>
      <w:r w:rsidRPr="00310835">
        <w:rPr>
          <w:sz w:val="18"/>
          <w:u w:val="single"/>
        </w:rPr>
        <w:t>(DCFTA))</w:t>
      </w:r>
      <w:r w:rsidRPr="00310835">
        <w:rPr>
          <w:sz w:val="18"/>
        </w:rPr>
        <w:t>:</w:t>
      </w:r>
    </w:p>
    <w:p w:rsidRPr="00310835" w:rsidR="004C4702" w:rsidP="00E05E5D" w:rsidRDefault="00B603E8" w14:paraId="1C454EE4" w14:textId="5FFC7D64">
      <w:pPr>
        <w:pStyle w:val="Plattetekst"/>
        <w:ind w:left="119" w:right="101"/>
        <w:rPr>
          <w:lang w:val="nl-NL"/>
        </w:rPr>
      </w:pPr>
      <w:r w:rsidRPr="00310835">
        <w:rPr>
          <w:lang w:val="nl-NL"/>
        </w:rPr>
        <w:t xml:space="preserve">In 2002 is een associatieakkoord tussen de EU en Jordanië in werking getreden. Afschaffing van de invoertarieven is </w:t>
      </w:r>
      <w:r w:rsidRPr="00310835" w:rsidR="00793F72">
        <w:rPr>
          <w:lang w:val="nl-NL"/>
        </w:rPr>
        <w:t>na een transitieperiode van 12 jaar</w:t>
      </w:r>
      <w:r w:rsidRPr="00310835">
        <w:rPr>
          <w:lang w:val="nl-NL"/>
        </w:rPr>
        <w:t xml:space="preserve"> gerealiseerd. In 2007 trad een aanvullend akkoord in werking voor liberalisatie van handel in landbouwproducten. In 2011 kreeg de Europese Commissie een mandaat om te onderhandelen over verbreding en verdieping van het akkoord, met afspraken over onder meer handel in diensten en investeringen</w:t>
      </w:r>
      <w:r w:rsidRPr="00310835" w:rsidR="00365A16">
        <w:rPr>
          <w:lang w:val="nl-NL"/>
        </w:rPr>
        <w:t>. Er is voorlopig nog geen eerste onderhandelingsronde gepland</w:t>
      </w:r>
      <w:r w:rsidRPr="00310835">
        <w:rPr>
          <w:lang w:val="nl-NL"/>
        </w:rPr>
        <w:t>.</w:t>
      </w:r>
    </w:p>
    <w:p w:rsidRPr="00310835" w:rsidR="004C4702" w:rsidP="00E05E5D" w:rsidRDefault="004C4702" w14:paraId="1C454EE5" w14:textId="77777777">
      <w:pPr>
        <w:pStyle w:val="Plattetekst"/>
        <w:rPr>
          <w:sz w:val="19"/>
          <w:lang w:val="nl-NL"/>
        </w:rPr>
      </w:pPr>
    </w:p>
    <w:p w:rsidRPr="00310835" w:rsidR="004C4702" w:rsidP="00E05E5D" w:rsidRDefault="00B603E8" w14:paraId="1C454EE6" w14:textId="77777777">
      <w:pPr>
        <w:ind w:left="119"/>
        <w:rPr>
          <w:sz w:val="18"/>
          <w:lang w:val="nl-NL"/>
        </w:rPr>
      </w:pPr>
      <w:r w:rsidRPr="00310835">
        <w:rPr>
          <w:sz w:val="18"/>
          <w:u w:val="single"/>
          <w:lang w:val="nl-NL"/>
        </w:rPr>
        <w:t>Maleisië (</w:t>
      </w:r>
      <w:r w:rsidRPr="00310835">
        <w:rPr>
          <w:i/>
          <w:sz w:val="18"/>
          <w:u w:val="single"/>
          <w:lang w:val="nl-NL"/>
        </w:rPr>
        <w:t>Malaysia</w:t>
      </w:r>
      <w:r w:rsidRPr="00310835">
        <w:rPr>
          <w:sz w:val="18"/>
          <w:u w:val="single"/>
          <w:lang w:val="nl-NL"/>
        </w:rPr>
        <w:t>-</w:t>
      </w:r>
      <w:r w:rsidRPr="00310835">
        <w:rPr>
          <w:i/>
          <w:sz w:val="18"/>
          <w:u w:val="single"/>
          <w:lang w:val="nl-NL"/>
        </w:rPr>
        <w:t xml:space="preserve">EU FTA </w:t>
      </w:r>
      <w:r w:rsidRPr="00310835">
        <w:rPr>
          <w:sz w:val="18"/>
          <w:u w:val="single"/>
          <w:lang w:val="nl-NL"/>
        </w:rPr>
        <w:t>(MEUFTA))</w:t>
      </w:r>
      <w:r w:rsidRPr="00310835">
        <w:rPr>
          <w:sz w:val="18"/>
          <w:lang w:val="nl-NL"/>
        </w:rPr>
        <w:t>:</w:t>
      </w:r>
    </w:p>
    <w:p w:rsidRPr="00310835" w:rsidR="004A170C" w:rsidP="004A170C" w:rsidRDefault="00B603E8" w14:paraId="669BF03F" w14:textId="4BAE38B0">
      <w:pPr>
        <w:pStyle w:val="Plattetekst"/>
        <w:ind w:left="120" w:right="125"/>
        <w:rPr>
          <w:lang w:val="nl-NL"/>
        </w:rPr>
      </w:pPr>
      <w:r w:rsidRPr="00310835">
        <w:rPr>
          <w:lang w:val="nl-NL"/>
        </w:rPr>
        <w:t xml:space="preserve">De onderhandelingen over het handelsakkoord tussen de EU en Maleisië zijn in oktober 2010 begonnen. Het ASEAN-mandaat uit 2007 lag hieraan ten grondslag. De zevende, en tot nu toe laatste ronde, vond plaats in april 2012. De Europese Commissie </w:t>
      </w:r>
      <w:r w:rsidRPr="00310835" w:rsidR="00EF7789">
        <w:rPr>
          <w:lang w:val="nl-NL"/>
        </w:rPr>
        <w:t xml:space="preserve">en Maleisië verkennen momenteel de mogelijkheid om een nieuwe onderhandelingsronde te plannen. </w:t>
      </w:r>
    </w:p>
    <w:p w:rsidRPr="00310835" w:rsidR="002C31D7" w:rsidP="004A170C" w:rsidRDefault="002C31D7" w14:paraId="0C594328" w14:textId="77777777">
      <w:pPr>
        <w:pStyle w:val="Plattetekst"/>
        <w:ind w:left="120" w:right="125"/>
        <w:rPr>
          <w:u w:val="single"/>
          <w:lang w:val="nl-NL"/>
        </w:rPr>
      </w:pPr>
    </w:p>
    <w:p w:rsidRPr="00310835" w:rsidR="004C4702" w:rsidP="004A170C" w:rsidRDefault="00B603E8" w14:paraId="1C454EEF" w14:textId="7C82F224">
      <w:pPr>
        <w:pStyle w:val="Plattetekst"/>
        <w:ind w:left="120" w:right="125"/>
        <w:rPr>
          <w:lang w:val="nl-NL"/>
        </w:rPr>
      </w:pPr>
      <w:r w:rsidRPr="00310835">
        <w:rPr>
          <w:u w:val="single"/>
          <w:lang w:val="nl-NL"/>
        </w:rPr>
        <w:t>Myanmar (</w:t>
      </w:r>
      <w:r w:rsidRPr="00310835">
        <w:rPr>
          <w:i/>
          <w:u w:val="single"/>
          <w:lang w:val="nl-NL"/>
        </w:rPr>
        <w:t>EU-Myanmar Investment Protection Agreement</w:t>
      </w:r>
      <w:r w:rsidRPr="00310835">
        <w:rPr>
          <w:u w:val="single"/>
          <w:lang w:val="nl-NL"/>
        </w:rPr>
        <w:t>)</w:t>
      </w:r>
      <w:r w:rsidRPr="00310835">
        <w:rPr>
          <w:lang w:val="nl-NL"/>
        </w:rPr>
        <w:t>:</w:t>
      </w:r>
    </w:p>
    <w:p w:rsidRPr="00310835" w:rsidR="004C4702" w:rsidP="00E05E5D" w:rsidRDefault="00B603E8" w14:paraId="1C454EF0" w14:textId="75C18ABB">
      <w:pPr>
        <w:pStyle w:val="Plattetekst"/>
        <w:ind w:left="119" w:right="130"/>
        <w:rPr>
          <w:lang w:val="nl-NL"/>
        </w:rPr>
      </w:pPr>
      <w:r w:rsidRPr="00310835">
        <w:rPr>
          <w:lang w:val="nl-NL"/>
        </w:rPr>
        <w:t>In maart 2014 heeft de Raad een mandaat aan de Europese Commissie verleend en zijn de onderhandelingen tussen de EU en Myanmar over een investeringsbeschermingsakkoord begonnen. Het doel van de bilaterale investeringsovereenkomst met de EU is om investeringen te bevorderen ten behoeve van de sociaaleconomische ontwikkeling van Myanmar. Het akkoord zal hoofdstukken bevatten over</w:t>
      </w:r>
      <w:r w:rsidRPr="00310835" w:rsidR="001F7BA1">
        <w:rPr>
          <w:lang w:val="nl-NL"/>
        </w:rPr>
        <w:t xml:space="preserve"> </w:t>
      </w:r>
      <w:r w:rsidRPr="00310835">
        <w:rPr>
          <w:lang w:val="nl-NL"/>
        </w:rPr>
        <w:t>transparantie, duurzame ontwikkeling, investeringsbescherming en geschillenbeslechting. Van 26 tot en met 2</w:t>
      </w:r>
      <w:r w:rsidRPr="00310835" w:rsidR="003948FC">
        <w:rPr>
          <w:lang w:val="nl-NL"/>
        </w:rPr>
        <w:t>7</w:t>
      </w:r>
      <w:r w:rsidRPr="00310835">
        <w:rPr>
          <w:lang w:val="nl-NL"/>
        </w:rPr>
        <w:t xml:space="preserve"> april 2017 he</w:t>
      </w:r>
      <w:r w:rsidRPr="00310835" w:rsidR="003948FC">
        <w:rPr>
          <w:lang w:val="nl-NL"/>
        </w:rPr>
        <w:t>bben technische besprekingen plaatsgevonden.</w:t>
      </w:r>
      <w:r w:rsidRPr="00310835" w:rsidR="00925937">
        <w:rPr>
          <w:rStyle w:val="Voetnootmarkering"/>
          <w:lang w:val="nl-NL"/>
        </w:rPr>
        <w:footnoteReference w:id="11"/>
      </w:r>
      <w:r w:rsidRPr="00310835">
        <w:rPr>
          <w:lang w:val="nl-NL"/>
        </w:rPr>
        <w:t xml:space="preserve"> </w:t>
      </w:r>
      <w:r w:rsidRPr="00310835" w:rsidR="008E4E01">
        <w:rPr>
          <w:lang w:val="nl-NL"/>
        </w:rPr>
        <w:t>Er staat geen nadere onderhandelingsronde gepland.</w:t>
      </w:r>
    </w:p>
    <w:p w:rsidRPr="00310835" w:rsidR="004C4702" w:rsidP="00E05E5D" w:rsidRDefault="004C4702" w14:paraId="1C454EF1" w14:textId="77777777">
      <w:pPr>
        <w:pStyle w:val="Plattetekst"/>
        <w:rPr>
          <w:sz w:val="19"/>
          <w:lang w:val="nl-NL"/>
        </w:rPr>
      </w:pPr>
    </w:p>
    <w:p w:rsidRPr="00310835" w:rsidR="00B64B6B" w:rsidP="00E05E5D" w:rsidRDefault="00B64B6B" w14:paraId="377938E3" w14:textId="77777777">
      <w:pPr>
        <w:ind w:left="119"/>
        <w:rPr>
          <w:sz w:val="18"/>
          <w:u w:val="single"/>
          <w:lang w:val="nl-NL"/>
        </w:rPr>
      </w:pPr>
    </w:p>
    <w:p w:rsidRPr="00310835" w:rsidR="004C4702" w:rsidP="00E05E5D" w:rsidRDefault="00B603E8" w14:paraId="1C454EF2" w14:textId="77777777">
      <w:pPr>
        <w:ind w:left="119"/>
        <w:rPr>
          <w:sz w:val="18"/>
        </w:rPr>
      </w:pPr>
      <w:r w:rsidRPr="00310835">
        <w:rPr>
          <w:sz w:val="18"/>
          <w:u w:val="single"/>
        </w:rPr>
        <w:lastRenderedPageBreak/>
        <w:t>Singapore (</w:t>
      </w:r>
      <w:r w:rsidRPr="00310835">
        <w:rPr>
          <w:i/>
          <w:sz w:val="18"/>
          <w:u w:val="single"/>
        </w:rPr>
        <w:t>European Union-Singapore Free Trade Agreement (EUSFTA)</w:t>
      </w:r>
      <w:r w:rsidRPr="00310835">
        <w:rPr>
          <w:sz w:val="18"/>
          <w:u w:val="single"/>
        </w:rPr>
        <w:t>)</w:t>
      </w:r>
      <w:r w:rsidRPr="00310835">
        <w:rPr>
          <w:sz w:val="18"/>
        </w:rPr>
        <w:t>:</w:t>
      </w:r>
    </w:p>
    <w:p w:rsidRPr="00310835" w:rsidR="00972F62" w:rsidP="00374D49" w:rsidRDefault="00B603E8" w14:paraId="5F2FE028" w14:textId="345E6C6D">
      <w:pPr>
        <w:pStyle w:val="Plattetekst"/>
        <w:ind w:left="120" w:right="236"/>
        <w:rPr>
          <w:szCs w:val="24"/>
          <w:lang w:val="nl-NL" w:eastAsia="nl-NL"/>
        </w:rPr>
      </w:pPr>
      <w:r w:rsidRPr="00310835">
        <w:rPr>
          <w:lang w:val="nl-NL"/>
        </w:rPr>
        <w:t xml:space="preserve">Onderhandelingen tussen de EU en Singapore zijn begin 2010 gestart, nadat besloten was de regionale onderhandelingen tussen EU en ASEAN voorlopig stil te leggen. De basis van de onderhandelingen ligt dan ook in het ASEAN-mandaat uit 2007. De onderhandelingen voor een handelsakkoord zijn in oktober 2014 afgerond. In juli 2015 heeft de Europese Commissie een adviesverzoek ingediend bij het </w:t>
      </w:r>
      <w:r w:rsidRPr="00310835" w:rsidR="000658B8">
        <w:rPr>
          <w:lang w:val="nl-NL"/>
        </w:rPr>
        <w:t>Europees</w:t>
      </w:r>
      <w:r w:rsidRPr="00310835">
        <w:rPr>
          <w:lang w:val="nl-NL"/>
        </w:rPr>
        <w:t xml:space="preserve"> Hof van Justitie over het karakter (</w:t>
      </w:r>
      <w:r w:rsidRPr="00310835">
        <w:rPr>
          <w:i/>
          <w:lang w:val="nl-NL"/>
        </w:rPr>
        <w:t xml:space="preserve">EU-only </w:t>
      </w:r>
      <w:r w:rsidRPr="00310835">
        <w:rPr>
          <w:lang w:val="nl-NL"/>
        </w:rPr>
        <w:t xml:space="preserve">of gemengd) van het handelsakkoord tussen de EU en Singapore. </w:t>
      </w:r>
      <w:r w:rsidRPr="00310835" w:rsidR="000658B8">
        <w:rPr>
          <w:lang w:val="nl-NL"/>
        </w:rPr>
        <w:t xml:space="preserve">Op 16 mei 2017 heeft het Europees Hof van Justitie hierover </w:t>
      </w:r>
      <w:r w:rsidRPr="00310835" w:rsidR="00256566">
        <w:rPr>
          <w:lang w:val="nl-NL"/>
        </w:rPr>
        <w:t>uitspraak</w:t>
      </w:r>
      <w:r w:rsidRPr="00310835" w:rsidR="000658B8">
        <w:rPr>
          <w:lang w:val="nl-NL"/>
        </w:rPr>
        <w:t xml:space="preserve"> gedaan. </w:t>
      </w:r>
      <w:r w:rsidRPr="00310835" w:rsidR="002C31D7">
        <w:rPr>
          <w:lang w:val="nl-NL"/>
        </w:rPr>
        <w:t xml:space="preserve">In zijn advies bepaalt het EU-Hof dat de afspraken op het terrein van indirecte investeringen en het mechanisme voor de beslechting van geschillen tussen investeerders en staten buiten de exclusieve EU-bevoegdheden vallen. Overige onderdelen van het EU-Singapore handelsakkoord vallen </w:t>
      </w:r>
      <w:r w:rsidRPr="00310835" w:rsidR="00E800D6">
        <w:rPr>
          <w:lang w:val="nl-NL"/>
        </w:rPr>
        <w:t xml:space="preserve">wel </w:t>
      </w:r>
      <w:r w:rsidRPr="00310835" w:rsidR="002C31D7">
        <w:rPr>
          <w:lang w:val="nl-NL"/>
        </w:rPr>
        <w:t xml:space="preserve">onder </w:t>
      </w:r>
      <w:r w:rsidRPr="00310835" w:rsidR="00E800D6">
        <w:rPr>
          <w:lang w:val="nl-NL"/>
        </w:rPr>
        <w:t>de</w:t>
      </w:r>
      <w:r w:rsidRPr="00310835" w:rsidR="002C31D7">
        <w:rPr>
          <w:lang w:val="nl-NL"/>
        </w:rPr>
        <w:t xml:space="preserve"> exclusieve EU-bevoegdheid.</w:t>
      </w:r>
      <w:r w:rsidRPr="00310835" w:rsidR="00FE7D6D">
        <w:rPr>
          <w:lang w:val="nl-NL"/>
        </w:rPr>
        <w:t xml:space="preserve"> </w:t>
      </w:r>
      <w:r w:rsidRPr="00310835" w:rsidR="00972F62">
        <w:rPr>
          <w:lang w:val="nl-NL"/>
        </w:rPr>
        <w:t xml:space="preserve">De fase van </w:t>
      </w:r>
      <w:r w:rsidRPr="00310835" w:rsidR="007C349F">
        <w:rPr>
          <w:lang w:val="nl-NL"/>
        </w:rPr>
        <w:t xml:space="preserve"> van juridische revisie</w:t>
      </w:r>
      <w:r w:rsidRPr="00310835" w:rsidR="00711946">
        <w:rPr>
          <w:lang w:val="nl-NL"/>
        </w:rPr>
        <w:t xml:space="preserve"> en</w:t>
      </w:r>
      <w:r w:rsidRPr="00310835" w:rsidR="00204036">
        <w:rPr>
          <w:lang w:val="nl-NL"/>
        </w:rPr>
        <w:t xml:space="preserve"> vertaling</w:t>
      </w:r>
      <w:r w:rsidRPr="00310835" w:rsidR="00972F62">
        <w:rPr>
          <w:lang w:val="nl-NL"/>
        </w:rPr>
        <w:t xml:space="preserve"> is afgerond. </w:t>
      </w:r>
      <w:r w:rsidRPr="00310835" w:rsidR="00E120C2">
        <w:rPr>
          <w:lang w:val="nl-NL"/>
        </w:rPr>
        <w:t xml:space="preserve">Het akkoord is gesplitst in een handelsakkoord en een investeringsakkoord. De </w:t>
      </w:r>
      <w:r w:rsidRPr="00310835" w:rsidR="00972F62">
        <w:rPr>
          <w:lang w:val="nl-NL"/>
        </w:rPr>
        <w:t>concept-raadsbesluit</w:t>
      </w:r>
      <w:r w:rsidRPr="00310835" w:rsidR="00E120C2">
        <w:rPr>
          <w:lang w:val="nl-NL"/>
        </w:rPr>
        <w:t>en</w:t>
      </w:r>
      <w:r w:rsidRPr="00310835" w:rsidR="00972F62">
        <w:rPr>
          <w:lang w:val="nl-NL"/>
        </w:rPr>
        <w:t xml:space="preserve"> ter goedkeuring en sluiting van </w:t>
      </w:r>
      <w:r w:rsidRPr="00310835" w:rsidR="00E120C2">
        <w:rPr>
          <w:lang w:val="nl-NL"/>
        </w:rPr>
        <w:t xml:space="preserve">beide </w:t>
      </w:r>
      <w:r w:rsidRPr="00310835" w:rsidR="00972F62">
        <w:rPr>
          <w:lang w:val="nl-NL"/>
        </w:rPr>
        <w:t>akkoord</w:t>
      </w:r>
      <w:r w:rsidRPr="00310835" w:rsidR="00E120C2">
        <w:rPr>
          <w:lang w:val="nl-NL"/>
        </w:rPr>
        <w:t>en</w:t>
      </w:r>
      <w:r w:rsidRPr="00310835" w:rsidR="00972F62">
        <w:rPr>
          <w:lang w:val="nl-NL"/>
        </w:rPr>
        <w:t xml:space="preserve"> is voorgelegd aan de Raad. </w:t>
      </w:r>
      <w:r w:rsidRPr="00310835" w:rsidR="00E120C2">
        <w:rPr>
          <w:lang w:val="nl-NL"/>
        </w:rPr>
        <w:t>Planning is om de akkoorden, na instemming van de Raad, te ondertekenen tijdens</w:t>
      </w:r>
      <w:r w:rsidRPr="00310835" w:rsidR="00972F62">
        <w:rPr>
          <w:lang w:val="nl-NL"/>
        </w:rPr>
        <w:t xml:space="preserve"> de ASEM top in oktober 2018. </w:t>
      </w:r>
      <w:r w:rsidRPr="00310835" w:rsidR="00E120C2">
        <w:rPr>
          <w:lang w:val="nl-NL"/>
        </w:rPr>
        <w:t xml:space="preserve">Het handelsakkoord moet daarna nog worden goedgekeurd door het Europees Parlement voordat het in werking kan treden. </w:t>
      </w:r>
      <w:r w:rsidRPr="00310835" w:rsidR="00972F62">
        <w:rPr>
          <w:lang w:val="nl-NL"/>
        </w:rPr>
        <w:t xml:space="preserve">Alvorens het </w:t>
      </w:r>
      <w:r w:rsidRPr="00310835" w:rsidR="00972F62">
        <w:rPr>
          <w:szCs w:val="24"/>
          <w:lang w:val="nl-NL" w:eastAsia="nl-NL"/>
        </w:rPr>
        <w:t>investeringsa</w:t>
      </w:r>
      <w:r w:rsidRPr="00310835" w:rsidR="00972F62">
        <w:rPr>
          <w:lang w:val="nl-NL"/>
        </w:rPr>
        <w:t xml:space="preserve">kkoord in werking kan treden </w:t>
      </w:r>
      <w:r w:rsidRPr="00310835" w:rsidR="00E120C2">
        <w:rPr>
          <w:lang w:val="nl-NL"/>
        </w:rPr>
        <w:t xml:space="preserve">moet het akkoord naast het Europees Parlement worden goedgekeurd </w:t>
      </w:r>
      <w:r w:rsidRPr="00310835" w:rsidR="00972F62">
        <w:rPr>
          <w:lang w:val="nl-NL"/>
        </w:rPr>
        <w:t>door de nationale parlementen</w:t>
      </w:r>
      <w:r w:rsidRPr="00310835" w:rsidR="00E120C2">
        <w:rPr>
          <w:lang w:val="nl-NL"/>
        </w:rPr>
        <w:t xml:space="preserve"> van de EU-lidstaten</w:t>
      </w:r>
      <w:r w:rsidRPr="00310835" w:rsidR="00972F62">
        <w:rPr>
          <w:lang w:val="nl-NL"/>
        </w:rPr>
        <w:t xml:space="preserve">. </w:t>
      </w:r>
    </w:p>
    <w:p w:rsidRPr="00310835" w:rsidR="0031429C" w:rsidP="00374D49" w:rsidRDefault="00972F62" w14:paraId="70A01CF8" w14:textId="6E7EB8E5">
      <w:pPr>
        <w:pStyle w:val="Plattetekst"/>
        <w:ind w:left="120" w:right="236"/>
        <w:rPr>
          <w:lang w:val="nl-NL"/>
        </w:rPr>
      </w:pPr>
      <w:r w:rsidRPr="00310835">
        <w:rPr>
          <w:lang w:val="nl-NL"/>
        </w:rPr>
        <w:t xml:space="preserve"> </w:t>
      </w:r>
      <w:r w:rsidRPr="00310835" w:rsidR="00204036">
        <w:rPr>
          <w:lang w:val="nl-NL"/>
        </w:rPr>
        <w:t xml:space="preserve"> </w:t>
      </w:r>
    </w:p>
    <w:p w:rsidRPr="00310835" w:rsidR="004C4702" w:rsidP="00D5104D" w:rsidRDefault="00B603E8" w14:paraId="1C454EF5" w14:textId="4D3B224F">
      <w:pPr>
        <w:widowControl/>
        <w:autoSpaceDE/>
        <w:autoSpaceDN/>
        <w:ind w:left="119"/>
        <w:contextualSpacing/>
        <w:rPr>
          <w:sz w:val="18"/>
        </w:rPr>
      </w:pPr>
      <w:r w:rsidRPr="00310835">
        <w:rPr>
          <w:sz w:val="18"/>
          <w:u w:val="single"/>
        </w:rPr>
        <w:t>Syrië (</w:t>
      </w:r>
      <w:r w:rsidRPr="00310835">
        <w:rPr>
          <w:i/>
          <w:sz w:val="18"/>
          <w:u w:val="single"/>
        </w:rPr>
        <w:t>Euro-Mediterranean Agreement Establishing an Association</w:t>
      </w:r>
      <w:r w:rsidRPr="00310835">
        <w:rPr>
          <w:sz w:val="18"/>
          <w:u w:val="single"/>
        </w:rPr>
        <w:t>)</w:t>
      </w:r>
      <w:r w:rsidRPr="00310835">
        <w:rPr>
          <w:sz w:val="18"/>
        </w:rPr>
        <w:t>:</w:t>
      </w:r>
    </w:p>
    <w:p w:rsidRPr="00310835" w:rsidR="004C4702" w:rsidP="00B01380" w:rsidRDefault="00B603E8" w14:paraId="1C454EF7" w14:textId="1CDF4C06">
      <w:pPr>
        <w:pStyle w:val="Plattetekst"/>
        <w:ind w:left="119" w:right="239"/>
        <w:rPr>
          <w:sz w:val="19"/>
          <w:lang w:val="nl-NL"/>
        </w:rPr>
      </w:pPr>
      <w:r w:rsidRPr="00310835">
        <w:rPr>
          <w:lang w:val="nl-NL"/>
        </w:rPr>
        <w:t>De bilaterale relatie is geregeld in een Samenwerkingsovereenkomst uit 1977, die in 1978 in werking trad. Onderhandelingen over een associatieakkoord zijn afgerond in 2004, maar ondertekening is uitgebleven als gevolg van de interne politieke situatie in Syrië. Tevens heeft de EU in 2011 besloten handelsrestricties in te stellen in reactie op de gewelddadige onderdrukking door het Syrische regime van vreedzame demonstraties. Deze sancties zijn sindsdien regelmatig aangepast en uitgebreid.</w:t>
      </w:r>
    </w:p>
    <w:p w:rsidRPr="00310835" w:rsidR="00D5104D" w:rsidP="00986E7D" w:rsidRDefault="00D5104D" w14:paraId="434F5D8A" w14:textId="77777777">
      <w:pPr>
        <w:rPr>
          <w:sz w:val="18"/>
          <w:u w:val="single"/>
          <w:lang w:val="nl-NL"/>
        </w:rPr>
      </w:pPr>
    </w:p>
    <w:p w:rsidRPr="00310835" w:rsidR="004C4702" w:rsidP="00E05E5D" w:rsidRDefault="00B603E8" w14:paraId="1C454EF8" w14:textId="6F4BA03E">
      <w:pPr>
        <w:ind w:left="119"/>
        <w:rPr>
          <w:sz w:val="18"/>
          <w:lang w:val="nl-NL"/>
        </w:rPr>
      </w:pPr>
      <w:r w:rsidRPr="00310835">
        <w:rPr>
          <w:sz w:val="18"/>
          <w:u w:val="single"/>
          <w:lang w:val="nl-NL"/>
        </w:rPr>
        <w:t>Thailand (</w:t>
      </w:r>
      <w:r w:rsidRPr="00310835">
        <w:rPr>
          <w:i/>
          <w:sz w:val="18"/>
          <w:u w:val="single"/>
          <w:lang w:val="nl-NL"/>
        </w:rPr>
        <w:t>EU</w:t>
      </w:r>
      <w:r w:rsidRPr="00310835">
        <w:rPr>
          <w:sz w:val="18"/>
          <w:u w:val="single"/>
          <w:lang w:val="nl-NL"/>
        </w:rPr>
        <w:t>-</w:t>
      </w:r>
      <w:r w:rsidRPr="00310835">
        <w:rPr>
          <w:i/>
          <w:sz w:val="18"/>
          <w:u w:val="single"/>
          <w:lang w:val="nl-NL"/>
        </w:rPr>
        <w:t>Thailand Free Trade Agreement</w:t>
      </w:r>
      <w:r w:rsidRPr="00310835">
        <w:rPr>
          <w:sz w:val="18"/>
          <w:u w:val="single"/>
          <w:lang w:val="nl-NL"/>
        </w:rPr>
        <w:t>)</w:t>
      </w:r>
      <w:r w:rsidRPr="00310835">
        <w:rPr>
          <w:sz w:val="18"/>
          <w:lang w:val="nl-NL"/>
        </w:rPr>
        <w:t>:</w:t>
      </w:r>
    </w:p>
    <w:p w:rsidRPr="00310835" w:rsidR="004C4702" w:rsidP="00304D08" w:rsidRDefault="00B603E8" w14:paraId="1C454EFA" w14:textId="5601B069">
      <w:pPr>
        <w:ind w:left="119"/>
        <w:jc w:val="both"/>
        <w:rPr>
          <w:sz w:val="18"/>
          <w:szCs w:val="18"/>
          <w:lang w:val="nl-NL"/>
        </w:rPr>
      </w:pPr>
      <w:r w:rsidRPr="00310835">
        <w:rPr>
          <w:sz w:val="18"/>
          <w:szCs w:val="18"/>
          <w:lang w:val="nl-NL"/>
        </w:rPr>
        <w:t xml:space="preserve">In februari 2013 </w:t>
      </w:r>
      <w:r w:rsidRPr="00310835" w:rsidR="00571238">
        <w:rPr>
          <w:sz w:val="18"/>
          <w:szCs w:val="18"/>
          <w:lang w:val="nl-NL"/>
        </w:rPr>
        <w:t>zijn</w:t>
      </w:r>
      <w:r w:rsidRPr="00310835">
        <w:rPr>
          <w:sz w:val="18"/>
          <w:szCs w:val="18"/>
          <w:lang w:val="nl-NL"/>
        </w:rPr>
        <w:t xml:space="preserve"> de onderhandelingen tussen de EU en Thailand </w:t>
      </w:r>
      <w:r w:rsidRPr="00310835" w:rsidR="00571238">
        <w:rPr>
          <w:sz w:val="18"/>
          <w:szCs w:val="18"/>
          <w:lang w:val="nl-NL"/>
        </w:rPr>
        <w:t>gestart</w:t>
      </w:r>
      <w:r w:rsidRPr="00310835">
        <w:rPr>
          <w:sz w:val="18"/>
          <w:szCs w:val="18"/>
          <w:lang w:val="nl-NL"/>
        </w:rPr>
        <w:t>. Het ASEAN-mandaat uit 2007 vormt hiervoor de basis. De vierde onderhandelingsronde vond plaats van 8 tot 10 april 2014.</w:t>
      </w:r>
      <w:r w:rsidRPr="00310835" w:rsidR="009F7F1A">
        <w:rPr>
          <w:sz w:val="18"/>
          <w:szCs w:val="18"/>
          <w:lang w:val="nl-NL"/>
        </w:rPr>
        <w:t xml:space="preserve"> </w:t>
      </w:r>
      <w:r w:rsidRPr="00310835" w:rsidR="00304D08">
        <w:rPr>
          <w:sz w:val="18"/>
          <w:szCs w:val="18"/>
          <w:lang w:val="nl-NL"/>
        </w:rPr>
        <w:t xml:space="preserve">Na </w:t>
      </w:r>
      <w:r w:rsidRPr="00310835" w:rsidR="009F7F1A">
        <w:rPr>
          <w:sz w:val="18"/>
          <w:szCs w:val="18"/>
          <w:lang w:val="nl-NL"/>
        </w:rPr>
        <w:t>de militaire coup in mei 2014</w:t>
      </w:r>
      <w:r w:rsidRPr="00310835" w:rsidR="00304D08">
        <w:rPr>
          <w:sz w:val="18"/>
          <w:szCs w:val="18"/>
          <w:lang w:val="nl-NL"/>
        </w:rPr>
        <w:t xml:space="preserve"> </w:t>
      </w:r>
      <w:r w:rsidRPr="00310835" w:rsidR="009F7F1A">
        <w:rPr>
          <w:sz w:val="18"/>
          <w:szCs w:val="18"/>
          <w:lang w:val="nl-NL"/>
        </w:rPr>
        <w:t xml:space="preserve">zijn de onderhandelingen stilgelegd. Nu Thailand heeft aangekondigd in november 2018 weer verkiezingen te zullen houden, </w:t>
      </w:r>
      <w:r w:rsidRPr="00310835" w:rsidR="00AE0701">
        <w:rPr>
          <w:sz w:val="18"/>
          <w:szCs w:val="18"/>
          <w:lang w:val="nl-NL"/>
        </w:rPr>
        <w:t>inventariseert</w:t>
      </w:r>
      <w:r w:rsidRPr="00310835" w:rsidR="009F7F1A">
        <w:rPr>
          <w:sz w:val="18"/>
          <w:szCs w:val="18"/>
          <w:lang w:val="nl-NL"/>
        </w:rPr>
        <w:t xml:space="preserve"> de EU </w:t>
      </w:r>
      <w:r w:rsidRPr="00310835" w:rsidR="00AE0701">
        <w:rPr>
          <w:sz w:val="18"/>
          <w:szCs w:val="18"/>
          <w:lang w:val="nl-NL"/>
        </w:rPr>
        <w:t>de</w:t>
      </w:r>
      <w:r w:rsidRPr="00310835" w:rsidR="009F7F1A">
        <w:rPr>
          <w:sz w:val="18"/>
          <w:szCs w:val="18"/>
          <w:lang w:val="nl-NL"/>
        </w:rPr>
        <w:t xml:space="preserve"> mogelijkheid om de onderhandelingen te heropenen</w:t>
      </w:r>
      <w:r w:rsidRPr="00310835" w:rsidR="00AE0701">
        <w:rPr>
          <w:sz w:val="18"/>
          <w:szCs w:val="18"/>
          <w:lang w:val="nl-NL"/>
        </w:rPr>
        <w:t xml:space="preserve">. Volledige heropening van de onderhandelingen gebeurt pas wanneer er weer een democratisch gekozen </w:t>
      </w:r>
      <w:r w:rsidRPr="00310835" w:rsidR="00304D08">
        <w:rPr>
          <w:sz w:val="18"/>
          <w:szCs w:val="18"/>
          <w:lang w:val="nl-NL"/>
        </w:rPr>
        <w:t>civiele regering</w:t>
      </w:r>
      <w:r w:rsidRPr="00310835" w:rsidR="00AE0701">
        <w:rPr>
          <w:sz w:val="18"/>
          <w:szCs w:val="18"/>
          <w:lang w:val="nl-NL"/>
        </w:rPr>
        <w:t xml:space="preserve"> aan de macht is in Thailand</w:t>
      </w:r>
      <w:r w:rsidRPr="00310835" w:rsidR="009F7F1A">
        <w:rPr>
          <w:sz w:val="18"/>
          <w:szCs w:val="18"/>
          <w:lang w:val="nl-NL"/>
        </w:rPr>
        <w:t xml:space="preserve">. </w:t>
      </w:r>
    </w:p>
    <w:p w:rsidRPr="00310835" w:rsidR="00304D08" w:rsidP="00304D08" w:rsidRDefault="00304D08" w14:paraId="19D99FB0" w14:textId="77777777">
      <w:pPr>
        <w:ind w:left="119"/>
        <w:jc w:val="both"/>
        <w:rPr>
          <w:sz w:val="19"/>
          <w:lang w:val="nl-NL"/>
        </w:rPr>
      </w:pPr>
    </w:p>
    <w:p w:rsidRPr="00310835" w:rsidR="004C4702" w:rsidP="00E05E5D" w:rsidRDefault="00B603E8" w14:paraId="1C454EFB" w14:textId="77777777">
      <w:pPr>
        <w:ind w:left="120"/>
        <w:rPr>
          <w:sz w:val="18"/>
        </w:rPr>
      </w:pPr>
      <w:r w:rsidRPr="00310835">
        <w:rPr>
          <w:sz w:val="18"/>
          <w:u w:val="single"/>
        </w:rPr>
        <w:t>Vietnam (</w:t>
      </w:r>
      <w:r w:rsidRPr="00310835">
        <w:rPr>
          <w:i/>
          <w:sz w:val="18"/>
          <w:u w:val="single"/>
        </w:rPr>
        <w:t>EU-Vietnam Free Trade Agreement</w:t>
      </w:r>
      <w:r w:rsidRPr="00310835">
        <w:rPr>
          <w:sz w:val="18"/>
          <w:u w:val="single"/>
        </w:rPr>
        <w:t>)</w:t>
      </w:r>
      <w:r w:rsidRPr="00310835">
        <w:rPr>
          <w:sz w:val="18"/>
        </w:rPr>
        <w:t>:</w:t>
      </w:r>
    </w:p>
    <w:p w:rsidRPr="00310835" w:rsidR="00126EE0" w:rsidP="00126EE0" w:rsidRDefault="00B603E8" w14:paraId="5EF1FEF1" w14:textId="2DA5467F">
      <w:pPr>
        <w:pStyle w:val="Plattetekst"/>
        <w:ind w:left="120" w:right="236"/>
        <w:rPr>
          <w:lang w:val="nl-NL"/>
        </w:rPr>
      </w:pPr>
      <w:r w:rsidRPr="00310835">
        <w:rPr>
          <w:lang w:val="nl-NL"/>
        </w:rPr>
        <w:t>In juni 2012 zijn de onderhandelingen tussen de EU en Vietnam gestart. Eind 2015 zijn de onderhandelingen over het EU-Vietnam handelsakkoord formeel afgerond. Op 1 februari 2016 zijn de teksten gepubliceerd.</w:t>
      </w:r>
      <w:r w:rsidRPr="00310835" w:rsidR="002205CA">
        <w:rPr>
          <w:rStyle w:val="Voetnootmarkering"/>
          <w:lang w:val="nl-NL"/>
        </w:rPr>
        <w:footnoteReference w:id="12"/>
      </w:r>
      <w:r w:rsidRPr="00310835">
        <w:rPr>
          <w:sz w:val="12"/>
          <w:lang w:val="nl-NL"/>
        </w:rPr>
        <w:t xml:space="preserve"> </w:t>
      </w:r>
      <w:r w:rsidRPr="00310835">
        <w:rPr>
          <w:lang w:val="nl-NL"/>
        </w:rPr>
        <w:t xml:space="preserve">Na het handelsakkoord met Singapore, is dit akkoord het tweede afgeronde akkoord in de regio op basis van het ASEAN-mandaat uit 2007. </w:t>
      </w:r>
      <w:r w:rsidRPr="00310835" w:rsidR="00126EE0">
        <w:rPr>
          <w:lang w:val="nl-NL"/>
        </w:rPr>
        <w:t>Momenteel bevindt het handelsakkoord zich in de fase van juridische revisie</w:t>
      </w:r>
      <w:r w:rsidRPr="00310835" w:rsidR="007A0AC7">
        <w:rPr>
          <w:lang w:val="nl-NL"/>
        </w:rPr>
        <w:t xml:space="preserve"> en</w:t>
      </w:r>
      <w:r w:rsidRPr="00310835" w:rsidR="00126EE0">
        <w:rPr>
          <w:lang w:val="nl-NL"/>
        </w:rPr>
        <w:t xml:space="preserve"> vertaling. Daarna kan het akkoord worden g</w:t>
      </w:r>
      <w:r w:rsidRPr="00310835" w:rsidR="00AB1832">
        <w:rPr>
          <w:lang w:val="nl-NL"/>
        </w:rPr>
        <w:t xml:space="preserve">oedgekeurd door de Raad en het </w:t>
      </w:r>
      <w:r w:rsidRPr="00310835" w:rsidR="00126EE0">
        <w:rPr>
          <w:lang w:val="nl-NL"/>
        </w:rPr>
        <w:t>E</w:t>
      </w:r>
      <w:r w:rsidRPr="00310835" w:rsidR="00A12DA7">
        <w:rPr>
          <w:lang w:val="nl-NL"/>
        </w:rPr>
        <w:t xml:space="preserve">uropees </w:t>
      </w:r>
      <w:r w:rsidRPr="00310835" w:rsidR="00126EE0">
        <w:rPr>
          <w:lang w:val="nl-NL"/>
        </w:rPr>
        <w:t>P</w:t>
      </w:r>
      <w:r w:rsidRPr="00310835" w:rsidR="00A12DA7">
        <w:rPr>
          <w:lang w:val="nl-NL"/>
        </w:rPr>
        <w:t>arlement</w:t>
      </w:r>
      <w:r w:rsidRPr="00310835" w:rsidR="00126EE0">
        <w:rPr>
          <w:lang w:val="nl-NL"/>
        </w:rPr>
        <w:t xml:space="preserve">. Afhankelijk van de uiteindelijke inhoud van het akkoord is ook eventuele ratificatie van de lidstaten nodig. </w:t>
      </w:r>
    </w:p>
    <w:p w:rsidRPr="00310835" w:rsidR="007A0AC7" w:rsidP="00126EE0" w:rsidRDefault="007A0AC7" w14:paraId="1D166C0A" w14:textId="074AB0F1">
      <w:pPr>
        <w:pStyle w:val="Plattetekst"/>
        <w:ind w:left="120" w:right="236"/>
        <w:rPr>
          <w:lang w:val="nl-NL"/>
        </w:rPr>
      </w:pPr>
    </w:p>
    <w:p w:rsidRPr="00310835" w:rsidR="00770E9E" w:rsidP="00126EE0" w:rsidRDefault="00770E9E" w14:paraId="5772BE07" w14:textId="4488A75F">
      <w:pPr>
        <w:pStyle w:val="Plattetekst"/>
        <w:ind w:left="120" w:right="236"/>
        <w:rPr>
          <w:lang w:val="nl-NL"/>
        </w:rPr>
      </w:pPr>
    </w:p>
    <w:p w:rsidRPr="00310835" w:rsidR="00D57D00" w:rsidP="00126EE0" w:rsidRDefault="00D57D00" w14:paraId="4989BB82" w14:textId="006F9511">
      <w:pPr>
        <w:pStyle w:val="Plattetekst"/>
        <w:ind w:left="120" w:right="236"/>
        <w:rPr>
          <w:lang w:val="nl-NL"/>
        </w:rPr>
      </w:pPr>
    </w:p>
    <w:p w:rsidRPr="00310835" w:rsidR="00D57D00" w:rsidP="00126EE0" w:rsidRDefault="00D57D00" w14:paraId="53B64D78" w14:textId="6DAC7F5D">
      <w:pPr>
        <w:pStyle w:val="Plattetekst"/>
        <w:ind w:left="120" w:right="236"/>
        <w:rPr>
          <w:lang w:val="nl-NL"/>
        </w:rPr>
      </w:pPr>
    </w:p>
    <w:p w:rsidRPr="00310835" w:rsidR="00374D49" w:rsidRDefault="00374D49" w14:paraId="0D9F0F78" w14:textId="56DE8008">
      <w:pPr>
        <w:rPr>
          <w:sz w:val="18"/>
          <w:szCs w:val="18"/>
          <w:lang w:val="nl-NL"/>
        </w:rPr>
      </w:pPr>
      <w:r w:rsidRPr="00310835">
        <w:rPr>
          <w:lang w:val="nl-NL"/>
        </w:rPr>
        <w:br w:type="page"/>
      </w:r>
    </w:p>
    <w:p w:rsidRPr="00310835" w:rsidR="004C4702" w:rsidP="00E05E5D" w:rsidRDefault="00B603E8" w14:paraId="1C454EFF" w14:textId="7343D295">
      <w:pPr>
        <w:pStyle w:val="Lijstalinea"/>
        <w:numPr>
          <w:ilvl w:val="1"/>
          <w:numId w:val="2"/>
        </w:numPr>
        <w:tabs>
          <w:tab w:val="left" w:pos="489"/>
        </w:tabs>
        <w:ind w:left="488" w:hanging="368"/>
        <w:rPr>
          <w:sz w:val="18"/>
          <w:lang w:val="nl-NL"/>
        </w:rPr>
      </w:pPr>
      <w:r w:rsidRPr="00310835">
        <w:rPr>
          <w:i/>
          <w:sz w:val="18"/>
          <w:u w:val="single"/>
          <w:lang w:val="nl-NL"/>
        </w:rPr>
        <w:lastRenderedPageBreak/>
        <w:t>Europa</w:t>
      </w:r>
      <w:r w:rsidRPr="00310835">
        <w:rPr>
          <w:sz w:val="18"/>
          <w:lang w:val="nl-NL"/>
        </w:rPr>
        <w:t>:</w:t>
      </w:r>
      <w:r w:rsidRPr="00310835" w:rsidR="00347A86">
        <w:rPr>
          <w:sz w:val="18"/>
          <w:lang w:val="nl-NL"/>
        </w:rPr>
        <w:br/>
      </w:r>
    </w:p>
    <w:p w:rsidRPr="00310835" w:rsidR="004C4702" w:rsidP="00E05E5D" w:rsidRDefault="00B603E8" w14:paraId="1C454F00" w14:textId="77777777">
      <w:pPr>
        <w:ind w:left="120"/>
        <w:rPr>
          <w:sz w:val="18"/>
        </w:rPr>
      </w:pPr>
      <w:r w:rsidRPr="00310835">
        <w:rPr>
          <w:sz w:val="18"/>
          <w:u w:val="single"/>
        </w:rPr>
        <w:t xml:space="preserve">Andorra, Monaco en San Marino (één of meerdere </w:t>
      </w:r>
      <w:r w:rsidRPr="00310835">
        <w:rPr>
          <w:i/>
          <w:sz w:val="18"/>
          <w:u w:val="single"/>
        </w:rPr>
        <w:t>Association Agreements</w:t>
      </w:r>
      <w:r w:rsidRPr="00310835">
        <w:rPr>
          <w:sz w:val="18"/>
          <w:u w:val="single"/>
        </w:rPr>
        <w:t>)</w:t>
      </w:r>
      <w:r w:rsidRPr="00310835">
        <w:rPr>
          <w:sz w:val="18"/>
        </w:rPr>
        <w:t>:</w:t>
      </w:r>
    </w:p>
    <w:p w:rsidRPr="00310835" w:rsidR="004E26E3" w:rsidP="002205CA" w:rsidRDefault="00B603E8" w14:paraId="3A688CBD" w14:textId="3E750199">
      <w:pPr>
        <w:pStyle w:val="Plattetekst"/>
        <w:ind w:left="119" w:right="97"/>
        <w:rPr>
          <w:lang w:val="nl-NL"/>
        </w:rPr>
      </w:pPr>
      <w:r w:rsidRPr="00310835">
        <w:rPr>
          <w:lang w:val="nl-NL"/>
        </w:rPr>
        <w:t xml:space="preserve">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w:t>
      </w:r>
      <w:r w:rsidRPr="00310835" w:rsidR="004B2A6E">
        <w:rPr>
          <w:lang w:val="nl-NL"/>
        </w:rPr>
        <w:t>op 4</w:t>
      </w:r>
      <w:r w:rsidRPr="00310835">
        <w:rPr>
          <w:lang w:val="nl-NL"/>
        </w:rPr>
        <w:t xml:space="preserve"> december 2014 het mandaat verleend. Het doel is een significante verlaging van de handelsbarrières voor ondernemers uit Andorra, Monaco en San Marino, vergelijkbaar met de markttoegang voor EER-staten Noorwegen, IJsland en Liechtenstein. </w:t>
      </w:r>
      <w:r w:rsidRPr="00310835" w:rsidR="00A358A4">
        <w:rPr>
          <w:lang w:val="nl-NL"/>
        </w:rPr>
        <w:t xml:space="preserve">De afgelopen onderhandelingsronde vond plaats op 20 tot en met 22 maart </w:t>
      </w:r>
      <w:r w:rsidRPr="00310835" w:rsidR="001458EA">
        <w:rPr>
          <w:lang w:val="nl-NL"/>
        </w:rPr>
        <w:t>2018</w:t>
      </w:r>
      <w:r w:rsidRPr="00310835" w:rsidR="00A358A4">
        <w:rPr>
          <w:lang w:val="nl-NL"/>
        </w:rPr>
        <w:t>. Hierbij is onder</w:t>
      </w:r>
      <w:r w:rsidRPr="00310835" w:rsidR="001458EA">
        <w:rPr>
          <w:lang w:val="nl-NL"/>
        </w:rPr>
        <w:t xml:space="preserve"> </w:t>
      </w:r>
      <w:r w:rsidRPr="00310835" w:rsidR="00A358A4">
        <w:rPr>
          <w:lang w:val="nl-NL"/>
        </w:rPr>
        <w:t>meer gesproken over het</w:t>
      </w:r>
      <w:r w:rsidRPr="00310835" w:rsidR="004E26E3">
        <w:rPr>
          <w:lang w:val="nl-NL"/>
        </w:rPr>
        <w:t xml:space="preserve"> vrij verkeer van personen, staatssteun, intellectueel eigendomsrecht en mededinging op de agenda. </w:t>
      </w:r>
      <w:r w:rsidRPr="00310835" w:rsidR="00010E1E">
        <w:rPr>
          <w:lang w:val="nl-NL"/>
        </w:rPr>
        <w:t xml:space="preserve">Grootste uitdaging voor een akkoord met Andorra betreft afspraken over tabak. </w:t>
      </w:r>
      <w:r w:rsidRPr="00310835" w:rsidR="00A358A4">
        <w:rPr>
          <w:lang w:val="nl-NL"/>
        </w:rPr>
        <w:t>Monaco heeft moeite om in te stemmen met het volledige vrij verkeer van vestiging.</w:t>
      </w:r>
      <w:r w:rsidRPr="00310835" w:rsidR="00BB730D">
        <w:rPr>
          <w:lang w:val="nl-NL"/>
        </w:rPr>
        <w:t xml:space="preserve"> </w:t>
      </w:r>
      <w:r w:rsidRPr="00310835" w:rsidR="00CB182A">
        <w:rPr>
          <w:lang w:val="nl-NL"/>
        </w:rPr>
        <w:t xml:space="preserve">Nederland is voorstander van een zo groot mogelijke integratie van Andorra, Monaco en San Marino in de Europese interne markt, bij voorkeur door middel van één gezamenlijk associatieakkoord voor alle drie de microstaten. Nederland wenst dat het aantal uitzonderingsbepalingen voor het vrij verkeer van goederen, diensten, personen en kapitaal zo veel als mogelijk wordt beperkt, en door de micro-staten grondig wordt onderbouwd. </w:t>
      </w:r>
    </w:p>
    <w:p w:rsidRPr="00310835" w:rsidR="004E26E3" w:rsidP="002205CA" w:rsidRDefault="004E26E3" w14:paraId="4ABAF11C" w14:textId="77777777">
      <w:pPr>
        <w:pStyle w:val="Plattetekst"/>
        <w:ind w:left="119" w:right="97"/>
        <w:rPr>
          <w:lang w:val="nl-NL"/>
        </w:rPr>
      </w:pPr>
    </w:p>
    <w:p w:rsidRPr="00310835" w:rsidR="004C4702" w:rsidP="002205CA" w:rsidRDefault="00B603E8" w14:paraId="1C454F05" w14:textId="1D19D988">
      <w:pPr>
        <w:pStyle w:val="Plattetekst"/>
        <w:ind w:left="119" w:right="97"/>
      </w:pPr>
      <w:r w:rsidRPr="00310835">
        <w:rPr>
          <w:u w:val="single"/>
        </w:rPr>
        <w:t>Armenië (</w:t>
      </w:r>
      <w:r w:rsidRPr="00310835">
        <w:rPr>
          <w:i/>
          <w:u w:val="single"/>
        </w:rPr>
        <w:t>Comprehensive and Enhanced Partnership Agreement)</w:t>
      </w:r>
      <w:r w:rsidRPr="00310835">
        <w:rPr>
          <w:u w:val="single"/>
        </w:rPr>
        <w:t>:</w:t>
      </w:r>
    </w:p>
    <w:p w:rsidRPr="00310835" w:rsidR="004C4702" w:rsidP="00E05E5D" w:rsidRDefault="00B603E8" w14:paraId="1C454F06" w14:textId="6FB43AA1">
      <w:pPr>
        <w:pStyle w:val="Plattetekst"/>
        <w:ind w:left="120" w:right="212"/>
        <w:rPr>
          <w:lang w:val="nl-NL"/>
        </w:rPr>
      </w:pPr>
      <w:r w:rsidRPr="00310835">
        <w:rPr>
          <w:lang w:val="nl-NL"/>
        </w:rPr>
        <w:t xml:space="preserve">Op 26 februari 2017 bereikten de Europese Commissie en Armenië overeenstemming over een </w:t>
      </w:r>
      <w:r w:rsidRPr="00310835">
        <w:rPr>
          <w:i/>
          <w:lang w:val="nl-NL"/>
        </w:rPr>
        <w:t>Comprehensive and Enhanced Partnership Agreement</w:t>
      </w:r>
      <w:r w:rsidRPr="00310835">
        <w:rPr>
          <w:lang w:val="nl-NL"/>
        </w:rPr>
        <w:t xml:space="preserve">. Deze overeenkomst komt in plaats van het in 1999 in werking getreden </w:t>
      </w:r>
      <w:r w:rsidRPr="00310835">
        <w:rPr>
          <w:i/>
          <w:lang w:val="nl-NL"/>
        </w:rPr>
        <w:t xml:space="preserve">Partnership and Cooperation Agreement. </w:t>
      </w:r>
      <w:r w:rsidRPr="00310835">
        <w:rPr>
          <w:lang w:val="nl-NL"/>
        </w:rPr>
        <w:t xml:space="preserve">Armenië en de Europese Unie hadden als onderdeel van een Associatieakkoord in 2013 reeds de onderhandelingen over een </w:t>
      </w:r>
      <w:r w:rsidRPr="00310835">
        <w:rPr>
          <w:i/>
          <w:lang w:val="nl-NL"/>
        </w:rPr>
        <w:t xml:space="preserve">Deep and Comprehensive Free Trade Agreement </w:t>
      </w:r>
      <w:r w:rsidRPr="00310835">
        <w:rPr>
          <w:lang w:val="nl-NL"/>
        </w:rPr>
        <w:t>(DCFTA) afgerond. Dit akkoord is nooit in werking getreden, vanwege het feit dat Armenië lid werd van de Euraziatische Economische Unie (de douane- unie van Rusland, Kazachstan, Armenië, Kirgizstan en Wit-Rusland). Deze afspraken zijn onverenigbaar met de preferentiële markttoegang voor goederen tot de Europese markt die volgt uit het DCFTA. In de Kaderovereenkomst hebben de EU en Armenië geprobeerd op de overige terreinen zo veel mogelijk de afspraken uit het DCFTA in stand te laten.</w:t>
      </w:r>
      <w:r w:rsidRPr="00310835" w:rsidR="00E7454B">
        <w:rPr>
          <w:lang w:val="nl-NL"/>
        </w:rPr>
        <w:t xml:space="preserve"> Op 24 november 2017 is het akkoord door beide partijen ondertekend</w:t>
      </w:r>
      <w:r w:rsidRPr="00310835" w:rsidR="003C604E">
        <w:rPr>
          <w:lang w:val="nl-NL"/>
        </w:rPr>
        <w:t xml:space="preserve">. Voorlopige inwerkingtreding wordt </w:t>
      </w:r>
      <w:r w:rsidRPr="00310835" w:rsidR="00374D49">
        <w:rPr>
          <w:lang w:val="nl-NL"/>
        </w:rPr>
        <w:t>op korte termijn</w:t>
      </w:r>
      <w:r w:rsidRPr="00310835" w:rsidR="003C604E">
        <w:rPr>
          <w:lang w:val="nl-NL"/>
        </w:rPr>
        <w:t xml:space="preserve"> verwacht</w:t>
      </w:r>
      <w:r w:rsidRPr="00310835" w:rsidR="009E36BC">
        <w:rPr>
          <w:lang w:val="nl-NL"/>
        </w:rPr>
        <w:t xml:space="preserve"> zodra de binne</w:t>
      </w:r>
      <w:r w:rsidRPr="00310835" w:rsidR="001458EA">
        <w:rPr>
          <w:lang w:val="nl-NL"/>
        </w:rPr>
        <w:t>n</w:t>
      </w:r>
      <w:r w:rsidRPr="00310835" w:rsidR="009E36BC">
        <w:rPr>
          <w:lang w:val="nl-NL"/>
        </w:rPr>
        <w:t>landse besluitvorming in Armenië is afgerond</w:t>
      </w:r>
      <w:r w:rsidRPr="00310835" w:rsidR="003C604E">
        <w:rPr>
          <w:lang w:val="nl-NL"/>
        </w:rPr>
        <w:t>.</w:t>
      </w:r>
    </w:p>
    <w:p w:rsidRPr="00310835" w:rsidR="004C4702" w:rsidP="00E05E5D" w:rsidRDefault="004C4702" w14:paraId="1C454F07" w14:textId="77777777">
      <w:pPr>
        <w:pStyle w:val="Plattetekst"/>
        <w:rPr>
          <w:sz w:val="19"/>
          <w:lang w:val="nl-NL"/>
        </w:rPr>
      </w:pPr>
    </w:p>
    <w:p w:rsidRPr="00310835" w:rsidR="004C4702" w:rsidP="00E05E5D" w:rsidRDefault="00B603E8" w14:paraId="1C454F08" w14:textId="7ACAAD21">
      <w:pPr>
        <w:ind w:left="120"/>
        <w:rPr>
          <w:sz w:val="18"/>
          <w:lang w:val="nl-NL"/>
        </w:rPr>
      </w:pPr>
      <w:r w:rsidRPr="00310835">
        <w:rPr>
          <w:sz w:val="18"/>
          <w:u w:val="single"/>
          <w:lang w:val="nl-NL"/>
        </w:rPr>
        <w:t>Azerbeidzjan (</w:t>
      </w:r>
      <w:r w:rsidRPr="00310835" w:rsidR="00A62CFC">
        <w:rPr>
          <w:i/>
          <w:sz w:val="18"/>
          <w:u w:val="single"/>
          <w:lang w:val="nl-NL"/>
        </w:rPr>
        <w:t>Comprehensive Agreement</w:t>
      </w:r>
      <w:r w:rsidRPr="00310835">
        <w:rPr>
          <w:sz w:val="18"/>
          <w:u w:val="single"/>
          <w:lang w:val="nl-NL"/>
        </w:rPr>
        <w:t>))</w:t>
      </w:r>
      <w:r w:rsidRPr="00310835">
        <w:rPr>
          <w:sz w:val="18"/>
          <w:lang w:val="nl-NL"/>
        </w:rPr>
        <w:t>:</w:t>
      </w:r>
    </w:p>
    <w:p w:rsidRPr="00310835" w:rsidR="004C4702" w:rsidP="00986E7D" w:rsidRDefault="00B603E8" w14:paraId="1C454F09" w14:textId="6834A38A">
      <w:pPr>
        <w:pStyle w:val="Default"/>
        <w:ind w:left="119"/>
      </w:pPr>
      <w:r w:rsidRPr="00310835">
        <w:rPr>
          <w:rFonts w:ascii="Verdana" w:hAnsi="Verdana"/>
          <w:sz w:val="18"/>
          <w:szCs w:val="18"/>
        </w:rPr>
        <w:t xml:space="preserve">De huidige relatie tussen de EU en Azerbeidzjan is gebaseerd op een </w:t>
      </w:r>
      <w:r w:rsidRPr="00310835">
        <w:rPr>
          <w:rFonts w:ascii="Verdana" w:hAnsi="Verdana"/>
          <w:i/>
          <w:sz w:val="18"/>
          <w:szCs w:val="18"/>
        </w:rPr>
        <w:t>Partnership and Cooperation Agreement</w:t>
      </w:r>
      <w:r w:rsidRPr="00310835">
        <w:rPr>
          <w:rFonts w:ascii="Verdana" w:hAnsi="Verdana"/>
          <w:sz w:val="18"/>
          <w:szCs w:val="18"/>
        </w:rPr>
        <w:t xml:space="preserve"> </w:t>
      </w:r>
      <w:r w:rsidRPr="00310835" w:rsidR="00A62CFC">
        <w:rPr>
          <w:rFonts w:ascii="Verdana" w:hAnsi="Verdana"/>
          <w:sz w:val="18"/>
          <w:szCs w:val="18"/>
        </w:rPr>
        <w:t>(PCA)</w:t>
      </w:r>
      <w:r w:rsidRPr="00310835" w:rsidR="00A62CFC">
        <w:rPr>
          <w:rFonts w:ascii="Verdana" w:hAnsi="Verdana"/>
          <w:i/>
          <w:sz w:val="18"/>
          <w:szCs w:val="18"/>
        </w:rPr>
        <w:t xml:space="preserve"> </w:t>
      </w:r>
      <w:r w:rsidRPr="00310835">
        <w:rPr>
          <w:rFonts w:ascii="Verdana" w:hAnsi="Verdana"/>
          <w:sz w:val="18"/>
          <w:szCs w:val="18"/>
        </w:rPr>
        <w:t>uit 1996</w:t>
      </w:r>
      <w:r w:rsidRPr="00310835" w:rsidR="00A62CFC">
        <w:rPr>
          <w:rFonts w:ascii="Verdana" w:hAnsi="Verdana"/>
          <w:sz w:val="18"/>
          <w:szCs w:val="18"/>
        </w:rPr>
        <w:t xml:space="preserve">. Dit akkoord is in </w:t>
      </w:r>
      <w:r w:rsidRPr="00310835">
        <w:rPr>
          <w:rFonts w:ascii="Verdana" w:hAnsi="Verdana"/>
          <w:sz w:val="18"/>
          <w:szCs w:val="18"/>
        </w:rPr>
        <w:t>1999 in werking is getreden</w:t>
      </w:r>
      <w:r w:rsidRPr="00310835" w:rsidR="00A62CFC">
        <w:rPr>
          <w:rFonts w:ascii="Verdana" w:hAnsi="Verdana"/>
          <w:sz w:val="18"/>
          <w:szCs w:val="18"/>
        </w:rPr>
        <w:t>. Op 14</w:t>
      </w:r>
      <w:r w:rsidRPr="00310835">
        <w:rPr>
          <w:rFonts w:ascii="Verdana" w:hAnsi="Verdana"/>
          <w:sz w:val="18"/>
          <w:szCs w:val="18"/>
        </w:rPr>
        <w:t xml:space="preserve"> november 2016 heeft de Raad de Commissie </w:t>
      </w:r>
      <w:r w:rsidRPr="00310835" w:rsidR="00A62CFC">
        <w:rPr>
          <w:rFonts w:ascii="Verdana" w:hAnsi="Verdana"/>
          <w:sz w:val="18"/>
          <w:szCs w:val="18"/>
        </w:rPr>
        <w:t xml:space="preserve">en de Hoge Vertegenwoordiger </w:t>
      </w:r>
      <w:r w:rsidRPr="00310835">
        <w:rPr>
          <w:rFonts w:ascii="Verdana" w:hAnsi="Verdana"/>
          <w:sz w:val="18"/>
          <w:szCs w:val="18"/>
        </w:rPr>
        <w:t xml:space="preserve">het mandaat gegeven voor het </w:t>
      </w:r>
      <w:r w:rsidRPr="00310835" w:rsidR="00A62CFC">
        <w:rPr>
          <w:rFonts w:ascii="Verdana" w:hAnsi="Verdana"/>
          <w:sz w:val="18"/>
          <w:szCs w:val="18"/>
        </w:rPr>
        <w:t>voeren</w:t>
      </w:r>
      <w:r w:rsidRPr="00310835">
        <w:rPr>
          <w:rFonts w:ascii="Verdana" w:hAnsi="Verdana"/>
          <w:sz w:val="18"/>
          <w:szCs w:val="18"/>
        </w:rPr>
        <w:t xml:space="preserve"> van </w:t>
      </w:r>
      <w:r w:rsidRPr="00310835" w:rsidR="00A62CFC">
        <w:rPr>
          <w:rFonts w:ascii="Verdana" w:hAnsi="Verdana"/>
          <w:sz w:val="18"/>
          <w:szCs w:val="18"/>
        </w:rPr>
        <w:t xml:space="preserve">de </w:t>
      </w:r>
      <w:r w:rsidRPr="00310835">
        <w:rPr>
          <w:rFonts w:ascii="Verdana" w:hAnsi="Verdana"/>
          <w:sz w:val="18"/>
          <w:szCs w:val="18"/>
        </w:rPr>
        <w:t>onderhandelingen</w:t>
      </w:r>
      <w:r w:rsidRPr="00310835" w:rsidR="00A62CFC">
        <w:rPr>
          <w:rFonts w:ascii="Verdana" w:hAnsi="Verdana"/>
          <w:sz w:val="18"/>
          <w:szCs w:val="18"/>
        </w:rPr>
        <w:t xml:space="preserve"> voor een breed akkoord, ter vervanging van het PCA.</w:t>
      </w:r>
      <w:r w:rsidRPr="00310835">
        <w:rPr>
          <w:rFonts w:ascii="Verdana" w:hAnsi="Verdana"/>
          <w:sz w:val="18"/>
          <w:szCs w:val="18"/>
        </w:rPr>
        <w:t xml:space="preserve"> </w:t>
      </w:r>
      <w:r w:rsidRPr="00310835" w:rsidR="00A62CFC">
        <w:rPr>
          <w:rFonts w:ascii="Verdana" w:hAnsi="Verdana"/>
          <w:sz w:val="18"/>
          <w:szCs w:val="18"/>
        </w:rPr>
        <w:t>De onderhandelingen zijn gestart op 7 februari 2017</w:t>
      </w:r>
      <w:r w:rsidRPr="00310835" w:rsidR="00D26444">
        <w:rPr>
          <w:rFonts w:ascii="Verdana" w:hAnsi="Verdana"/>
          <w:sz w:val="18"/>
          <w:szCs w:val="18"/>
        </w:rPr>
        <w:t xml:space="preserve">. </w:t>
      </w:r>
      <w:r w:rsidRPr="00310835" w:rsidR="00711AED">
        <w:rPr>
          <w:rFonts w:ascii="Verdana" w:hAnsi="Verdana"/>
          <w:sz w:val="18"/>
          <w:szCs w:val="18"/>
        </w:rPr>
        <w:t xml:space="preserve">De volgende onderhandelingsronde zal naar verwachting </w:t>
      </w:r>
      <w:r w:rsidRPr="00310835" w:rsidR="003C604E">
        <w:rPr>
          <w:rFonts w:ascii="Verdana" w:hAnsi="Verdana"/>
          <w:sz w:val="18"/>
          <w:szCs w:val="18"/>
        </w:rPr>
        <w:t xml:space="preserve">in de eerste helft van 2018 </w:t>
      </w:r>
      <w:r w:rsidRPr="00310835" w:rsidR="00711AED">
        <w:rPr>
          <w:rFonts w:ascii="Verdana" w:hAnsi="Verdana"/>
          <w:sz w:val="18"/>
          <w:szCs w:val="18"/>
        </w:rPr>
        <w:t>plaatsvinden.</w:t>
      </w:r>
      <w:r w:rsidRPr="00310835" w:rsidR="00A62CFC">
        <w:rPr>
          <w:rFonts w:ascii="Verdana" w:hAnsi="Verdana"/>
          <w:sz w:val="18"/>
          <w:szCs w:val="18"/>
        </w:rPr>
        <w:t xml:space="preserve"> </w:t>
      </w:r>
      <w:r w:rsidRPr="00310835" w:rsidR="003C604E">
        <w:rPr>
          <w:rFonts w:ascii="Verdana" w:hAnsi="Verdana"/>
          <w:sz w:val="18"/>
          <w:szCs w:val="18"/>
        </w:rPr>
        <w:t xml:space="preserve">Azerbeidzjan is op dit </w:t>
      </w:r>
      <w:r w:rsidRPr="00310835" w:rsidR="00374D49">
        <w:rPr>
          <w:rFonts w:ascii="Verdana" w:hAnsi="Verdana"/>
          <w:sz w:val="18"/>
          <w:szCs w:val="18"/>
        </w:rPr>
        <w:t>moment nog geen lid van de WTO. De WTO-t</w:t>
      </w:r>
      <w:r w:rsidRPr="00310835" w:rsidR="003C604E">
        <w:rPr>
          <w:rFonts w:ascii="Verdana" w:hAnsi="Verdana"/>
          <w:sz w:val="18"/>
          <w:szCs w:val="18"/>
        </w:rPr>
        <w:t xml:space="preserve">oetredingsonderhandelingen zijn gaande. </w:t>
      </w:r>
    </w:p>
    <w:p w:rsidRPr="00310835" w:rsidR="004C4702" w:rsidP="00E05E5D" w:rsidRDefault="004C4702" w14:paraId="1C454F0A" w14:textId="77777777">
      <w:pPr>
        <w:pStyle w:val="Plattetekst"/>
        <w:rPr>
          <w:sz w:val="19"/>
          <w:lang w:val="nl-NL"/>
        </w:rPr>
      </w:pPr>
    </w:p>
    <w:p w:rsidRPr="00310835" w:rsidR="004C4702" w:rsidP="00E05E5D" w:rsidRDefault="00B603E8" w14:paraId="1C454F0E" w14:textId="77777777">
      <w:pPr>
        <w:ind w:left="119"/>
        <w:rPr>
          <w:sz w:val="18"/>
          <w:lang w:val="nl-NL"/>
        </w:rPr>
      </w:pPr>
      <w:r w:rsidRPr="00310835">
        <w:rPr>
          <w:sz w:val="18"/>
          <w:u w:val="single"/>
          <w:lang w:val="nl-NL"/>
        </w:rPr>
        <w:t>Kazachstan (</w:t>
      </w:r>
      <w:r w:rsidRPr="00310835">
        <w:rPr>
          <w:i/>
          <w:sz w:val="18"/>
          <w:u w:val="single"/>
          <w:lang w:val="nl-NL"/>
        </w:rPr>
        <w:t xml:space="preserve">Enhanced Partnership and Cooperation Agreement </w:t>
      </w:r>
      <w:r w:rsidRPr="00310835">
        <w:rPr>
          <w:sz w:val="18"/>
          <w:u w:val="single"/>
          <w:lang w:val="nl-NL"/>
        </w:rPr>
        <w:t>(EPCA))</w:t>
      </w:r>
      <w:r w:rsidRPr="00310835">
        <w:rPr>
          <w:sz w:val="18"/>
          <w:lang w:val="nl-NL"/>
        </w:rPr>
        <w:t>:</w:t>
      </w:r>
    </w:p>
    <w:p w:rsidRPr="00310835" w:rsidR="004C4702" w:rsidP="00E05E5D" w:rsidRDefault="00B603E8" w14:paraId="1C454F0F" w14:textId="439F7E06">
      <w:pPr>
        <w:pStyle w:val="Plattetekst"/>
        <w:ind w:left="120" w:right="108"/>
        <w:rPr>
          <w:lang w:val="nl-NL"/>
        </w:rPr>
      </w:pPr>
      <w:r w:rsidRPr="00310835">
        <w:rPr>
          <w:lang w:val="nl-NL"/>
        </w:rPr>
        <w:t xml:space="preserve">In 2011 zijn onderhandelingen van start gegaan tussen de Europese Commissie en Kazachstan over een hernieuwd </w:t>
      </w:r>
      <w:r w:rsidRPr="00310835">
        <w:rPr>
          <w:i/>
          <w:lang w:val="nl-NL"/>
        </w:rPr>
        <w:t xml:space="preserve">Partnership and Cooperation Agreement </w:t>
      </w:r>
      <w:r w:rsidRPr="00310835">
        <w:rPr>
          <w:lang w:val="nl-NL"/>
        </w:rPr>
        <w:t>(PCA)</w:t>
      </w:r>
      <w:r w:rsidRPr="00310835">
        <w:rPr>
          <w:i/>
          <w:lang w:val="nl-NL"/>
        </w:rPr>
        <w:t xml:space="preserve">. </w:t>
      </w:r>
      <w:r w:rsidRPr="00310835">
        <w:rPr>
          <w:lang w:val="nl-NL"/>
        </w:rPr>
        <w:t xml:space="preserve">In 2014 zijn de onderhandelingen na acht onderhandelingsrondes afgerond. In december 2015 is het nieuwe akkoord ondertekend, gevolgd door voorlopige toepassing door de EU per 1 mei 2016. </w:t>
      </w:r>
      <w:r w:rsidRPr="00310835" w:rsidR="00105A07">
        <w:rPr>
          <w:lang w:val="nl-NL"/>
        </w:rPr>
        <w:t>De Raad van State</w:t>
      </w:r>
      <w:r w:rsidRPr="00310835" w:rsidR="001F532C">
        <w:rPr>
          <w:lang w:val="nl-NL"/>
        </w:rPr>
        <w:t xml:space="preserve"> heeft </w:t>
      </w:r>
      <w:r w:rsidRPr="00310835" w:rsidR="00E120C2">
        <w:rPr>
          <w:lang w:val="nl-NL"/>
        </w:rPr>
        <w:t>zijn advies gegeven over het akkoord</w:t>
      </w:r>
      <w:r w:rsidRPr="00310835" w:rsidR="00EF00C1">
        <w:rPr>
          <w:lang w:val="nl-NL"/>
        </w:rPr>
        <w:t xml:space="preserve">. </w:t>
      </w:r>
      <w:r w:rsidRPr="00310835" w:rsidR="001F532C">
        <w:rPr>
          <w:lang w:val="nl-NL"/>
        </w:rPr>
        <w:t>Mom</w:t>
      </w:r>
      <w:r w:rsidRPr="00310835" w:rsidR="00105A07">
        <w:rPr>
          <w:lang w:val="nl-NL"/>
        </w:rPr>
        <w:t xml:space="preserve">enteel wordt dit advies verwerkt in de Memorie van Toelichting en </w:t>
      </w:r>
      <w:r w:rsidRPr="00310835" w:rsidR="001F532C">
        <w:rPr>
          <w:lang w:val="nl-NL"/>
        </w:rPr>
        <w:t xml:space="preserve">vervolgens zal </w:t>
      </w:r>
      <w:r w:rsidRPr="00310835" w:rsidR="00105A07">
        <w:rPr>
          <w:lang w:val="nl-NL"/>
        </w:rPr>
        <w:t>de Memorie van Toelichting samen met het ak</w:t>
      </w:r>
      <w:r w:rsidRPr="00310835" w:rsidR="002737A5">
        <w:rPr>
          <w:lang w:val="nl-NL"/>
        </w:rPr>
        <w:t>k</w:t>
      </w:r>
      <w:r w:rsidRPr="00310835" w:rsidR="00105A07">
        <w:rPr>
          <w:lang w:val="nl-NL"/>
        </w:rPr>
        <w:t xml:space="preserve">oord ter goedkeuring naar de Tweede Kamer </w:t>
      </w:r>
      <w:r w:rsidRPr="00310835" w:rsidR="001F532C">
        <w:rPr>
          <w:lang w:val="nl-NL"/>
        </w:rPr>
        <w:t xml:space="preserve">worden </w:t>
      </w:r>
      <w:r w:rsidRPr="00310835" w:rsidR="00105A07">
        <w:rPr>
          <w:lang w:val="nl-NL"/>
        </w:rPr>
        <w:t xml:space="preserve">gestuurd. </w:t>
      </w:r>
    </w:p>
    <w:p w:rsidRPr="00310835" w:rsidR="005703A2" w:rsidP="00E05E5D" w:rsidRDefault="005703A2" w14:paraId="12D3DAA7" w14:textId="77777777">
      <w:pPr>
        <w:pStyle w:val="Plattetekst"/>
        <w:ind w:left="120" w:right="108"/>
        <w:rPr>
          <w:lang w:val="nl-NL"/>
        </w:rPr>
      </w:pPr>
    </w:p>
    <w:p w:rsidRPr="00310835" w:rsidR="00F15D2F" w:rsidP="00F15D2F" w:rsidRDefault="00263383" w14:paraId="332BA801" w14:textId="002E439F">
      <w:pPr>
        <w:pStyle w:val="Plattetekst"/>
        <w:ind w:left="120" w:right="108"/>
        <w:rPr>
          <w:u w:val="single"/>
        </w:rPr>
      </w:pPr>
      <w:r w:rsidRPr="00310835">
        <w:rPr>
          <w:u w:val="single"/>
        </w:rPr>
        <w:t>Kirgizië (Enhanced Partnership Cooperation Agreement)</w:t>
      </w:r>
    </w:p>
    <w:p w:rsidRPr="00310835" w:rsidR="00F15D2F" w:rsidP="00986E7D" w:rsidRDefault="00F15D2F" w14:paraId="61FB26D1" w14:textId="5BE943E2">
      <w:pPr>
        <w:pStyle w:val="Default"/>
        <w:ind w:left="120"/>
        <w:rPr>
          <w:u w:val="single"/>
        </w:rPr>
      </w:pPr>
      <w:r w:rsidRPr="00310835">
        <w:rPr>
          <w:rFonts w:ascii="Verdana" w:hAnsi="Verdana"/>
          <w:sz w:val="18"/>
          <w:szCs w:val="18"/>
        </w:rPr>
        <w:t xml:space="preserve">De samenwerking tussen de EU en Kirgizië ligt vastgelegd in een </w:t>
      </w:r>
      <w:r w:rsidRPr="00310835">
        <w:rPr>
          <w:rFonts w:ascii="Verdana" w:hAnsi="Verdana"/>
          <w:i/>
          <w:sz w:val="18"/>
          <w:szCs w:val="18"/>
        </w:rPr>
        <w:t>Partnership and Cooperation Agreement</w:t>
      </w:r>
      <w:r w:rsidRPr="00310835">
        <w:rPr>
          <w:rFonts w:ascii="Verdana" w:hAnsi="Verdana"/>
          <w:sz w:val="18"/>
          <w:szCs w:val="18"/>
        </w:rPr>
        <w:t xml:space="preserve"> (PCA), dat in 1999 in werking is getreden. Samenwerking omvat drie pilaren: politieke dialoog, economische samenwerking (inclusief ontwikkelingshulp vanuit de EU) en samenwerking op een aantal concrete beleidsterreinen, zoals technologie en cultuur. Daarnaast heeft Kirgizië preferentiële markttoegang tot de EU op grond van het APS+-stelsel (Algemeen Preferentieel Stelsel). Op 2 juni 2017 heeft de Commissie een aanbeveling aan de Raad gedaan voor het openen van de onderhandelingen voor het moderniseren van het PCA, inclusief een voorstel voor een </w:t>
      </w:r>
      <w:r w:rsidRPr="00310835">
        <w:rPr>
          <w:rFonts w:ascii="Verdana" w:hAnsi="Verdana"/>
          <w:sz w:val="18"/>
          <w:szCs w:val="18"/>
        </w:rPr>
        <w:lastRenderedPageBreak/>
        <w:t>mandaat. Hierin stelt de Commissie voor om de samenwerking op alle drie de pijlers te verdiepen. Kirgizië is geen lid van de Wereldhandelsorganisatie (WTO). Ten aanzien van handel stelt de Commissie in het mandaat voor om enkele principes uit het WTO-kader, zoals meest-begunstige-behandeling, tevens van toepassing te verklaren op de handel tussen de EU en Kirgizië.</w:t>
      </w:r>
      <w:r w:rsidRPr="00310835" w:rsidR="00413C90">
        <w:rPr>
          <w:rFonts w:ascii="Verdana" w:hAnsi="Verdana"/>
          <w:sz w:val="18"/>
          <w:szCs w:val="18"/>
        </w:rPr>
        <w:t xml:space="preserve"> De onderhandelingen met Kyrgizië over de modernisering van het PCA zijn in december</w:t>
      </w:r>
      <w:r w:rsidRPr="00310835" w:rsidR="00C001EB">
        <w:rPr>
          <w:rFonts w:ascii="Verdana" w:hAnsi="Verdana"/>
          <w:sz w:val="18"/>
          <w:szCs w:val="18"/>
        </w:rPr>
        <w:t xml:space="preserve"> 2017</w:t>
      </w:r>
      <w:r w:rsidRPr="00310835" w:rsidR="00413C90">
        <w:rPr>
          <w:rFonts w:ascii="Verdana" w:hAnsi="Verdana"/>
          <w:sz w:val="18"/>
          <w:szCs w:val="18"/>
        </w:rPr>
        <w:t xml:space="preserve"> gestart</w:t>
      </w:r>
      <w:r w:rsidRPr="00310835" w:rsidR="00F813A2">
        <w:rPr>
          <w:rFonts w:ascii="Verdana" w:hAnsi="Verdana"/>
          <w:sz w:val="18"/>
          <w:szCs w:val="18"/>
        </w:rPr>
        <w:t xml:space="preserve"> met eerst een politieke ronde. Een onderhandelingsronde gericht op handel </w:t>
      </w:r>
      <w:r w:rsidRPr="00310835" w:rsidR="00886847">
        <w:rPr>
          <w:rFonts w:ascii="Verdana" w:hAnsi="Verdana"/>
          <w:sz w:val="18"/>
          <w:szCs w:val="18"/>
        </w:rPr>
        <w:t>heeft</w:t>
      </w:r>
      <w:r w:rsidRPr="00310835" w:rsidR="00F813A2">
        <w:rPr>
          <w:rFonts w:ascii="Verdana" w:hAnsi="Verdana"/>
          <w:sz w:val="18"/>
          <w:szCs w:val="18"/>
        </w:rPr>
        <w:t xml:space="preserve"> eind februari 2018 </w:t>
      </w:r>
      <w:r w:rsidRPr="00310835" w:rsidR="00886847">
        <w:rPr>
          <w:rFonts w:ascii="Verdana" w:hAnsi="Verdana"/>
          <w:sz w:val="18"/>
          <w:szCs w:val="18"/>
        </w:rPr>
        <w:t>plaatsgevonden. De tekst is gemodelleerd op het recent aangepaste akkoord met Kazachstan. Er is geen sprake van tariefliberalisatie omdat daarover alleen met de Euraziatische Unie als geheel onderhandeld kan worden.</w:t>
      </w:r>
    </w:p>
    <w:p w:rsidRPr="00310835" w:rsidR="004A170C" w:rsidP="00E05E5D" w:rsidRDefault="004A170C" w14:paraId="2522BDD1" w14:textId="77777777">
      <w:pPr>
        <w:ind w:left="120"/>
        <w:rPr>
          <w:sz w:val="18"/>
          <w:u w:val="single"/>
          <w:lang w:val="nl-NL"/>
        </w:rPr>
      </w:pPr>
    </w:p>
    <w:p w:rsidRPr="00310835" w:rsidR="004C4702" w:rsidP="00E05E5D" w:rsidRDefault="00B603E8" w14:paraId="1C454F15" w14:textId="33281E64">
      <w:pPr>
        <w:ind w:left="120"/>
        <w:rPr>
          <w:sz w:val="18"/>
        </w:rPr>
      </w:pPr>
      <w:r w:rsidRPr="00310835">
        <w:rPr>
          <w:sz w:val="18"/>
          <w:u w:val="single"/>
        </w:rPr>
        <w:t>Noorwegen (</w:t>
      </w:r>
      <w:r w:rsidRPr="00310835">
        <w:rPr>
          <w:i/>
          <w:sz w:val="18"/>
          <w:u w:val="single"/>
        </w:rPr>
        <w:t>Bilateral Agreement on Trade in Basic Agricultural Products</w:t>
      </w:r>
      <w:r w:rsidRPr="00310835">
        <w:rPr>
          <w:sz w:val="18"/>
          <w:u w:val="single"/>
        </w:rPr>
        <w:t>)</w:t>
      </w:r>
    </w:p>
    <w:p w:rsidRPr="00310835" w:rsidR="004C4702" w:rsidP="00B01380" w:rsidRDefault="00B603E8" w14:paraId="1C454F17" w14:textId="2169F6A1">
      <w:pPr>
        <w:pStyle w:val="Plattetekst"/>
        <w:ind w:left="119" w:right="372"/>
        <w:rPr>
          <w:sz w:val="21"/>
          <w:lang w:val="nl-NL"/>
        </w:rPr>
      </w:pPr>
      <w:r w:rsidRPr="00310835">
        <w:rPr>
          <w:lang w:val="nl-NL"/>
        </w:rPr>
        <w:t xml:space="preserve">De EU, Noorwegen, IJsland en Liechtenstein zijn onderdeel van de Europese Economische Ruimte (EER). Dit betekent een interne markt voor goederen, diensten, kapitaal en werknemers. Handel in landbouwgoederen is echter uitgezonderd van de EER. Op grond van artikel 19 paragraaf 4 van de EER-overeenkomst dienen de partijen iedere twee jaar de handel in landbouwgoederen te evalueren, met als doel op termijn volledige marktintegratie. </w:t>
      </w:r>
      <w:r w:rsidRPr="00310835" w:rsidR="00D02A46">
        <w:rPr>
          <w:lang w:val="nl-NL"/>
        </w:rPr>
        <w:t xml:space="preserve">Op 18 november 2014 heeft de Raad een mandaat verleend aan de Commissie om met Noorwegen te onderhandelen over nieuwe tariefliberalisaties. </w:t>
      </w:r>
      <w:r w:rsidRPr="00310835" w:rsidR="003E6A75">
        <w:rPr>
          <w:lang w:val="nl-NL"/>
        </w:rPr>
        <w:t xml:space="preserve">Op 5 </w:t>
      </w:r>
      <w:r w:rsidRPr="00310835" w:rsidR="005A46AC">
        <w:rPr>
          <w:lang w:val="nl-NL"/>
        </w:rPr>
        <w:t>april</w:t>
      </w:r>
      <w:r w:rsidRPr="00310835">
        <w:rPr>
          <w:lang w:val="nl-NL"/>
        </w:rPr>
        <w:t xml:space="preserve"> 2017 is een principeovereenkomst bereikt tussen de EU en Noorwegen</w:t>
      </w:r>
      <w:r w:rsidRPr="00310835" w:rsidR="005A46AC">
        <w:rPr>
          <w:lang w:val="nl-NL"/>
        </w:rPr>
        <w:t xml:space="preserve">. </w:t>
      </w:r>
      <w:r w:rsidRPr="00310835" w:rsidR="003E6A75">
        <w:rPr>
          <w:lang w:val="nl-NL"/>
        </w:rPr>
        <w:t>Hierin is afgesproken dat de EU en Noorwegen voor 36 productcategorieën, bijvoorbeeld maïs voor diervoeder, diverse bessen en cider, hun wederzijdse invoerheffingen volledig afschaffen. Voor vlees, zuivelproducten, granen, groenten en sierplanten zal Noorwegen de EU additionele tariefcontingenten toekennen, bijvoorbeeld een aanvullend quotum van 1.600 ton voor runderen en 1.200 ton voor kaas. De EU zal Noorwegen onder meer een 700 ton quotum toekennen voor verschillende soorten kippenvlees. Het a</w:t>
      </w:r>
      <w:r w:rsidRPr="00310835" w:rsidR="00EC1C77">
        <w:rPr>
          <w:lang w:val="nl-NL"/>
        </w:rPr>
        <w:t xml:space="preserve">kkoord zal worden geformaliseerd door een briefwisseling. </w:t>
      </w:r>
      <w:r w:rsidRPr="00310835" w:rsidR="003A2D33">
        <w:rPr>
          <w:lang w:val="nl-NL"/>
        </w:rPr>
        <w:t xml:space="preserve">Op 17 oktober 2017 heeft de Europese Commissie een voorstel </w:t>
      </w:r>
      <w:r w:rsidRPr="00310835" w:rsidR="00EC1C77">
        <w:rPr>
          <w:lang w:val="nl-NL"/>
        </w:rPr>
        <w:t>voor een</w:t>
      </w:r>
      <w:r w:rsidRPr="00310835" w:rsidR="003A2D33">
        <w:rPr>
          <w:lang w:val="nl-NL"/>
        </w:rPr>
        <w:t xml:space="preserve"> Raad</w:t>
      </w:r>
      <w:r w:rsidRPr="00310835" w:rsidR="00EC1C77">
        <w:rPr>
          <w:lang w:val="nl-NL"/>
        </w:rPr>
        <w:t>sbesluit</w:t>
      </w:r>
      <w:r w:rsidRPr="00310835" w:rsidR="003A2D33">
        <w:rPr>
          <w:lang w:val="nl-NL"/>
        </w:rPr>
        <w:t xml:space="preserve"> gedaan</w:t>
      </w:r>
      <w:r w:rsidRPr="00310835" w:rsidR="00EC1C77">
        <w:rPr>
          <w:lang w:val="nl-NL"/>
        </w:rPr>
        <w:t xml:space="preserve">. </w:t>
      </w:r>
      <w:r w:rsidRPr="00310835" w:rsidR="00F159AF">
        <w:rPr>
          <w:lang w:val="nl-NL"/>
        </w:rPr>
        <w:t xml:space="preserve">Op 20 november 2017 </w:t>
      </w:r>
      <w:r w:rsidRPr="00310835" w:rsidR="00D02A46">
        <w:rPr>
          <w:lang w:val="nl-NL"/>
        </w:rPr>
        <w:t>heeft</w:t>
      </w:r>
      <w:r w:rsidRPr="00310835" w:rsidR="00F159AF">
        <w:rPr>
          <w:lang w:val="nl-NL"/>
        </w:rPr>
        <w:t xml:space="preserve"> de Raad</w:t>
      </w:r>
      <w:r w:rsidRPr="00310835" w:rsidR="00D02A46">
        <w:rPr>
          <w:lang w:val="nl-NL"/>
        </w:rPr>
        <w:t xml:space="preserve"> het Raadsbesluit 2017/2182 vastgesteld, waarmee de Raad haar akkoord geeft met deze briefwisseling.</w:t>
      </w:r>
      <w:r w:rsidRPr="00310835" w:rsidR="001458EA">
        <w:rPr>
          <w:lang w:val="nl-NL"/>
        </w:rPr>
        <w:t xml:space="preserve"> Op</w:t>
      </w:r>
      <w:r w:rsidRPr="00310835" w:rsidR="00D02A46">
        <w:rPr>
          <w:lang w:val="nl-NL"/>
        </w:rPr>
        <w:t xml:space="preserve"> </w:t>
      </w:r>
      <w:r w:rsidRPr="00310835" w:rsidR="00B74215">
        <w:rPr>
          <w:lang w:val="nl-NL"/>
        </w:rPr>
        <w:t xml:space="preserve">17 april </w:t>
      </w:r>
      <w:r w:rsidRPr="00310835" w:rsidR="001458EA">
        <w:rPr>
          <w:lang w:val="nl-NL"/>
        </w:rPr>
        <w:t>2018</w:t>
      </w:r>
      <w:r w:rsidRPr="00310835" w:rsidR="00B74215">
        <w:rPr>
          <w:lang w:val="nl-NL"/>
        </w:rPr>
        <w:t xml:space="preserve"> is ook het Europese Parlement akkoord gegaan.</w:t>
      </w:r>
      <w:r w:rsidRPr="00310835" w:rsidR="00A358A4">
        <w:rPr>
          <w:lang w:val="nl-NL"/>
        </w:rPr>
        <w:t xml:space="preserve"> Op dit moment wordt er gewacht op formele goedkeuring door Noorwegen, waarna de tariefliberalisaties op korte termijn van kracht kunnen worden.</w:t>
      </w:r>
    </w:p>
    <w:p w:rsidRPr="00310835" w:rsidR="004C4702" w:rsidP="00E05E5D" w:rsidRDefault="004C4702" w14:paraId="1C454F19" w14:textId="6F9129BA">
      <w:pPr>
        <w:pStyle w:val="Plattetekst"/>
        <w:rPr>
          <w:sz w:val="19"/>
          <w:lang w:val="nl-NL"/>
        </w:rPr>
      </w:pPr>
    </w:p>
    <w:p w:rsidRPr="00310835" w:rsidR="004C4702" w:rsidP="00E05E5D" w:rsidRDefault="00B603E8" w14:paraId="1C454F1A" w14:textId="77777777">
      <w:pPr>
        <w:ind w:left="120"/>
        <w:rPr>
          <w:sz w:val="18"/>
        </w:rPr>
      </w:pPr>
      <w:r w:rsidRPr="00310835">
        <w:rPr>
          <w:sz w:val="18"/>
          <w:u w:val="single"/>
        </w:rPr>
        <w:t xml:space="preserve">Rusland (verdieping van het </w:t>
      </w:r>
      <w:r w:rsidRPr="00310835">
        <w:rPr>
          <w:i/>
          <w:sz w:val="18"/>
          <w:u w:val="single"/>
        </w:rPr>
        <w:t xml:space="preserve">Partnership and Cooperation Agreement </w:t>
      </w:r>
      <w:r w:rsidRPr="00310835">
        <w:rPr>
          <w:sz w:val="18"/>
          <w:u w:val="single"/>
        </w:rPr>
        <w:t>(PCA))</w:t>
      </w:r>
      <w:r w:rsidRPr="00310835">
        <w:rPr>
          <w:sz w:val="18"/>
        </w:rPr>
        <w:t>:</w:t>
      </w:r>
    </w:p>
    <w:p w:rsidRPr="00310835" w:rsidR="004C4702" w:rsidP="00E05E5D" w:rsidRDefault="00B603E8" w14:paraId="1C454F1B" w14:textId="77777777">
      <w:pPr>
        <w:pStyle w:val="Plattetekst"/>
        <w:ind w:left="120" w:right="229"/>
        <w:rPr>
          <w:lang w:val="nl-NL"/>
        </w:rPr>
      </w:pPr>
      <w:r w:rsidRPr="00310835">
        <w:rPr>
          <w:lang w:val="nl-NL"/>
        </w:rPr>
        <w:t xml:space="preserve">De huidige relatie tussen de EU en Rusland is gebaseerd op een </w:t>
      </w:r>
      <w:r w:rsidRPr="00310835">
        <w:rPr>
          <w:i/>
          <w:lang w:val="nl-NL"/>
        </w:rPr>
        <w:t xml:space="preserve">Partnership and Cooperation Agreement </w:t>
      </w:r>
      <w:r w:rsidRPr="00310835">
        <w:rPr>
          <w:lang w:val="nl-NL"/>
        </w:rPr>
        <w:t>uit 1994, dat in 1997 in werking is getreden. In 2008 zijn onderhandelingen begonnen over modernisering en uitbreiding van het PCA op basis van een mandaat van de Raad. Vanaf 2010 wordt er vooral over handel en investeringen onderhandeld. In maart 2014 heeft de Raad besloten om de onderhandelingen te schorsen. De reden hiervoor was de annexatie van de Krim door Rusland en het conflict in</w:t>
      </w:r>
      <w:r w:rsidRPr="00310835">
        <w:rPr>
          <w:spacing w:val="-20"/>
          <w:lang w:val="nl-NL"/>
        </w:rPr>
        <w:t xml:space="preserve"> </w:t>
      </w:r>
      <w:r w:rsidRPr="00310835">
        <w:rPr>
          <w:lang w:val="nl-NL"/>
        </w:rPr>
        <w:t>Oost-Oekraïne.</w:t>
      </w:r>
    </w:p>
    <w:p w:rsidRPr="00310835" w:rsidR="004C4702" w:rsidP="00E05E5D" w:rsidRDefault="004C4702" w14:paraId="1C454F1C" w14:textId="77777777">
      <w:pPr>
        <w:pStyle w:val="Plattetekst"/>
        <w:rPr>
          <w:sz w:val="19"/>
          <w:lang w:val="nl-NL"/>
        </w:rPr>
      </w:pPr>
    </w:p>
    <w:p w:rsidRPr="00310835" w:rsidR="004C4702" w:rsidP="00E05E5D" w:rsidRDefault="00B603E8" w14:paraId="1C454F1D" w14:textId="77777777">
      <w:pPr>
        <w:ind w:left="120"/>
        <w:rPr>
          <w:sz w:val="18"/>
          <w:lang w:val="nl-NL"/>
        </w:rPr>
      </w:pPr>
      <w:r w:rsidRPr="00310835">
        <w:rPr>
          <w:sz w:val="18"/>
          <w:u w:val="single"/>
          <w:lang w:val="nl-NL"/>
        </w:rPr>
        <w:t>Turkije (</w:t>
      </w:r>
      <w:r w:rsidRPr="00310835">
        <w:rPr>
          <w:i/>
          <w:sz w:val="18"/>
          <w:u w:val="single"/>
          <w:lang w:val="nl-NL"/>
        </w:rPr>
        <w:t>Modernised Customs Union</w:t>
      </w:r>
      <w:r w:rsidRPr="00310835">
        <w:rPr>
          <w:sz w:val="18"/>
          <w:u w:val="single"/>
          <w:lang w:val="nl-NL"/>
        </w:rPr>
        <w:t>):</w:t>
      </w:r>
    </w:p>
    <w:p w:rsidRPr="00310835" w:rsidR="004C4702" w:rsidP="00E05E5D" w:rsidRDefault="00B603E8" w14:paraId="1C454F1E" w14:textId="254F3E69">
      <w:pPr>
        <w:pStyle w:val="Plattetekst"/>
        <w:ind w:left="119" w:right="244"/>
        <w:rPr>
          <w:lang w:val="nl-NL"/>
        </w:rPr>
      </w:pPr>
      <w:r w:rsidRPr="00310835">
        <w:rPr>
          <w:lang w:val="nl-NL"/>
        </w:rPr>
        <w:t>Sinds 1995 vormen de Europese Unie en Turkije gezamenlijk een douane-unie. Op 23 december 2016 heeft de Europese Commissie een aanbeveling voor een mandaat gedaan aan de Raad om de douane- unie te moderniseren. Tevens wenst de Commissie de douane-unie uit te breiden met afspraken op het gebied van landbouw, handel in diensten en overheidsaanbestedingen. Op dit moment wordt er binnen de Raad onderhandeld over de vaststelling van het mandaat</w:t>
      </w:r>
      <w:r w:rsidRPr="00310835" w:rsidDel="005037A9">
        <w:rPr>
          <w:lang w:val="nl-NL"/>
        </w:rPr>
        <w:t xml:space="preserve">. </w:t>
      </w:r>
      <w:r w:rsidRPr="00310835" w:rsidR="005037A9">
        <w:rPr>
          <w:lang w:val="nl-NL"/>
        </w:rPr>
        <w:t>Het is onwaarschijnlijk dat op korte termijn overeenstemming in de Raad over vaststelling van het mandaat wordt bereikt.</w:t>
      </w:r>
      <w:r w:rsidRPr="00310835" w:rsidR="00B74215">
        <w:rPr>
          <w:lang w:val="nl-NL"/>
        </w:rPr>
        <w:t xml:space="preserve"> </w:t>
      </w:r>
      <w:r w:rsidRPr="00310835" w:rsidR="007844A3">
        <w:rPr>
          <w:lang w:val="nl-NL"/>
        </w:rPr>
        <w:t>Voor Nederland is het van belang dat modernisering van de douane-unie en verbetering van de rechtsstaat in Turkije hand in hand gaan.</w:t>
      </w:r>
    </w:p>
    <w:p w:rsidRPr="00310835" w:rsidR="00560562" w:rsidP="00E05E5D" w:rsidRDefault="00560562" w14:paraId="5175B08C" w14:textId="0EA78755">
      <w:pPr>
        <w:pStyle w:val="Plattetekst"/>
        <w:ind w:left="119" w:right="244"/>
        <w:rPr>
          <w:lang w:val="nl-NL"/>
        </w:rPr>
      </w:pPr>
    </w:p>
    <w:p w:rsidRPr="00310835" w:rsidR="00560562" w:rsidP="00560562" w:rsidRDefault="00560562" w14:paraId="0AC63F38" w14:textId="34AD5F29">
      <w:pPr>
        <w:pStyle w:val="Plattetekst"/>
        <w:ind w:left="119" w:right="244"/>
        <w:rPr>
          <w:u w:val="single"/>
        </w:rPr>
      </w:pPr>
      <w:r w:rsidRPr="00310835">
        <w:rPr>
          <w:u w:val="single"/>
        </w:rPr>
        <w:t>Verenigd Koninkrijk (</w:t>
      </w:r>
      <w:r w:rsidRPr="00310835">
        <w:rPr>
          <w:i/>
          <w:u w:val="single"/>
        </w:rPr>
        <w:t>Free trade agreement as part of a close partnership</w:t>
      </w:r>
      <w:r w:rsidRPr="00310835">
        <w:rPr>
          <w:u w:val="single"/>
        </w:rPr>
        <w:t>)</w:t>
      </w:r>
    </w:p>
    <w:p w:rsidRPr="00310835" w:rsidR="00560562" w:rsidP="000D6D72" w:rsidRDefault="00560562" w14:paraId="4D310AFC" w14:textId="51E67558">
      <w:pPr>
        <w:pStyle w:val="Plattetekst"/>
        <w:ind w:left="119" w:right="244"/>
        <w:rPr>
          <w:lang w:val="nl-NL"/>
        </w:rPr>
      </w:pPr>
      <w:r w:rsidRPr="00310835">
        <w:rPr>
          <w:lang w:val="nl-NL"/>
        </w:rPr>
        <w:t>Op 23 maart heeft de Europese Raad in artikel 50-samenstelling richtsnoeren aangenomen voor gesprekken tussen de EU en het Verenigd Koninkrijk over het kader van de toekomstige betrekkingen na de uittreding van het Verenigd Koninkrijk uit de Europese Unie (“Brexit”). Hierin verklaart de E</w:t>
      </w:r>
      <w:r w:rsidRPr="00310835" w:rsidR="001458EA">
        <w:rPr>
          <w:lang w:val="nl-NL"/>
        </w:rPr>
        <w:t>uropese Raad</w:t>
      </w:r>
      <w:r w:rsidRPr="00310835">
        <w:rPr>
          <w:lang w:val="nl-NL"/>
        </w:rPr>
        <w:t xml:space="preserve"> (artikel 50) opnieuw dat de EU vastbesloten is in de toekomst een zo hecht mogelijk partnerschap met het Verenigd Koninkrijk te hebben. Dat partnerschap dient betrekking te hebben op samenwerking op economisch en handelsgebied, en op andere gebieden, met name de bestrijding van terrorisme en internationale criminaliteit, evenals veiligheid, defensie en buitenlands beleid. Wat betreft de kern van de economische betrekkingen, geeft de Europese Unie aan bereid te zijn besprekingen te beginnen met het oog op een evenwichtige, ambitieuze en </w:t>
      </w:r>
      <w:r w:rsidRPr="00310835">
        <w:rPr>
          <w:lang w:val="nl-NL"/>
        </w:rPr>
        <w:lastRenderedPageBreak/>
        <w:t>brede handelsovereenkomst, voor zover er voldoende garanties zijn voor een gelijk speelveld. Doel van de besprekingen is te komen tot een politieke verklaring bij het uittredingsakkoord. De handelsovereenkomst zelf zal worden voltooid en gesloten zodra het Verenigd Koninkrijk geen lidstaat meer is.</w:t>
      </w:r>
      <w:r w:rsidRPr="00310835" w:rsidR="000D6D72">
        <w:rPr>
          <w:lang w:val="nl-NL"/>
        </w:rPr>
        <w:t xml:space="preserve"> Gezien de economische verwevenheid is het voor het kabinet van groot belang dat de Europese Unie en het VK komen tot </w:t>
      </w:r>
      <w:r w:rsidRPr="00310835" w:rsidR="00A85D1F">
        <w:rPr>
          <w:lang w:val="nl-NL"/>
        </w:rPr>
        <w:t xml:space="preserve">ambitieuze </w:t>
      </w:r>
      <w:r w:rsidRPr="00310835" w:rsidR="000D6D72">
        <w:rPr>
          <w:lang w:val="nl-NL"/>
        </w:rPr>
        <w:t xml:space="preserve">afspraken over de toekomstige betrekkingen. </w:t>
      </w:r>
    </w:p>
    <w:p w:rsidRPr="00310835" w:rsidR="004C4702" w:rsidP="00E05E5D" w:rsidRDefault="004C4702" w14:paraId="1C454F1F" w14:textId="06B72AD5">
      <w:pPr>
        <w:pStyle w:val="Plattetekst"/>
        <w:rPr>
          <w:sz w:val="19"/>
          <w:lang w:val="nl-NL"/>
        </w:rPr>
      </w:pPr>
    </w:p>
    <w:p w:rsidRPr="00310835" w:rsidR="004C4702" w:rsidP="00E05E5D" w:rsidRDefault="00B603E8" w14:paraId="1C454F20" w14:textId="7A8BFB99">
      <w:pPr>
        <w:pStyle w:val="Lijstalinea"/>
        <w:numPr>
          <w:ilvl w:val="1"/>
          <w:numId w:val="2"/>
        </w:numPr>
        <w:tabs>
          <w:tab w:val="left" w:pos="490"/>
        </w:tabs>
        <w:ind w:hanging="369"/>
        <w:rPr>
          <w:sz w:val="18"/>
        </w:rPr>
      </w:pPr>
      <w:r w:rsidRPr="00310835">
        <w:rPr>
          <w:i/>
          <w:sz w:val="18"/>
          <w:u w:val="single"/>
        </w:rPr>
        <w:t>Noord-Amerika</w:t>
      </w:r>
      <w:r w:rsidRPr="00310835">
        <w:rPr>
          <w:sz w:val="18"/>
        </w:rPr>
        <w:t>:</w:t>
      </w:r>
    </w:p>
    <w:p w:rsidRPr="00310835" w:rsidR="004C4702" w:rsidP="00E05E5D" w:rsidRDefault="004C4702" w14:paraId="1C454F21" w14:textId="77777777">
      <w:pPr>
        <w:pStyle w:val="Plattetekst"/>
        <w:rPr>
          <w:sz w:val="13"/>
        </w:rPr>
      </w:pPr>
    </w:p>
    <w:p w:rsidRPr="00310835" w:rsidR="004C4702" w:rsidP="00E05E5D" w:rsidRDefault="00B603E8" w14:paraId="1C454F22" w14:textId="77777777">
      <w:pPr>
        <w:ind w:left="120"/>
        <w:rPr>
          <w:sz w:val="18"/>
        </w:rPr>
      </w:pPr>
      <w:r w:rsidRPr="00310835">
        <w:rPr>
          <w:sz w:val="18"/>
          <w:u w:val="single"/>
        </w:rPr>
        <w:t>Canada (</w:t>
      </w:r>
      <w:r w:rsidRPr="00310835">
        <w:rPr>
          <w:i/>
          <w:sz w:val="18"/>
          <w:u w:val="single"/>
        </w:rPr>
        <w:t xml:space="preserve">Comprehensive Economic and Trade Agreement </w:t>
      </w:r>
      <w:r w:rsidRPr="00310835">
        <w:rPr>
          <w:sz w:val="18"/>
          <w:u w:val="single"/>
        </w:rPr>
        <w:t>(CETA))</w:t>
      </w:r>
      <w:r w:rsidRPr="00310835">
        <w:rPr>
          <w:sz w:val="18"/>
        </w:rPr>
        <w:t>:</w:t>
      </w:r>
    </w:p>
    <w:p w:rsidRPr="00310835" w:rsidR="005B40CD" w:rsidP="00AA2171" w:rsidRDefault="00B603E8" w14:paraId="7A08BEC4" w14:textId="30DEB93E">
      <w:pPr>
        <w:pStyle w:val="Plattetekst"/>
        <w:ind w:left="120" w:right="103"/>
        <w:rPr>
          <w:u w:val="single"/>
          <w:lang w:val="nl-NL"/>
        </w:rPr>
      </w:pPr>
      <w:r w:rsidRPr="00310835">
        <w:rPr>
          <w:lang w:val="nl-NL"/>
        </w:rPr>
        <w:t xml:space="preserve">In 2009 zijn onderhandelingen tussen de Europese Unie en Canada over een handelsakkoord gestart. Het mandaat voor de onderhandelingen is in 2009 vastgesteld en in 2011 aangepast om onderhandelingen over investeringsbescherming mogelijk te maken. In 2014 is een onderhandelingsovereenkomst bereikt tussen beide partijen. In overeenstemming met Canada is het investeringshoofdstuk – met name de bepalingen op het gebied van investeringsbescherming – </w:t>
      </w:r>
      <w:r w:rsidRPr="00310835" w:rsidR="00AE7BF2">
        <w:rPr>
          <w:lang w:val="nl-NL"/>
        </w:rPr>
        <w:t xml:space="preserve">vervolgens </w:t>
      </w:r>
      <w:r w:rsidRPr="00310835">
        <w:rPr>
          <w:lang w:val="nl-NL"/>
        </w:rPr>
        <w:t>in lijn gebracht met de nieuwe EU-</w:t>
      </w:r>
      <w:r w:rsidRPr="00310835" w:rsidR="00AE7BF2">
        <w:rPr>
          <w:lang w:val="nl-NL"/>
        </w:rPr>
        <w:t xml:space="preserve">inzet </w:t>
      </w:r>
      <w:r w:rsidRPr="00310835">
        <w:rPr>
          <w:lang w:val="nl-NL"/>
        </w:rPr>
        <w:t xml:space="preserve">op dit gebied. Op 28 oktober </w:t>
      </w:r>
      <w:r w:rsidRPr="00310835" w:rsidR="00AE7BF2">
        <w:rPr>
          <w:lang w:val="nl-NL"/>
        </w:rPr>
        <w:t xml:space="preserve">2016 </w:t>
      </w:r>
      <w:r w:rsidRPr="00310835">
        <w:rPr>
          <w:lang w:val="nl-NL"/>
        </w:rPr>
        <w:t>heeft de Raad de besluiten over ondertekening en voorlopige toepassing vastgesteld.</w:t>
      </w:r>
      <w:r w:rsidRPr="00310835" w:rsidR="00AA2171">
        <w:rPr>
          <w:lang w:val="nl-NL"/>
        </w:rPr>
        <w:t xml:space="preserve"> </w:t>
      </w:r>
      <w:r w:rsidRPr="00310835">
        <w:rPr>
          <w:lang w:val="nl-NL"/>
        </w:rPr>
        <w:t xml:space="preserve">CETA is vervolgens op 30 oktober 2016 ondertekend tijdens een EU-Canada Top. Op 15 februari 2017 heeft het Europees Parlement ingestemd met het akkoord. </w:t>
      </w:r>
      <w:r w:rsidRPr="00310835" w:rsidR="006D6259">
        <w:rPr>
          <w:lang w:val="nl-NL"/>
        </w:rPr>
        <w:t>Per 21 september</w:t>
      </w:r>
      <w:r w:rsidRPr="00310835" w:rsidR="0016481C">
        <w:rPr>
          <w:lang w:val="nl-NL"/>
        </w:rPr>
        <w:t xml:space="preserve"> 2017 wordt</w:t>
      </w:r>
      <w:r w:rsidRPr="00310835" w:rsidR="006D6259">
        <w:rPr>
          <w:lang w:val="nl-NL"/>
        </w:rPr>
        <w:t xml:space="preserve"> het akkoord </w:t>
      </w:r>
      <w:r w:rsidRPr="00310835" w:rsidR="0016481C">
        <w:rPr>
          <w:lang w:val="nl-NL"/>
        </w:rPr>
        <w:t>gedeeltelijk voorlopig toegepast</w:t>
      </w:r>
      <w:r w:rsidRPr="00310835" w:rsidR="006D6259">
        <w:rPr>
          <w:lang w:val="nl-NL"/>
        </w:rPr>
        <w:t>.</w:t>
      </w:r>
      <w:r w:rsidRPr="00310835">
        <w:rPr>
          <w:lang w:val="nl-NL"/>
        </w:rPr>
        <w:t xml:space="preserve"> Daarnaast zijn de goedkeuringsprocessen in de EU-lidstaten opgestart. </w:t>
      </w:r>
      <w:r w:rsidRPr="00310835" w:rsidR="00AE7BF2">
        <w:rPr>
          <w:lang w:val="nl-NL"/>
        </w:rPr>
        <w:t xml:space="preserve">Het kabinet bereidt de goedkeuringsstukken voor. </w:t>
      </w:r>
      <w:r w:rsidRPr="00310835">
        <w:rPr>
          <w:lang w:val="nl-NL"/>
        </w:rPr>
        <w:t>CETA treedt pas volledig in werking na ratificatie door Canada, de EU en de 28 EU-lidstaten.</w:t>
      </w:r>
    </w:p>
    <w:p w:rsidRPr="00310835" w:rsidR="005B40CD" w:rsidP="00E05E5D" w:rsidRDefault="005B40CD" w14:paraId="3E3FE895" w14:textId="77777777">
      <w:pPr>
        <w:pStyle w:val="Plattetekst"/>
        <w:ind w:left="120"/>
        <w:rPr>
          <w:u w:val="single"/>
          <w:lang w:val="nl-NL"/>
        </w:rPr>
      </w:pPr>
    </w:p>
    <w:p w:rsidRPr="00310835" w:rsidR="004C4702" w:rsidP="00E05E5D" w:rsidRDefault="00B603E8" w14:paraId="1C454F26" w14:textId="0818E618">
      <w:pPr>
        <w:pStyle w:val="Plattetekst"/>
        <w:ind w:left="120"/>
        <w:rPr>
          <w:lang w:val="nl-NL"/>
        </w:rPr>
      </w:pPr>
      <w:r w:rsidRPr="00310835">
        <w:rPr>
          <w:u w:val="single"/>
          <w:lang w:val="nl-NL"/>
        </w:rPr>
        <w:t>Economisch Partnerschap met de landen in de Cariben (CARIFORUM-EU EPA)</w:t>
      </w:r>
      <w:r w:rsidRPr="00310835">
        <w:rPr>
          <w:lang w:val="nl-NL"/>
        </w:rPr>
        <w:t>:</w:t>
      </w:r>
    </w:p>
    <w:p w:rsidRPr="00310835" w:rsidR="00263383" w:rsidP="00263383" w:rsidRDefault="00B603E8" w14:paraId="0E4EDC17" w14:textId="1B92AD99">
      <w:pPr>
        <w:pStyle w:val="Plattetekst"/>
        <w:ind w:left="120" w:right="99"/>
        <w:rPr>
          <w:lang w:val="nl-NL"/>
        </w:rPr>
      </w:pPr>
      <w:r w:rsidRPr="00310835">
        <w:rPr>
          <w:lang w:val="nl-NL"/>
        </w:rPr>
        <w:t>Op basis van een mandaat uit 2002 zijn in hetzelfde jaar de onderhandelingen gestart met landen in Afrika, de Cariben en de Stille Oceaan (ACS-landen) over een Economisch Partnerschapsakkoord (EPA). De landen zijn verdeeld in zeven regio’s, waarvan er vijf in Afrika liggen, één in de Cariben en één in de Stille Oceaan. In 2008 zijn de onderhandelingen over de Cariforum-EU EPA afgerond, waarna de goedkeuringsprocedures zijn gestart. De EPA wordt sinds 2008 voorlopig toegepast en Nederland heeft dit akkoord geratificeerd.</w:t>
      </w:r>
      <w:r w:rsidRPr="00310835" w:rsidR="00DD5FFB">
        <w:rPr>
          <w:lang w:val="nl-NL"/>
        </w:rPr>
        <w:t xml:space="preserve"> De EPA treedt definitief in werking wanneer alle partijen hebben geratificeerd.</w:t>
      </w:r>
    </w:p>
    <w:p w:rsidRPr="00310835" w:rsidR="00263383" w:rsidP="00263383" w:rsidRDefault="00263383" w14:paraId="6DEA4F85" w14:textId="77777777">
      <w:pPr>
        <w:pStyle w:val="Plattetekst"/>
        <w:ind w:left="120" w:right="99"/>
        <w:rPr>
          <w:lang w:val="nl-NL"/>
        </w:rPr>
      </w:pPr>
    </w:p>
    <w:p w:rsidRPr="00310835" w:rsidR="00AA2171" w:rsidP="00550BF3" w:rsidRDefault="00B603E8" w14:paraId="51ADB188" w14:textId="438238A1">
      <w:pPr>
        <w:pStyle w:val="Plattetekst"/>
        <w:ind w:left="120" w:right="99"/>
      </w:pPr>
      <w:r w:rsidRPr="00310835">
        <w:rPr>
          <w:u w:val="single"/>
        </w:rPr>
        <w:t>Mexico</w:t>
      </w:r>
      <w:r w:rsidRPr="00310835" w:rsidR="003B3A30">
        <w:rPr>
          <w:u w:val="single"/>
        </w:rPr>
        <w:t xml:space="preserve"> </w:t>
      </w:r>
      <w:r w:rsidRPr="00310835">
        <w:rPr>
          <w:i/>
          <w:u w:val="single"/>
        </w:rPr>
        <w:t xml:space="preserve">Economic Partnership, Political Coordination and Cooperation </w:t>
      </w:r>
      <w:r w:rsidRPr="00310835" w:rsidR="00550BF3">
        <w:rPr>
          <w:i/>
          <w:u w:val="single"/>
        </w:rPr>
        <w:t xml:space="preserve">(Global </w:t>
      </w:r>
      <w:r w:rsidRPr="00310835">
        <w:rPr>
          <w:i/>
          <w:u w:val="single"/>
        </w:rPr>
        <w:t>Agreement</w:t>
      </w:r>
      <w:r w:rsidRPr="00310835">
        <w:rPr>
          <w:u w:val="single"/>
        </w:rPr>
        <w:t>)</w:t>
      </w:r>
      <w:r w:rsidRPr="00310835">
        <w:t xml:space="preserve">: </w:t>
      </w:r>
    </w:p>
    <w:p w:rsidRPr="00310835" w:rsidR="007B46BF" w:rsidP="00550BF3" w:rsidRDefault="00B603E8" w14:paraId="49CF21CF" w14:textId="5E0F993D">
      <w:pPr>
        <w:pStyle w:val="Plattetekst"/>
        <w:ind w:left="120" w:right="99"/>
        <w:rPr>
          <w:lang w:val="nl-NL"/>
        </w:rPr>
      </w:pPr>
      <w:r w:rsidRPr="00310835">
        <w:rPr>
          <w:lang w:val="nl-NL"/>
        </w:rPr>
        <w:t xml:space="preserve">Op 23 mei 2016 heeft de Raad het onderhandelingsmandaat ten behoeve van de modernisering van het bestaande EU-Mexico </w:t>
      </w:r>
      <w:r w:rsidRPr="00310835" w:rsidR="00550BF3">
        <w:rPr>
          <w:lang w:val="nl-NL"/>
        </w:rPr>
        <w:t xml:space="preserve">Global Agreement </w:t>
      </w:r>
      <w:r w:rsidRPr="00310835">
        <w:rPr>
          <w:lang w:val="nl-NL"/>
        </w:rPr>
        <w:t xml:space="preserve">uit 1997, dat sinds 2000 in werking is, goedgekeurd. </w:t>
      </w:r>
      <w:r w:rsidRPr="00310835" w:rsidR="007B46BF">
        <w:rPr>
          <w:lang w:val="nl-NL"/>
        </w:rPr>
        <w:t xml:space="preserve">Op 21 april is er een politiek </w:t>
      </w:r>
      <w:r w:rsidRPr="00310835" w:rsidR="00550BF3">
        <w:rPr>
          <w:lang w:val="nl-NL"/>
        </w:rPr>
        <w:t>akkoord bereikt tussen de Commissie en Mexico</w:t>
      </w:r>
      <w:r w:rsidRPr="00310835" w:rsidR="00585291">
        <w:rPr>
          <w:lang w:val="nl-NL"/>
        </w:rPr>
        <w:t xml:space="preserve">. </w:t>
      </w:r>
      <w:r w:rsidRPr="00310835" w:rsidR="00550BF3">
        <w:rPr>
          <w:lang w:val="nl-NL"/>
        </w:rPr>
        <w:t xml:space="preserve">De laatste openstaande punten en </w:t>
      </w:r>
      <w:r w:rsidRPr="00310835" w:rsidR="00585291">
        <w:rPr>
          <w:lang w:val="nl-NL"/>
        </w:rPr>
        <w:t xml:space="preserve">de </w:t>
      </w:r>
      <w:r w:rsidRPr="00310835" w:rsidR="00550BF3">
        <w:rPr>
          <w:lang w:val="nl-NL"/>
        </w:rPr>
        <w:t xml:space="preserve"> ‘finetuning’ van de tekst zal nog enige weken in beslag nemen. Daarna breekt de laatste fase, </w:t>
      </w:r>
      <w:r w:rsidRPr="00310835" w:rsidR="00585291">
        <w:rPr>
          <w:lang w:val="nl-NL"/>
        </w:rPr>
        <w:t>‘</w:t>
      </w:r>
      <w:r w:rsidRPr="00310835" w:rsidR="00550BF3">
        <w:rPr>
          <w:lang w:val="nl-NL"/>
        </w:rPr>
        <w:t>de legal scrubbing’</w:t>
      </w:r>
      <w:r w:rsidRPr="00310835" w:rsidR="00585291">
        <w:rPr>
          <w:lang w:val="nl-NL"/>
        </w:rPr>
        <w:t>,</w:t>
      </w:r>
      <w:r w:rsidRPr="00310835" w:rsidR="00550BF3">
        <w:rPr>
          <w:lang w:val="nl-NL"/>
        </w:rPr>
        <w:t xml:space="preserve"> van de tekst aan. </w:t>
      </w:r>
      <w:r w:rsidRPr="00310835" w:rsidR="00585291">
        <w:rPr>
          <w:lang w:val="nl-NL"/>
        </w:rPr>
        <w:t>De v</w:t>
      </w:r>
      <w:r w:rsidRPr="00310835" w:rsidR="00550BF3">
        <w:rPr>
          <w:lang w:val="nl-NL"/>
        </w:rPr>
        <w:t xml:space="preserve">erwachting is </w:t>
      </w:r>
      <w:r w:rsidRPr="00310835" w:rsidR="006958C7">
        <w:rPr>
          <w:lang w:val="nl-NL"/>
        </w:rPr>
        <w:t xml:space="preserve">dat </w:t>
      </w:r>
      <w:r w:rsidRPr="00310835" w:rsidR="00550BF3">
        <w:rPr>
          <w:lang w:val="nl-NL"/>
        </w:rPr>
        <w:t xml:space="preserve">eind dit jaar een </w:t>
      </w:r>
      <w:r w:rsidRPr="00310835" w:rsidR="006958C7">
        <w:rPr>
          <w:lang w:val="nl-NL"/>
        </w:rPr>
        <w:t xml:space="preserve">finaal </w:t>
      </w:r>
      <w:r w:rsidRPr="00310835" w:rsidR="00550BF3">
        <w:rPr>
          <w:lang w:val="nl-NL"/>
        </w:rPr>
        <w:t>akkoord zal worden gesloten tussen de Commissie en Mexico</w:t>
      </w:r>
      <w:r w:rsidRPr="00310835" w:rsidR="00765AF2">
        <w:rPr>
          <w:lang w:val="nl-NL"/>
        </w:rPr>
        <w:t xml:space="preserve">. Het betreft een </w:t>
      </w:r>
      <w:r w:rsidRPr="00310835" w:rsidR="007B46BF">
        <w:rPr>
          <w:lang w:val="nl-NL"/>
        </w:rPr>
        <w:t>zgn. ‘gemengd akkoord’</w:t>
      </w:r>
      <w:r w:rsidRPr="00310835" w:rsidR="006958C7">
        <w:rPr>
          <w:lang w:val="nl-NL"/>
        </w:rPr>
        <w:t>.</w:t>
      </w:r>
      <w:r w:rsidRPr="00310835" w:rsidR="00765AF2">
        <w:rPr>
          <w:lang w:val="nl-NL"/>
        </w:rPr>
        <w:t xml:space="preserve"> H</w:t>
      </w:r>
      <w:r w:rsidRPr="00310835" w:rsidR="007B46BF">
        <w:rPr>
          <w:lang w:val="nl-NL"/>
        </w:rPr>
        <w:t xml:space="preserve">et akkoord </w:t>
      </w:r>
      <w:r w:rsidRPr="00310835" w:rsidR="006958C7">
        <w:rPr>
          <w:lang w:val="nl-NL"/>
        </w:rPr>
        <w:t xml:space="preserve">zal </w:t>
      </w:r>
      <w:r w:rsidRPr="00310835" w:rsidR="00765AF2">
        <w:rPr>
          <w:lang w:val="nl-NL"/>
        </w:rPr>
        <w:t>daarom</w:t>
      </w:r>
      <w:r w:rsidRPr="00310835" w:rsidR="007B46BF">
        <w:rPr>
          <w:lang w:val="nl-NL"/>
        </w:rPr>
        <w:t xml:space="preserve"> worden voorgelegd aan de EU-lidstaten ter ratificatie. </w:t>
      </w:r>
    </w:p>
    <w:p w:rsidRPr="00310835" w:rsidR="00550BF3" w:rsidP="009929A7" w:rsidRDefault="007B46BF" w14:paraId="3511C8EA" w14:textId="6B754B80">
      <w:pPr>
        <w:pStyle w:val="Plattetekst"/>
        <w:ind w:left="120" w:right="99"/>
        <w:rPr>
          <w:lang w:val="nl-NL"/>
        </w:rPr>
      </w:pPr>
      <w:r w:rsidRPr="00310835">
        <w:rPr>
          <w:lang w:val="nl-NL"/>
        </w:rPr>
        <w:t xml:space="preserve">Het handels- en investeringsdeel </w:t>
      </w:r>
      <w:r w:rsidRPr="00310835" w:rsidR="00585291">
        <w:rPr>
          <w:lang w:val="nl-NL"/>
        </w:rPr>
        <w:t xml:space="preserve">van Global Agreement </w:t>
      </w:r>
      <w:r w:rsidRPr="00310835">
        <w:rPr>
          <w:lang w:val="nl-NL"/>
        </w:rPr>
        <w:t xml:space="preserve">zet in op </w:t>
      </w:r>
      <w:r w:rsidRPr="00310835" w:rsidR="00585291">
        <w:rPr>
          <w:lang w:val="nl-NL"/>
        </w:rPr>
        <w:t>98%</w:t>
      </w:r>
      <w:r w:rsidRPr="00310835">
        <w:rPr>
          <w:lang w:val="nl-NL"/>
        </w:rPr>
        <w:t xml:space="preserve"> liberalisering van de handel in goederen. </w:t>
      </w:r>
      <w:r w:rsidRPr="00310835" w:rsidR="00765AF2">
        <w:rPr>
          <w:lang w:val="nl-NL"/>
        </w:rPr>
        <w:t xml:space="preserve">Voor Nederland </w:t>
      </w:r>
      <w:r w:rsidRPr="00310835" w:rsidR="006958C7">
        <w:rPr>
          <w:lang w:val="nl-NL"/>
        </w:rPr>
        <w:t>is met name de tariefliberalisering van</w:t>
      </w:r>
      <w:r w:rsidRPr="00310835" w:rsidR="00765AF2">
        <w:rPr>
          <w:lang w:val="nl-NL"/>
        </w:rPr>
        <w:t xml:space="preserve"> belang voor landbouwproducten, als zuivel, pluimvee, eierproducten, bloembollen en granen. </w:t>
      </w:r>
      <w:r w:rsidRPr="00310835">
        <w:rPr>
          <w:lang w:val="nl-NL"/>
        </w:rPr>
        <w:t>Ook richt het</w:t>
      </w:r>
      <w:r w:rsidRPr="00310835" w:rsidR="006958C7">
        <w:rPr>
          <w:lang w:val="nl-NL"/>
        </w:rPr>
        <w:t xml:space="preserve"> akkoord</w:t>
      </w:r>
      <w:r w:rsidRPr="00310835">
        <w:rPr>
          <w:lang w:val="nl-NL"/>
        </w:rPr>
        <w:t xml:space="preserve"> zich op</w:t>
      </w:r>
      <w:r w:rsidRPr="00310835" w:rsidR="006958C7">
        <w:rPr>
          <w:lang w:val="nl-NL"/>
        </w:rPr>
        <w:t xml:space="preserve"> het</w:t>
      </w:r>
      <w:r w:rsidRPr="00310835">
        <w:rPr>
          <w:lang w:val="nl-NL"/>
        </w:rPr>
        <w:t xml:space="preserve"> wegnemen van onnodige belemmeringen </w:t>
      </w:r>
      <w:r w:rsidRPr="00310835" w:rsidR="006958C7">
        <w:rPr>
          <w:lang w:val="nl-NL"/>
        </w:rPr>
        <w:t>zoals</w:t>
      </w:r>
      <w:r w:rsidRPr="00310835">
        <w:rPr>
          <w:lang w:val="nl-NL"/>
        </w:rPr>
        <w:t xml:space="preserve"> niet-tarifaire obstakels. </w:t>
      </w:r>
      <w:r w:rsidRPr="00310835" w:rsidR="00F90701">
        <w:rPr>
          <w:lang w:val="nl-NL"/>
        </w:rPr>
        <w:t xml:space="preserve">Voor geschillenbeslechting is </w:t>
      </w:r>
      <w:r w:rsidRPr="00310835">
        <w:rPr>
          <w:lang w:val="nl-NL"/>
        </w:rPr>
        <w:t>M</w:t>
      </w:r>
      <w:r w:rsidRPr="00310835" w:rsidR="00F90701">
        <w:rPr>
          <w:lang w:val="nl-NL"/>
        </w:rPr>
        <w:t xml:space="preserve">exico </w:t>
      </w:r>
      <w:r w:rsidRPr="00310835">
        <w:rPr>
          <w:lang w:val="nl-NL"/>
        </w:rPr>
        <w:t xml:space="preserve">akkoord gegaan met het voorstel </w:t>
      </w:r>
      <w:r w:rsidRPr="00310835" w:rsidR="006958C7">
        <w:rPr>
          <w:lang w:val="nl-NL"/>
        </w:rPr>
        <w:t xml:space="preserve">van de Europese </w:t>
      </w:r>
      <w:r w:rsidRPr="00310835" w:rsidR="00AE7BF2">
        <w:rPr>
          <w:lang w:val="nl-NL"/>
        </w:rPr>
        <w:t xml:space="preserve">Unie </w:t>
      </w:r>
      <w:r w:rsidRPr="00310835">
        <w:rPr>
          <w:lang w:val="nl-NL"/>
        </w:rPr>
        <w:t xml:space="preserve">voor de oprichting van </w:t>
      </w:r>
      <w:r w:rsidRPr="00310835" w:rsidR="006958C7">
        <w:rPr>
          <w:lang w:val="nl-NL"/>
        </w:rPr>
        <w:t xml:space="preserve">het </w:t>
      </w:r>
      <w:r w:rsidRPr="00310835">
        <w:rPr>
          <w:i/>
          <w:lang w:val="nl-NL"/>
        </w:rPr>
        <w:t>Investment Court System</w:t>
      </w:r>
      <w:r w:rsidRPr="00310835" w:rsidR="00F90701">
        <w:rPr>
          <w:lang w:val="nl-NL"/>
        </w:rPr>
        <w:t xml:space="preserve">. </w:t>
      </w:r>
      <w:r w:rsidRPr="00310835" w:rsidR="006958C7">
        <w:rPr>
          <w:lang w:val="nl-NL"/>
        </w:rPr>
        <w:t xml:space="preserve">Ten opzichte van de bestaande EU-Mexico overeenkomst zijn nu ook </w:t>
      </w:r>
      <w:r w:rsidRPr="00310835" w:rsidR="00F90701">
        <w:rPr>
          <w:lang w:val="nl-NL"/>
        </w:rPr>
        <w:t xml:space="preserve">anticorruptiebepalingen en </w:t>
      </w:r>
      <w:r w:rsidRPr="00310835" w:rsidR="00585291">
        <w:rPr>
          <w:lang w:val="nl-NL"/>
        </w:rPr>
        <w:t xml:space="preserve">een </w:t>
      </w:r>
      <w:r w:rsidRPr="00310835" w:rsidR="00F90701">
        <w:rPr>
          <w:lang w:val="nl-NL"/>
        </w:rPr>
        <w:t xml:space="preserve">hoofdstuk over duurzame </w:t>
      </w:r>
      <w:r w:rsidRPr="00310835" w:rsidR="00585291">
        <w:rPr>
          <w:lang w:val="nl-NL"/>
        </w:rPr>
        <w:t>ontwikkeling</w:t>
      </w:r>
      <w:r w:rsidRPr="00310835" w:rsidR="006958C7">
        <w:rPr>
          <w:lang w:val="nl-NL"/>
        </w:rPr>
        <w:t xml:space="preserve"> opgenomen</w:t>
      </w:r>
      <w:r w:rsidRPr="00310835" w:rsidR="00585291">
        <w:rPr>
          <w:lang w:val="nl-NL"/>
        </w:rPr>
        <w:t>.</w:t>
      </w:r>
      <w:r w:rsidRPr="00310835" w:rsidR="00765AF2">
        <w:rPr>
          <w:lang w:val="nl-NL"/>
        </w:rPr>
        <w:t xml:space="preserve"> </w:t>
      </w:r>
      <w:r w:rsidRPr="00310835" w:rsidR="00585291">
        <w:rPr>
          <w:lang w:val="nl-NL"/>
        </w:rPr>
        <w:t>Ook zal voor het eerst het maatschappelijk middenveld</w:t>
      </w:r>
      <w:r w:rsidRPr="00310835" w:rsidR="00F90701">
        <w:rPr>
          <w:lang w:val="nl-NL"/>
        </w:rPr>
        <w:t xml:space="preserve"> een rol krijgen in</w:t>
      </w:r>
      <w:r w:rsidRPr="00310835" w:rsidR="006958C7">
        <w:rPr>
          <w:lang w:val="nl-NL"/>
        </w:rPr>
        <w:t xml:space="preserve"> de</w:t>
      </w:r>
      <w:r w:rsidRPr="00310835" w:rsidR="00F90701">
        <w:rPr>
          <w:lang w:val="nl-NL"/>
        </w:rPr>
        <w:t xml:space="preserve"> monitor</w:t>
      </w:r>
      <w:r w:rsidRPr="00310835" w:rsidR="006958C7">
        <w:rPr>
          <w:lang w:val="nl-NL"/>
        </w:rPr>
        <w:t>ing</w:t>
      </w:r>
      <w:r w:rsidRPr="00310835" w:rsidR="00F90701">
        <w:rPr>
          <w:lang w:val="nl-NL"/>
        </w:rPr>
        <w:t xml:space="preserve"> van het akkoord.</w:t>
      </w:r>
      <w:r w:rsidRPr="00310835" w:rsidR="00765AF2">
        <w:rPr>
          <w:lang w:val="nl-NL"/>
        </w:rPr>
        <w:t xml:space="preserve"> </w:t>
      </w:r>
    </w:p>
    <w:p w:rsidRPr="00310835" w:rsidR="00550BF3" w:rsidP="00550BF3" w:rsidRDefault="00550BF3" w14:paraId="184EEA47" w14:textId="77777777">
      <w:pPr>
        <w:pStyle w:val="Plattetekst"/>
        <w:ind w:left="120" w:right="99"/>
        <w:rPr>
          <w:lang w:val="nl-NL"/>
        </w:rPr>
      </w:pPr>
    </w:p>
    <w:p w:rsidRPr="00310835" w:rsidR="004C4702" w:rsidP="00E05E5D" w:rsidRDefault="00B603E8" w14:paraId="1C454F2B" w14:textId="77777777">
      <w:pPr>
        <w:ind w:left="119"/>
        <w:rPr>
          <w:sz w:val="18"/>
        </w:rPr>
      </w:pPr>
      <w:r w:rsidRPr="00310835">
        <w:rPr>
          <w:sz w:val="18"/>
          <w:u w:val="single"/>
        </w:rPr>
        <w:t>Verenigde Staten (</w:t>
      </w:r>
      <w:r w:rsidRPr="00310835">
        <w:rPr>
          <w:i/>
          <w:sz w:val="18"/>
          <w:u w:val="single"/>
        </w:rPr>
        <w:t xml:space="preserve">Transatlantic Trade and Investment Partnership </w:t>
      </w:r>
      <w:r w:rsidRPr="00310835">
        <w:rPr>
          <w:sz w:val="18"/>
          <w:u w:val="single"/>
        </w:rPr>
        <w:t>(TTIP))</w:t>
      </w:r>
      <w:r w:rsidRPr="00310835">
        <w:rPr>
          <w:sz w:val="18"/>
        </w:rPr>
        <w:t>:</w:t>
      </w:r>
    </w:p>
    <w:p w:rsidRPr="00310835" w:rsidR="004C4702" w:rsidP="00E05E5D" w:rsidRDefault="00B603E8" w14:paraId="1C454F2C" w14:textId="1A335789">
      <w:pPr>
        <w:pStyle w:val="Plattetekst"/>
        <w:ind w:left="119" w:right="222"/>
        <w:rPr>
          <w:lang w:val="nl-NL"/>
        </w:rPr>
      </w:pPr>
      <w:r w:rsidRPr="00310835">
        <w:rPr>
          <w:lang w:val="nl-NL"/>
        </w:rPr>
        <w:t xml:space="preserve">De EU en de Verenigde Staten zijn onderhandelingen in juli 2013 gestart, nadat de Raad in juni 2013 het mandaat aan de Europese Commissie heeft verleend. Tijdens de informele RBZ Handel op 23 september 2016 heeft de Europese Commissie vastgesteld dat afronding van de onderhandelingen in 2016 niet meer mogelijk is. Op 17 januari 2017 hebben de Europese Commissie en de </w:t>
      </w:r>
      <w:r w:rsidRPr="00310835">
        <w:rPr>
          <w:i/>
          <w:lang w:val="nl-NL"/>
        </w:rPr>
        <w:t xml:space="preserve">US Trade Representative </w:t>
      </w:r>
      <w:r w:rsidRPr="00310835">
        <w:rPr>
          <w:lang w:val="nl-NL"/>
        </w:rPr>
        <w:t xml:space="preserve">een gezamenlijk rapport opgesteld waarin beschreven </w:t>
      </w:r>
      <w:r w:rsidRPr="00310835">
        <w:rPr>
          <w:lang w:val="nl-NL"/>
        </w:rPr>
        <w:lastRenderedPageBreak/>
        <w:t>staat welke voortgang de afgelopen jaren geboekt is.</w:t>
      </w:r>
      <w:r w:rsidRPr="00310835" w:rsidR="00E22440">
        <w:rPr>
          <w:rStyle w:val="Voetnootmarkering"/>
          <w:lang w:val="nl-NL"/>
        </w:rPr>
        <w:footnoteReference w:id="13"/>
      </w:r>
      <w:r w:rsidRPr="00310835">
        <w:rPr>
          <w:sz w:val="12"/>
          <w:lang w:val="nl-NL"/>
        </w:rPr>
        <w:t xml:space="preserve"> </w:t>
      </w:r>
      <w:r w:rsidRPr="00310835">
        <w:rPr>
          <w:lang w:val="nl-NL"/>
        </w:rPr>
        <w:t>De onderhandelingen liggen stil: er is geen volgende onderhandelingsronde gepland.</w:t>
      </w:r>
    </w:p>
    <w:p w:rsidRPr="00310835" w:rsidR="004C4702" w:rsidP="00E05E5D" w:rsidRDefault="004C4702" w14:paraId="1C454F2D" w14:textId="5C24B54F">
      <w:pPr>
        <w:pStyle w:val="Plattetekst"/>
        <w:rPr>
          <w:sz w:val="19"/>
          <w:lang w:val="nl-NL"/>
        </w:rPr>
      </w:pPr>
    </w:p>
    <w:p w:rsidRPr="00310835" w:rsidR="004C4702" w:rsidP="00E05E5D" w:rsidRDefault="00B603E8" w14:paraId="1C454F2E" w14:textId="70968F25">
      <w:pPr>
        <w:pStyle w:val="Lijstalinea"/>
        <w:numPr>
          <w:ilvl w:val="1"/>
          <w:numId w:val="2"/>
        </w:numPr>
        <w:tabs>
          <w:tab w:val="left" w:pos="490"/>
        </w:tabs>
        <w:ind w:hanging="369"/>
        <w:rPr>
          <w:sz w:val="18"/>
        </w:rPr>
      </w:pPr>
      <w:r w:rsidRPr="00310835">
        <w:rPr>
          <w:i/>
          <w:sz w:val="18"/>
          <w:u w:val="single"/>
        </w:rPr>
        <w:t>Oceanië</w:t>
      </w:r>
      <w:r w:rsidRPr="00310835">
        <w:rPr>
          <w:sz w:val="18"/>
          <w:u w:val="single"/>
        </w:rPr>
        <w:t>:</w:t>
      </w:r>
    </w:p>
    <w:p w:rsidRPr="00310835" w:rsidR="004C4702" w:rsidP="00E05E5D" w:rsidRDefault="004C4702" w14:paraId="1C454F2F" w14:textId="77777777">
      <w:pPr>
        <w:pStyle w:val="Plattetekst"/>
        <w:rPr>
          <w:sz w:val="13"/>
        </w:rPr>
      </w:pPr>
    </w:p>
    <w:p w:rsidRPr="00310835" w:rsidR="004C4702" w:rsidP="00E05E5D" w:rsidRDefault="00B603E8" w14:paraId="1C454F30" w14:textId="77777777">
      <w:pPr>
        <w:ind w:left="120"/>
        <w:rPr>
          <w:sz w:val="18"/>
        </w:rPr>
      </w:pPr>
      <w:r w:rsidRPr="00310835">
        <w:rPr>
          <w:sz w:val="18"/>
          <w:u w:val="single"/>
        </w:rPr>
        <w:t>Australië (</w:t>
      </w:r>
      <w:r w:rsidRPr="00310835">
        <w:rPr>
          <w:i/>
          <w:sz w:val="18"/>
          <w:u w:val="single"/>
        </w:rPr>
        <w:t>EU-Australia Free Trade Agreement</w:t>
      </w:r>
      <w:r w:rsidRPr="00310835">
        <w:rPr>
          <w:sz w:val="18"/>
          <w:u w:val="single"/>
        </w:rPr>
        <w:t>)</w:t>
      </w:r>
      <w:r w:rsidRPr="00310835">
        <w:rPr>
          <w:sz w:val="18"/>
        </w:rPr>
        <w:t>:</w:t>
      </w:r>
    </w:p>
    <w:p w:rsidRPr="00310835" w:rsidR="004C4702" w:rsidP="00E05E5D" w:rsidRDefault="00B603E8" w14:paraId="1C454F31" w14:textId="1A742BBB">
      <w:pPr>
        <w:pStyle w:val="Plattetekst"/>
        <w:ind w:left="119" w:right="105"/>
        <w:rPr>
          <w:lang w:val="nl-NL"/>
        </w:rPr>
      </w:pPr>
      <w:r w:rsidRPr="00310835">
        <w:rPr>
          <w:lang w:val="nl-NL"/>
        </w:rPr>
        <w:t xml:space="preserve">In november 2015 hebben de voorzitter van de Europese Raad, de president van de Europese Commissie en de premier van Australië de wens uitgesproken om onderhandelingen over een handelsakkoord op te starten. </w:t>
      </w:r>
      <w:r w:rsidRPr="00310835" w:rsidR="00A54A85">
        <w:rPr>
          <w:lang w:val="nl-NL"/>
        </w:rPr>
        <w:t>De</w:t>
      </w:r>
      <w:r w:rsidRPr="00310835">
        <w:rPr>
          <w:lang w:val="nl-NL"/>
        </w:rPr>
        <w:t xml:space="preserve"> Europese Commissie </w:t>
      </w:r>
      <w:r w:rsidRPr="00310835" w:rsidR="00A54A85">
        <w:rPr>
          <w:lang w:val="nl-NL"/>
        </w:rPr>
        <w:t xml:space="preserve">heeft dit voorjaar </w:t>
      </w:r>
      <w:r w:rsidRPr="00310835">
        <w:rPr>
          <w:lang w:val="nl-NL"/>
        </w:rPr>
        <w:t>een effect</w:t>
      </w:r>
      <w:r w:rsidRPr="00310835" w:rsidR="00770E9E">
        <w:rPr>
          <w:lang w:val="nl-NL"/>
        </w:rPr>
        <w:t>en</w:t>
      </w:r>
      <w:r w:rsidRPr="00310835">
        <w:rPr>
          <w:lang w:val="nl-NL"/>
        </w:rPr>
        <w:t>beoordeling uit</w:t>
      </w:r>
      <w:r w:rsidRPr="00310835" w:rsidR="00A54A85">
        <w:rPr>
          <w:lang w:val="nl-NL"/>
        </w:rPr>
        <w:t>gevoerd</w:t>
      </w:r>
      <w:r w:rsidRPr="00310835">
        <w:rPr>
          <w:lang w:val="nl-NL"/>
        </w:rPr>
        <w:t xml:space="preserve">, inclusief een publieke consultatie, om de belangrijkste mogelijkheden te identificeren van een eventueel handelsakkoord. Op </w:t>
      </w:r>
      <w:r w:rsidRPr="00310835" w:rsidR="00A54A85">
        <w:rPr>
          <w:lang w:val="nl-NL"/>
        </w:rPr>
        <w:t xml:space="preserve">13 </w:t>
      </w:r>
      <w:r w:rsidRPr="00310835" w:rsidR="00BC7B92">
        <w:rPr>
          <w:lang w:val="nl-NL"/>
        </w:rPr>
        <w:t>september</w:t>
      </w:r>
      <w:r w:rsidRPr="00310835" w:rsidR="00E639EA">
        <w:rPr>
          <w:lang w:val="nl-NL"/>
        </w:rPr>
        <w:t xml:space="preserve"> 2017</w:t>
      </w:r>
      <w:r w:rsidRPr="00310835" w:rsidR="00A54A85">
        <w:rPr>
          <w:lang w:val="nl-NL"/>
        </w:rPr>
        <w:t xml:space="preserve"> heeft de Commissie </w:t>
      </w:r>
      <w:r w:rsidRPr="00310835">
        <w:rPr>
          <w:lang w:val="nl-NL"/>
        </w:rPr>
        <w:t xml:space="preserve">een aanbeveling aan de Raad </w:t>
      </w:r>
      <w:r w:rsidRPr="00310835" w:rsidR="00A54A85">
        <w:rPr>
          <w:lang w:val="nl-NL"/>
        </w:rPr>
        <w:t xml:space="preserve">gedaan </w:t>
      </w:r>
      <w:r w:rsidRPr="00310835">
        <w:rPr>
          <w:lang w:val="nl-NL"/>
        </w:rPr>
        <w:t>om de onderhandelingen te openen</w:t>
      </w:r>
      <w:r w:rsidRPr="00310835" w:rsidR="00A54A85">
        <w:rPr>
          <w:lang w:val="nl-NL"/>
        </w:rPr>
        <w:t>, inclusief een voorstel voor een mandaat</w:t>
      </w:r>
      <w:r w:rsidRPr="00310835">
        <w:rPr>
          <w:lang w:val="nl-NL"/>
        </w:rPr>
        <w:t>.</w:t>
      </w:r>
      <w:r w:rsidRPr="00310835" w:rsidR="00B9046E">
        <w:rPr>
          <w:rStyle w:val="Voetnootmarkering"/>
          <w:lang w:val="nl-NL"/>
        </w:rPr>
        <w:footnoteReference w:id="14"/>
      </w:r>
      <w:r w:rsidRPr="00310835" w:rsidR="00C505B4">
        <w:rPr>
          <w:lang w:val="nl-NL"/>
        </w:rPr>
        <w:t xml:space="preserve"> De Raad moet het mandaat nog vaststellen, waarbij de inzet is om de onderhandelingen te starten in de eerste helft van 2018.</w:t>
      </w:r>
      <w:r w:rsidRPr="00310835" w:rsidR="00064038">
        <w:rPr>
          <w:lang w:val="nl-NL"/>
        </w:rPr>
        <w:t xml:space="preserve"> </w:t>
      </w:r>
      <w:r w:rsidRPr="00310835" w:rsidR="007B32F0">
        <w:rPr>
          <w:lang w:val="nl-NL"/>
        </w:rPr>
        <w:t xml:space="preserve">Vaststelling van het mandaat staat op de agenda van de Raad Buitenlandse Zaken/Handel van 22 mei a.s. </w:t>
      </w:r>
    </w:p>
    <w:p w:rsidRPr="00310835" w:rsidR="004C4702" w:rsidP="00E05E5D" w:rsidRDefault="004C4702" w14:paraId="1C454F32" w14:textId="55437FBD">
      <w:pPr>
        <w:pStyle w:val="Plattetekst"/>
        <w:rPr>
          <w:sz w:val="19"/>
          <w:lang w:val="nl-NL"/>
        </w:rPr>
      </w:pPr>
    </w:p>
    <w:p w:rsidRPr="00310835" w:rsidR="00EE2E35" w:rsidP="00EE2E35" w:rsidRDefault="00EE2E35" w14:paraId="1341FC49" w14:textId="77777777">
      <w:pPr>
        <w:ind w:left="120"/>
        <w:rPr>
          <w:sz w:val="18"/>
        </w:rPr>
      </w:pPr>
      <w:r w:rsidRPr="00310835">
        <w:rPr>
          <w:sz w:val="18"/>
          <w:u w:val="single"/>
        </w:rPr>
        <w:t>Nieuw-Zeeland (</w:t>
      </w:r>
      <w:r w:rsidRPr="00310835">
        <w:rPr>
          <w:i/>
          <w:sz w:val="18"/>
          <w:u w:val="single"/>
        </w:rPr>
        <w:t>EU-New Zealand Free Trade Agreement</w:t>
      </w:r>
      <w:r w:rsidRPr="00310835">
        <w:rPr>
          <w:sz w:val="18"/>
          <w:u w:val="single"/>
        </w:rPr>
        <w:t>)</w:t>
      </w:r>
      <w:r w:rsidRPr="00310835">
        <w:rPr>
          <w:sz w:val="18"/>
        </w:rPr>
        <w:t>:</w:t>
      </w:r>
    </w:p>
    <w:p w:rsidRPr="00310835" w:rsidR="00EE2E35" w:rsidP="007B32F0" w:rsidRDefault="00EE2E35" w14:paraId="65782A86" w14:textId="1D8D35F9">
      <w:pPr>
        <w:pStyle w:val="Plattetekst"/>
        <w:ind w:left="119" w:right="105"/>
        <w:rPr>
          <w:sz w:val="20"/>
          <w:lang w:val="nl-NL"/>
        </w:rPr>
      </w:pPr>
      <w:r w:rsidRPr="00310835">
        <w:rPr>
          <w:lang w:val="nl-NL"/>
        </w:rPr>
        <w:t>Op 29 oktober 2015 hebben de voorzitter van de Europese Raad, de president van de Europese Commissie en de premier van Nieuw-Zeeland de wens uitgesproken om onderhandelingen over een handelsakkoord op te starten. De Europese Commissie heeft dit voorjaar een effectbeoordeling uitgevoerd, inclusief een publieke consultatie, om de belangrijkste mogelijkheden te identificeren van een eventueel handelsakkoord. Op 13 september 2017 heeft de Commissie een aanbeveling aan de Raad gedaan om de onderhandelingen te openen, inclusief een voorstel voor een mandaat.</w:t>
      </w:r>
      <w:r w:rsidRPr="00310835">
        <w:rPr>
          <w:rStyle w:val="Voetnootmarkering"/>
          <w:lang w:val="nl-NL"/>
        </w:rPr>
        <w:footnoteReference w:id="15"/>
      </w:r>
      <w:r w:rsidRPr="00310835">
        <w:rPr>
          <w:lang w:val="nl-NL"/>
        </w:rPr>
        <w:t xml:space="preserve"> De Raad moet het mandaat nog vaststellen, waarbij de inzet is om de onderhandelingen te starten in de eerste helft van 2018. </w:t>
      </w:r>
      <w:r w:rsidRPr="00310835" w:rsidR="007B32F0">
        <w:rPr>
          <w:lang w:val="nl-NL"/>
        </w:rPr>
        <w:t>Vaststelling van het mandaat staat op de agenda van de Raad Buitenlandse Zaken/Handel van 22 mei a.s.</w:t>
      </w:r>
    </w:p>
    <w:p w:rsidRPr="00310835" w:rsidR="00EE2E35" w:rsidP="00EE2E35" w:rsidRDefault="00EE2E35" w14:paraId="4E0444C0" w14:textId="77777777">
      <w:pPr>
        <w:pStyle w:val="Plattetekst"/>
        <w:rPr>
          <w:sz w:val="20"/>
          <w:lang w:val="nl-NL"/>
        </w:rPr>
      </w:pPr>
    </w:p>
    <w:p w:rsidRPr="00310835" w:rsidR="004C4702" w:rsidP="00E05E5D" w:rsidRDefault="00B603E8" w14:paraId="1C454F33" w14:textId="7274A4DF">
      <w:pPr>
        <w:pStyle w:val="Plattetekst"/>
        <w:ind w:left="120"/>
        <w:rPr>
          <w:lang w:val="nl-NL"/>
        </w:rPr>
      </w:pPr>
      <w:r w:rsidRPr="00310835">
        <w:rPr>
          <w:u w:val="single"/>
          <w:lang w:val="nl-NL"/>
        </w:rPr>
        <w:t>Economisch Partnerschap met de landen in de Stille Oceaan (</w:t>
      </w:r>
      <w:r w:rsidRPr="00310835">
        <w:rPr>
          <w:i/>
          <w:u w:val="single"/>
          <w:lang w:val="nl-NL"/>
        </w:rPr>
        <w:t>Pacific-EU EPA</w:t>
      </w:r>
      <w:r w:rsidRPr="00310835">
        <w:rPr>
          <w:u w:val="single"/>
          <w:lang w:val="nl-NL"/>
        </w:rPr>
        <w:t>):</w:t>
      </w:r>
    </w:p>
    <w:p w:rsidRPr="00310835" w:rsidR="004C4702" w:rsidP="00E05E5D" w:rsidRDefault="00B603E8" w14:paraId="1C454F34" w14:textId="77777777">
      <w:pPr>
        <w:pStyle w:val="Plattetekst"/>
        <w:ind w:left="120" w:right="258"/>
        <w:rPr>
          <w:lang w:val="nl-NL"/>
        </w:rPr>
      </w:pPr>
      <w:r w:rsidRPr="00310835">
        <w:rPr>
          <w:lang w:val="nl-NL"/>
        </w:rPr>
        <w:t>Op basis van een mandaat uit 2002 zijn in hetzelfde jaar de onderhandelingen gestart met landen in Afrika, de Cariben en de Stille Oceaan (ACS-landen) over een Economisch Partnerschapsakkoord (EPA). De landen zijn verdeeld in zeven regio’s, waarvan er vijf in Afrika liggen, één in de Cariben en één in de Stille Oceaan. Op dit moment zijn de onderhandelingen met de gehele regio over een EPA nog altijd bezig. Voor Papoea-Nieuw-Guinea en Fiji is, in afwachting van een volledige EPA, een interim-EPA van kracht.</w:t>
      </w:r>
    </w:p>
    <w:p w:rsidRPr="00310835" w:rsidR="004C4702" w:rsidP="00E05E5D" w:rsidRDefault="004C4702" w14:paraId="1C454F35" w14:textId="77777777">
      <w:pPr>
        <w:pStyle w:val="Plattetekst"/>
        <w:rPr>
          <w:sz w:val="19"/>
          <w:lang w:val="nl-NL"/>
        </w:rPr>
      </w:pPr>
    </w:p>
    <w:p w:rsidRPr="00310835" w:rsidR="004C4702" w:rsidP="00E05E5D" w:rsidRDefault="00B603E8" w14:paraId="1C454F40" w14:textId="77777777">
      <w:pPr>
        <w:pStyle w:val="Lijstalinea"/>
        <w:numPr>
          <w:ilvl w:val="1"/>
          <w:numId w:val="2"/>
        </w:numPr>
        <w:tabs>
          <w:tab w:val="left" w:pos="489"/>
        </w:tabs>
        <w:ind w:left="488" w:hanging="368"/>
        <w:rPr>
          <w:sz w:val="18"/>
        </w:rPr>
      </w:pPr>
      <w:r w:rsidRPr="00310835">
        <w:rPr>
          <w:i/>
          <w:sz w:val="18"/>
          <w:u w:val="single"/>
        </w:rPr>
        <w:t>Zuid-Amerika</w:t>
      </w:r>
      <w:r w:rsidRPr="00310835">
        <w:rPr>
          <w:sz w:val="18"/>
        </w:rPr>
        <w:t>:</w:t>
      </w:r>
    </w:p>
    <w:p w:rsidRPr="00310835" w:rsidR="004C4702" w:rsidP="00E05E5D" w:rsidRDefault="004C4702" w14:paraId="1C454F41" w14:textId="77777777">
      <w:pPr>
        <w:pStyle w:val="Plattetekst"/>
        <w:rPr>
          <w:sz w:val="13"/>
        </w:rPr>
      </w:pPr>
    </w:p>
    <w:p w:rsidRPr="00310835" w:rsidR="004C4702" w:rsidP="00E05E5D" w:rsidRDefault="00B603E8" w14:paraId="1C454F42" w14:textId="55AF7815">
      <w:pPr>
        <w:pStyle w:val="Plattetekst"/>
        <w:ind w:left="120"/>
      </w:pPr>
      <w:r w:rsidRPr="00310835">
        <w:rPr>
          <w:u w:val="single"/>
        </w:rPr>
        <w:t xml:space="preserve">Chili (modernisering </w:t>
      </w:r>
      <w:r w:rsidRPr="00310835" w:rsidR="00EE2E35">
        <w:rPr>
          <w:u w:val="single"/>
        </w:rPr>
        <w:t>a</w:t>
      </w:r>
      <w:r w:rsidRPr="00310835">
        <w:rPr>
          <w:u w:val="single"/>
        </w:rPr>
        <w:t>ssociatieakkoord)</w:t>
      </w:r>
      <w:r w:rsidRPr="00310835">
        <w:t>:</w:t>
      </w:r>
    </w:p>
    <w:p w:rsidRPr="00310835" w:rsidR="004C4702" w:rsidP="00E05E5D" w:rsidRDefault="00B603E8" w14:paraId="1C454F43" w14:textId="2CA3C09C">
      <w:pPr>
        <w:pStyle w:val="Plattetekst"/>
        <w:ind w:left="120" w:right="142"/>
        <w:rPr>
          <w:lang w:val="nl-NL"/>
        </w:rPr>
      </w:pPr>
      <w:r w:rsidRPr="00310835">
        <w:rPr>
          <w:lang w:val="nl-NL"/>
        </w:rPr>
        <w:t>Het associatieakkoord tussen de EU en Chili kwam in 2002 tot stand en is in 2005 in werking getreden. De EU en Chili besloten in 2013 de mogelijkheden te verkennen om het handelsgedeelte van het bestaande associatieakkoord te moderniseren. Om de toegevoegde waarde, de omvang en de ambitie te verkennen werd in 2014 een gezamenlijke werkgroep opgericht. De Europese Commissie heeft in 20</w:t>
      </w:r>
      <w:r w:rsidRPr="00310835" w:rsidR="00AF08EF">
        <w:rPr>
          <w:lang w:val="nl-NL"/>
        </w:rPr>
        <w:t xml:space="preserve">16 stakeholders </w:t>
      </w:r>
      <w:r w:rsidRPr="00310835" w:rsidR="00CA0B25">
        <w:rPr>
          <w:lang w:val="nl-NL"/>
        </w:rPr>
        <w:t xml:space="preserve">consultatie </w:t>
      </w:r>
      <w:r w:rsidRPr="00310835" w:rsidR="00AF08EF">
        <w:rPr>
          <w:lang w:val="nl-NL"/>
        </w:rPr>
        <w:t>en</w:t>
      </w:r>
      <w:r w:rsidRPr="00310835" w:rsidR="00DB3C1C">
        <w:rPr>
          <w:lang w:val="nl-NL"/>
        </w:rPr>
        <w:t xml:space="preserve"> </w:t>
      </w:r>
      <w:r w:rsidRPr="00310835">
        <w:rPr>
          <w:lang w:val="nl-NL"/>
        </w:rPr>
        <w:t xml:space="preserve">het </w:t>
      </w:r>
      <w:r w:rsidRPr="00310835">
        <w:rPr>
          <w:i/>
          <w:lang w:val="nl-NL"/>
        </w:rPr>
        <w:t xml:space="preserve">scoping paper </w:t>
      </w:r>
      <w:r w:rsidRPr="00310835">
        <w:rPr>
          <w:lang w:val="nl-NL"/>
        </w:rPr>
        <w:t xml:space="preserve">afgerond. </w:t>
      </w:r>
      <w:r w:rsidRPr="00310835" w:rsidR="0044490E">
        <w:rPr>
          <w:lang w:val="nl-NL"/>
        </w:rPr>
        <w:t>O</w:t>
      </w:r>
      <w:r w:rsidRPr="00310835" w:rsidR="00F356D5">
        <w:rPr>
          <w:lang w:val="nl-NL"/>
        </w:rPr>
        <w:t xml:space="preserve">p 13 november </w:t>
      </w:r>
      <w:r w:rsidRPr="00310835" w:rsidR="00E7139D">
        <w:rPr>
          <w:lang w:val="nl-NL"/>
        </w:rPr>
        <w:t xml:space="preserve">2017 </w:t>
      </w:r>
      <w:r w:rsidRPr="00310835" w:rsidR="00F356D5">
        <w:rPr>
          <w:lang w:val="nl-NL"/>
        </w:rPr>
        <w:t>werd het onderhandelingsmandaat door Raad goedgekeurd</w:t>
      </w:r>
      <w:r w:rsidRPr="00310835" w:rsidR="00EC7981">
        <w:rPr>
          <w:lang w:val="nl-NL"/>
        </w:rPr>
        <w:t>. Het mandaat is openbaar</w:t>
      </w:r>
      <w:r w:rsidRPr="00310835" w:rsidR="00F356D5">
        <w:rPr>
          <w:lang w:val="nl-NL"/>
        </w:rPr>
        <w:t>.</w:t>
      </w:r>
      <w:r w:rsidRPr="00310835" w:rsidR="00D6383E">
        <w:rPr>
          <w:rStyle w:val="Voetnootmarkering"/>
          <w:lang w:val="nl-NL"/>
        </w:rPr>
        <w:footnoteReference w:id="16"/>
      </w:r>
      <w:r w:rsidRPr="00310835" w:rsidR="00812352">
        <w:rPr>
          <w:lang w:val="nl-NL"/>
        </w:rPr>
        <w:t xml:space="preserve"> De eerste onderhandelingen hebben plaatsgevonden op 16 november 2017 en 15-19 januari 2018. De volgende onderhandeling</w:t>
      </w:r>
      <w:r w:rsidRPr="00310835" w:rsidR="003B3A30">
        <w:rPr>
          <w:lang w:val="nl-NL"/>
        </w:rPr>
        <w:t>s</w:t>
      </w:r>
      <w:r w:rsidRPr="00310835" w:rsidR="00812352">
        <w:rPr>
          <w:lang w:val="nl-NL"/>
        </w:rPr>
        <w:t>ronde zal in de week van 28 mei 2018 plaatsvinden.</w:t>
      </w:r>
      <w:r w:rsidRPr="00310835" w:rsidR="00812352">
        <w:rPr>
          <w:rStyle w:val="Voetnootmarkering"/>
          <w:lang w:val="nl-NL"/>
        </w:rPr>
        <w:footnoteReference w:id="17"/>
      </w:r>
    </w:p>
    <w:p w:rsidRPr="00310835" w:rsidR="004C4702" w:rsidP="00E05E5D" w:rsidRDefault="004C4702" w14:paraId="1C454F44" w14:textId="77777777">
      <w:pPr>
        <w:pStyle w:val="Plattetekst"/>
        <w:rPr>
          <w:sz w:val="19"/>
          <w:lang w:val="nl-NL"/>
        </w:rPr>
      </w:pPr>
    </w:p>
    <w:p w:rsidRPr="00310835" w:rsidR="004C4702" w:rsidP="00E05E5D" w:rsidRDefault="00B603E8" w14:paraId="1C454F45" w14:textId="77777777">
      <w:pPr>
        <w:ind w:left="120"/>
        <w:rPr>
          <w:sz w:val="18"/>
          <w:lang w:val="es-ES"/>
        </w:rPr>
      </w:pPr>
      <w:r w:rsidRPr="00310835">
        <w:rPr>
          <w:sz w:val="18"/>
          <w:u w:val="single"/>
          <w:lang w:val="es-ES"/>
        </w:rPr>
        <w:t>Colombia, Peru en Ecuador (</w:t>
      </w:r>
      <w:r w:rsidRPr="00310835">
        <w:rPr>
          <w:i/>
          <w:sz w:val="18"/>
          <w:u w:val="single"/>
          <w:lang w:val="es-ES"/>
        </w:rPr>
        <w:t>EU-Colombia</w:t>
      </w:r>
      <w:r w:rsidRPr="00310835">
        <w:rPr>
          <w:sz w:val="18"/>
          <w:u w:val="single"/>
          <w:lang w:val="es-ES"/>
        </w:rPr>
        <w:t>/</w:t>
      </w:r>
      <w:r w:rsidRPr="00310835">
        <w:rPr>
          <w:i/>
          <w:sz w:val="18"/>
          <w:u w:val="single"/>
          <w:lang w:val="es-ES"/>
        </w:rPr>
        <w:t>Peru/Ecuador Free Trade Agreement</w:t>
      </w:r>
      <w:r w:rsidRPr="00310835">
        <w:rPr>
          <w:sz w:val="18"/>
          <w:lang w:val="es-ES"/>
        </w:rPr>
        <w:t>):</w:t>
      </w:r>
    </w:p>
    <w:p w:rsidRPr="00310835" w:rsidR="0060155D" w:rsidP="00E05E5D" w:rsidRDefault="00B603E8" w14:paraId="0053F134" w14:textId="77777777">
      <w:pPr>
        <w:pStyle w:val="Plattetekst"/>
        <w:ind w:left="119" w:right="112"/>
        <w:rPr>
          <w:lang w:val="nl-NL"/>
        </w:rPr>
      </w:pPr>
      <w:r w:rsidRPr="00310835">
        <w:rPr>
          <w:lang w:val="nl-NL"/>
        </w:rPr>
        <w:t xml:space="preserve">De onderhandelingen tussen de EU en de Andesgemeenschap (Bolivia, Colombia, Ecuador en Peru) over een associatieovereenkomst zijn in juni 2007 van start gegaan op basis van een mandaat uit april 2007. Deze onderhandelingen zijn in juni 2008 stilgelegd. In januari 2009 werden, op basis van een nieuw mandaat, onderhandelingen over een meerpartijenovereenkomst hervat met </w:t>
      </w:r>
      <w:r w:rsidRPr="00310835">
        <w:rPr>
          <w:lang w:val="nl-NL"/>
        </w:rPr>
        <w:lastRenderedPageBreak/>
        <w:t>Colombia, Ecuador en Peru. Na vier rondes schorste Ecuador zijn deelname aan de besprekingen. De onderhandelingen werden met Colombia en Peru in mei 2010 succesvol afgesloten. Voorlopige toepassing geldt met Peru per maart 2013 en met Colombia per augustus 2013.</w:t>
      </w:r>
      <w:r w:rsidRPr="00310835" w:rsidR="006B21B5">
        <w:rPr>
          <w:lang w:val="nl-NL"/>
        </w:rPr>
        <w:t xml:space="preserve"> </w:t>
      </w:r>
    </w:p>
    <w:p w:rsidRPr="00310835" w:rsidR="0060155D" w:rsidP="00E05E5D" w:rsidRDefault="0060155D" w14:paraId="59B5243D" w14:textId="77777777">
      <w:pPr>
        <w:pStyle w:val="Plattetekst"/>
        <w:ind w:left="119" w:right="112"/>
        <w:rPr>
          <w:lang w:val="nl-NL"/>
        </w:rPr>
      </w:pPr>
    </w:p>
    <w:p w:rsidRPr="00310835" w:rsidR="004C4702" w:rsidP="00E05E5D" w:rsidRDefault="006B21B5" w14:paraId="1C454F46" w14:textId="5BFB7B46">
      <w:pPr>
        <w:pStyle w:val="Plattetekst"/>
        <w:ind w:left="119" w:right="112"/>
        <w:rPr>
          <w:lang w:val="nl-NL"/>
        </w:rPr>
      </w:pPr>
      <w:r w:rsidRPr="00310835">
        <w:rPr>
          <w:lang w:val="nl-NL"/>
        </w:rPr>
        <w:t>De Europese Commissie publiceert jaarlijks een rapport over de implementatie van het handelsakkoord.</w:t>
      </w:r>
      <w:r w:rsidRPr="00310835">
        <w:rPr>
          <w:rStyle w:val="Voetnootmarkering"/>
          <w:lang w:val="nl-NL"/>
        </w:rPr>
        <w:footnoteReference w:id="18"/>
      </w:r>
      <w:r w:rsidRPr="00310835">
        <w:rPr>
          <w:lang w:val="nl-NL"/>
        </w:rPr>
        <w:t xml:space="preserve"> </w:t>
      </w:r>
      <w:r w:rsidRPr="00310835" w:rsidR="00B603E8">
        <w:rPr>
          <w:lang w:val="nl-NL"/>
        </w:rPr>
        <w:t>De EU heeft in 2014, op verzoek van Ecuador, onderhandelingen met het land gevoerd over aansluiting bij het EU- Colombia/Peru handelsakkoord. Deze onderhandelingen zijn in 2014 afgerond. Per 1 januari 2017 wordt dit akkoord met Ecuador voorlopig toegepast.</w:t>
      </w:r>
      <w:r w:rsidRPr="00310835">
        <w:rPr>
          <w:lang w:val="nl-NL"/>
        </w:rPr>
        <w:t xml:space="preserve"> </w:t>
      </w:r>
    </w:p>
    <w:p w:rsidRPr="00310835" w:rsidR="004C4702" w:rsidP="00E05E5D" w:rsidRDefault="004C4702" w14:paraId="1C454F47" w14:textId="77777777">
      <w:pPr>
        <w:pStyle w:val="Plattetekst"/>
        <w:rPr>
          <w:sz w:val="19"/>
          <w:lang w:val="nl-NL"/>
        </w:rPr>
      </w:pPr>
    </w:p>
    <w:p w:rsidRPr="00310835" w:rsidR="004C4702" w:rsidP="00E05E5D" w:rsidRDefault="00B603E8" w14:paraId="1C454F48" w14:textId="057E191D">
      <w:pPr>
        <w:ind w:left="119"/>
        <w:rPr>
          <w:sz w:val="18"/>
        </w:rPr>
      </w:pPr>
      <w:r w:rsidRPr="00310835">
        <w:rPr>
          <w:sz w:val="18"/>
          <w:u w:val="single"/>
        </w:rPr>
        <w:t>Mercosur (</w:t>
      </w:r>
      <w:r w:rsidRPr="00310835">
        <w:rPr>
          <w:i/>
          <w:sz w:val="18"/>
          <w:u w:val="single"/>
        </w:rPr>
        <w:t>Comprehensive Free Trade Agreement als onderdeel van Association Agreement</w:t>
      </w:r>
      <w:r w:rsidRPr="00310835">
        <w:rPr>
          <w:sz w:val="18"/>
          <w:u w:val="single"/>
        </w:rPr>
        <w:t>)</w:t>
      </w:r>
      <w:r w:rsidRPr="00310835">
        <w:rPr>
          <w:sz w:val="18"/>
        </w:rPr>
        <w:t>:</w:t>
      </w:r>
    </w:p>
    <w:p w:rsidRPr="00310835" w:rsidR="003B3A30" w:rsidP="003B3A30" w:rsidRDefault="00B603E8" w14:paraId="34D1383D" w14:textId="3B91369A">
      <w:pPr>
        <w:pStyle w:val="Plattetekst"/>
        <w:ind w:left="119" w:right="125"/>
        <w:rPr>
          <w:lang w:val="nl-NL"/>
        </w:rPr>
      </w:pPr>
      <w:r w:rsidRPr="00310835">
        <w:rPr>
          <w:lang w:val="nl-NL"/>
        </w:rPr>
        <w:t>In 2000 zijn de EU en Mercosur gestart met onderhandelingen over een associatieakkoord met als onderdeel daarvan een handelsakkoord.</w:t>
      </w:r>
      <w:r w:rsidRPr="00310835" w:rsidR="00712B76">
        <w:rPr>
          <w:rStyle w:val="Voetnootmarkering"/>
          <w:lang w:val="nl-NL"/>
        </w:rPr>
        <w:footnoteReference w:id="19"/>
      </w:r>
      <w:r w:rsidRPr="00310835">
        <w:rPr>
          <w:lang w:val="nl-NL"/>
        </w:rPr>
        <w:t xml:space="preserve"> In 2004 werden de onderhandelingen stilgelegd en in 2010 zijn deze hervat. </w:t>
      </w:r>
      <w:r w:rsidRPr="00310835" w:rsidR="006D6259">
        <w:rPr>
          <w:lang w:val="nl-NL"/>
        </w:rPr>
        <w:t>Tussen 2012 en 2015 lagen de onderhandelingen wederom stil. O</w:t>
      </w:r>
      <w:r w:rsidRPr="00310835">
        <w:rPr>
          <w:lang w:val="nl-NL"/>
        </w:rPr>
        <w:t>p 11 mei 2016 hebben de EU en Mercosur markttoegangsaanbiedingen uitgewisseld.</w:t>
      </w:r>
      <w:r w:rsidRPr="00310835" w:rsidR="003B3A30">
        <w:rPr>
          <w:lang w:val="nl-NL"/>
        </w:rPr>
        <w:t xml:space="preserve"> Van 21 februari tot </w:t>
      </w:r>
      <w:r w:rsidRPr="00310835" w:rsidR="00FB3CE1">
        <w:rPr>
          <w:lang w:val="nl-NL"/>
        </w:rPr>
        <w:t>2 maart 2018</w:t>
      </w:r>
      <w:r w:rsidRPr="00310835" w:rsidR="003B3A30">
        <w:rPr>
          <w:lang w:val="nl-NL"/>
        </w:rPr>
        <w:t xml:space="preserve"> en van 24 tot 27 april </w:t>
      </w:r>
      <w:r w:rsidRPr="00310835" w:rsidR="00B96D60">
        <w:rPr>
          <w:lang w:val="nl-NL"/>
        </w:rPr>
        <w:t xml:space="preserve">2018 </w:t>
      </w:r>
      <w:r w:rsidRPr="00310835" w:rsidR="003B3A30">
        <w:rPr>
          <w:lang w:val="nl-NL"/>
        </w:rPr>
        <w:t>hebben onderhandelingsrondes plaatsgevonden. Het is deze rondes niet gelukt tot een akkoord te komen. Openstaande punten zijn oorsprongregels, markttoegang voor zuivel, auto(-onderdelen) en maritieme diensten en bescherming van geografische aanduidingen. Andersom hoopt Mercosur op een betere markttoegang voor rundvlees.</w:t>
      </w:r>
    </w:p>
    <w:p w:rsidRPr="003B3A30" w:rsidR="004C4702" w:rsidP="003B3A30" w:rsidRDefault="00FB3CE1" w14:paraId="1C454F4A" w14:textId="79A403A6">
      <w:pPr>
        <w:pStyle w:val="Plattetekst"/>
        <w:ind w:left="119" w:right="125"/>
        <w:rPr>
          <w:lang w:val="nl-NL"/>
        </w:rPr>
      </w:pPr>
      <w:r w:rsidRPr="00310835">
        <w:rPr>
          <w:lang w:val="nl-NL"/>
        </w:rPr>
        <w:t xml:space="preserve">De datum van de volgende onderhandelingsronde is nog niet bekend. De </w:t>
      </w:r>
      <w:r w:rsidRPr="00310835" w:rsidR="00712B76">
        <w:rPr>
          <w:lang w:val="nl-NL"/>
        </w:rPr>
        <w:t>EU-tekstvoorstellen en verslagen van de onderhandelingsrondes staan online.</w:t>
      </w:r>
      <w:r w:rsidRPr="00310835" w:rsidR="00712B76">
        <w:rPr>
          <w:rStyle w:val="Voetnootmarkering"/>
          <w:lang w:val="nl-NL"/>
        </w:rPr>
        <w:footnoteReference w:id="20"/>
      </w:r>
      <w:r w:rsidRPr="00FB3CE1" w:rsidR="006D6259">
        <w:rPr>
          <w:lang w:val="nl-NL"/>
        </w:rPr>
        <w:t xml:space="preserve"> </w:t>
      </w:r>
    </w:p>
    <w:sectPr w:rsidRPr="003B3A30" w:rsidR="004C4702" w:rsidSect="00B01380">
      <w:footerReference w:type="default" r:id="rId12"/>
      <w:pgSz w:w="12240" w:h="15840"/>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6316" w14:textId="77777777" w:rsidR="003162E9" w:rsidRDefault="003162E9">
      <w:r>
        <w:separator/>
      </w:r>
    </w:p>
  </w:endnote>
  <w:endnote w:type="continuationSeparator" w:id="0">
    <w:p w14:paraId="194BCB0D" w14:textId="77777777" w:rsidR="003162E9" w:rsidRDefault="003162E9">
      <w:r>
        <w:continuationSeparator/>
      </w:r>
    </w:p>
  </w:endnote>
  <w:endnote w:type="continuationNotice" w:id="1">
    <w:p w14:paraId="62D3A28B" w14:textId="77777777" w:rsidR="003162E9" w:rsidRDefault="00316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SymbolOOEnc">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84513"/>
      <w:docPartObj>
        <w:docPartGallery w:val="Page Numbers (Bottom of Page)"/>
        <w:docPartUnique/>
      </w:docPartObj>
    </w:sdtPr>
    <w:sdtEndPr>
      <w:rPr>
        <w:sz w:val="18"/>
        <w:szCs w:val="18"/>
      </w:rPr>
    </w:sdtEndPr>
    <w:sdtContent>
      <w:p w14:paraId="01FBB1B0" w14:textId="1BC83EE8" w:rsidR="003162E9" w:rsidRPr="00F16704" w:rsidRDefault="003162E9" w:rsidP="00B01380">
        <w:pPr>
          <w:pStyle w:val="Voettekst"/>
          <w:spacing w:after="600"/>
          <w:jc w:val="right"/>
          <w:rPr>
            <w:sz w:val="18"/>
            <w:szCs w:val="18"/>
          </w:rPr>
        </w:pPr>
        <w:r w:rsidRPr="001C5B79">
          <w:rPr>
            <w:sz w:val="18"/>
            <w:szCs w:val="18"/>
          </w:rPr>
          <w:fldChar w:fldCharType="begin"/>
        </w:r>
        <w:r w:rsidRPr="00F16704">
          <w:rPr>
            <w:sz w:val="18"/>
            <w:szCs w:val="18"/>
          </w:rPr>
          <w:instrText>PAGE   \* MERGEFORMAT</w:instrText>
        </w:r>
        <w:r w:rsidRPr="001C5B79">
          <w:rPr>
            <w:sz w:val="18"/>
            <w:szCs w:val="18"/>
          </w:rPr>
          <w:fldChar w:fldCharType="separate"/>
        </w:r>
        <w:r w:rsidR="00EE5B1C" w:rsidRPr="00EE5B1C">
          <w:rPr>
            <w:noProof/>
            <w:sz w:val="18"/>
            <w:szCs w:val="18"/>
            <w:lang w:val="nl-NL"/>
          </w:rPr>
          <w:t>2</w:t>
        </w:r>
        <w:r w:rsidRPr="001C5B79">
          <w:rPr>
            <w:sz w:val="18"/>
            <w:szCs w:val="18"/>
          </w:rPr>
          <w:fldChar w:fldCharType="end"/>
        </w:r>
      </w:p>
    </w:sdtContent>
  </w:sdt>
  <w:p w14:paraId="1C454F66" w14:textId="77777777" w:rsidR="003162E9" w:rsidRDefault="003162E9">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52161" w14:textId="77777777" w:rsidR="003162E9" w:rsidRDefault="003162E9">
      <w:r>
        <w:separator/>
      </w:r>
    </w:p>
  </w:footnote>
  <w:footnote w:type="continuationSeparator" w:id="0">
    <w:p w14:paraId="19436D94" w14:textId="77777777" w:rsidR="003162E9" w:rsidRDefault="003162E9">
      <w:r>
        <w:continuationSeparator/>
      </w:r>
    </w:p>
  </w:footnote>
  <w:footnote w:type="continuationNotice" w:id="1">
    <w:p w14:paraId="15B0E144" w14:textId="77777777" w:rsidR="003162E9" w:rsidRDefault="003162E9"/>
  </w:footnote>
  <w:footnote w:id="2">
    <w:p w14:paraId="57B6C1D6" w14:textId="77C3653C" w:rsidR="003162E9" w:rsidRPr="00B50854" w:rsidRDefault="003162E9">
      <w:pPr>
        <w:pStyle w:val="Voetnoottekst"/>
        <w:rPr>
          <w:sz w:val="14"/>
          <w:szCs w:val="14"/>
        </w:rPr>
      </w:pPr>
      <w:r w:rsidRPr="00B50854">
        <w:rPr>
          <w:rStyle w:val="Voetnootmarkering"/>
          <w:sz w:val="14"/>
          <w:szCs w:val="14"/>
        </w:rPr>
        <w:footnoteRef/>
      </w:r>
      <w:r w:rsidRPr="00B50854">
        <w:rPr>
          <w:sz w:val="14"/>
          <w:szCs w:val="14"/>
        </w:rPr>
        <w:t xml:space="preserve"> </w:t>
      </w:r>
      <w:hyperlink r:id="rId1" w:history="1">
        <w:r w:rsidR="00374D49" w:rsidRPr="00DD5175">
          <w:rPr>
            <w:rStyle w:val="Hyperlink"/>
            <w:sz w:val="14"/>
            <w:szCs w:val="14"/>
          </w:rPr>
          <w:t>http://data.consilium.europa.eu/doc/document/ST-6891-2013-ADD-1-DCL-1/en/pdf</w:t>
        </w:r>
      </w:hyperlink>
      <w:r w:rsidR="00374D49">
        <w:rPr>
          <w:sz w:val="14"/>
          <w:szCs w:val="14"/>
        </w:rPr>
        <w:t xml:space="preserve"> </w:t>
      </w:r>
    </w:p>
  </w:footnote>
  <w:footnote w:id="3">
    <w:p w14:paraId="21BC851A" w14:textId="1E96C93D" w:rsidR="003162E9" w:rsidRPr="00B50854" w:rsidRDefault="003162E9">
      <w:pPr>
        <w:pStyle w:val="Voetnoottekst"/>
        <w:rPr>
          <w:sz w:val="14"/>
          <w:szCs w:val="14"/>
        </w:rPr>
      </w:pPr>
      <w:r w:rsidRPr="00B50854">
        <w:rPr>
          <w:rStyle w:val="Voetnootmarkering"/>
          <w:sz w:val="14"/>
          <w:szCs w:val="14"/>
        </w:rPr>
        <w:footnoteRef/>
      </w:r>
      <w:r w:rsidRPr="00B50854">
        <w:rPr>
          <w:sz w:val="14"/>
          <w:szCs w:val="14"/>
        </w:rPr>
        <w:t xml:space="preserve"> </w:t>
      </w:r>
      <w:hyperlink r:id="rId2" w:history="1">
        <w:r w:rsidR="00374D49" w:rsidRPr="00DD5175">
          <w:rPr>
            <w:rStyle w:val="Hyperlink"/>
            <w:sz w:val="14"/>
            <w:szCs w:val="14"/>
          </w:rPr>
          <w:t>http://trade.ec.europa.eu/doclib/docs/2016/november/tradoc_155095.pdf</w:t>
        </w:r>
      </w:hyperlink>
      <w:r w:rsidR="00374D49">
        <w:rPr>
          <w:sz w:val="14"/>
          <w:szCs w:val="14"/>
        </w:rPr>
        <w:t xml:space="preserve"> </w:t>
      </w:r>
    </w:p>
  </w:footnote>
  <w:footnote w:id="4">
    <w:p w14:paraId="5BEE5A46" w14:textId="3A51388D" w:rsidR="003162E9" w:rsidRPr="00263383" w:rsidRDefault="003162E9" w:rsidP="00263383">
      <w:pPr>
        <w:pStyle w:val="Voetnoottekst"/>
        <w:rPr>
          <w:sz w:val="14"/>
          <w:szCs w:val="14"/>
        </w:rPr>
      </w:pPr>
      <w:r w:rsidRPr="00263383">
        <w:rPr>
          <w:rStyle w:val="Voetnootmarkering"/>
          <w:sz w:val="14"/>
          <w:szCs w:val="14"/>
        </w:rPr>
        <w:footnoteRef/>
      </w:r>
      <w:r w:rsidRPr="002205CA">
        <w:rPr>
          <w:sz w:val="14"/>
          <w:szCs w:val="14"/>
        </w:rPr>
        <w:t xml:space="preserve"> </w:t>
      </w:r>
      <w:hyperlink r:id="rId3" w:history="1">
        <w:r w:rsidRPr="00D74343">
          <w:rPr>
            <w:rStyle w:val="Hyperlink"/>
            <w:sz w:val="14"/>
            <w:szCs w:val="14"/>
          </w:rPr>
          <w:t>http://trade.ec.europa.eu/doclib/press/index.cfm?id=1490</w:t>
        </w:r>
      </w:hyperlink>
      <w:r>
        <w:rPr>
          <w:sz w:val="14"/>
          <w:szCs w:val="14"/>
        </w:rPr>
        <w:t xml:space="preserve"> </w:t>
      </w:r>
    </w:p>
  </w:footnote>
  <w:footnote w:id="5">
    <w:p w14:paraId="394A5077" w14:textId="002B1646" w:rsidR="003162E9" w:rsidRPr="00263383" w:rsidRDefault="003162E9" w:rsidP="00263383">
      <w:pPr>
        <w:pStyle w:val="Voetnoottekst"/>
        <w:rPr>
          <w:sz w:val="14"/>
          <w:szCs w:val="14"/>
        </w:rPr>
      </w:pPr>
      <w:r w:rsidRPr="00263383">
        <w:rPr>
          <w:rStyle w:val="Voetnootmarkering"/>
          <w:sz w:val="14"/>
          <w:szCs w:val="14"/>
        </w:rPr>
        <w:footnoteRef/>
      </w:r>
      <w:r w:rsidRPr="00263383">
        <w:rPr>
          <w:sz w:val="14"/>
          <w:szCs w:val="14"/>
        </w:rPr>
        <w:t xml:space="preserve"> </w:t>
      </w:r>
      <w:hyperlink r:id="rId4" w:history="1">
        <w:r w:rsidRPr="00D74343">
          <w:rPr>
            <w:rStyle w:val="Hyperlink"/>
            <w:sz w:val="14"/>
            <w:szCs w:val="14"/>
          </w:rPr>
          <w:t>http://trade.ec.europa.eu/doclib/docs/2017/april/tradoc_155469.pdf</w:t>
        </w:r>
      </w:hyperlink>
      <w:r>
        <w:rPr>
          <w:sz w:val="14"/>
          <w:szCs w:val="14"/>
        </w:rPr>
        <w:t xml:space="preserve"> </w:t>
      </w:r>
      <w:r w:rsidRPr="00263383">
        <w:rPr>
          <w:sz w:val="14"/>
          <w:szCs w:val="14"/>
        </w:rPr>
        <w:t xml:space="preserve"> </w:t>
      </w:r>
    </w:p>
  </w:footnote>
  <w:footnote w:id="6">
    <w:p w14:paraId="0E303D56" w14:textId="1CAD4CC2" w:rsidR="003162E9" w:rsidRPr="00986E7D" w:rsidRDefault="003162E9">
      <w:pPr>
        <w:pStyle w:val="Voetnoottekst"/>
        <w:rPr>
          <w:sz w:val="14"/>
          <w:szCs w:val="14"/>
          <w:lang w:val="nl-NL"/>
        </w:rPr>
      </w:pPr>
      <w:r w:rsidRPr="00986E7D">
        <w:rPr>
          <w:rStyle w:val="Voetnootmarkering"/>
          <w:sz w:val="14"/>
          <w:szCs w:val="14"/>
        </w:rPr>
        <w:footnoteRef/>
      </w:r>
      <w:r w:rsidRPr="00986E7D">
        <w:rPr>
          <w:sz w:val="14"/>
          <w:szCs w:val="14"/>
          <w:lang w:val="nl-NL"/>
        </w:rPr>
        <w:t xml:space="preserve"> Het verslag van deze ronde is beschikbaar via: </w:t>
      </w:r>
      <w:hyperlink r:id="rId5" w:history="1">
        <w:r w:rsidR="00374D49" w:rsidRPr="00DD5175">
          <w:rPr>
            <w:rStyle w:val="Hyperlink"/>
            <w:sz w:val="14"/>
            <w:szCs w:val="14"/>
            <w:lang w:val="nl-NL"/>
          </w:rPr>
          <w:t>http://trade.ec.europa.eu/doclib/docs/2016/april/tradoc_154466.pdf</w:t>
        </w:r>
      </w:hyperlink>
      <w:r w:rsidR="00374D49">
        <w:rPr>
          <w:sz w:val="14"/>
          <w:szCs w:val="14"/>
          <w:lang w:val="nl-NL"/>
        </w:rPr>
        <w:t xml:space="preserve"> </w:t>
      </w:r>
    </w:p>
  </w:footnote>
  <w:footnote w:id="7">
    <w:p w14:paraId="329D61D3" w14:textId="1AABCE74" w:rsidR="003162E9" w:rsidRPr="00C24E77" w:rsidRDefault="003162E9">
      <w:pPr>
        <w:pStyle w:val="Voetnoottekst"/>
        <w:rPr>
          <w:sz w:val="14"/>
          <w:szCs w:val="14"/>
          <w:lang w:val="nl-NL"/>
        </w:rPr>
      </w:pPr>
      <w:r w:rsidRPr="002205CA">
        <w:rPr>
          <w:rStyle w:val="Voetnootmarkering"/>
          <w:sz w:val="14"/>
          <w:szCs w:val="14"/>
        </w:rPr>
        <w:footnoteRef/>
      </w:r>
      <w:r w:rsidRPr="00C24E77">
        <w:rPr>
          <w:sz w:val="14"/>
          <w:szCs w:val="14"/>
          <w:lang w:val="nl-NL"/>
        </w:rPr>
        <w:t xml:space="preserve"> De volgende landen zijn lid van ASEAM: Brunei Darussalam, Cambodja, Indonesië, Laos, Maleisië, Myanmar/Birma, de Filipijnen, Singapore, Thailand en Vietnam</w:t>
      </w:r>
    </w:p>
  </w:footnote>
  <w:footnote w:id="8">
    <w:p w14:paraId="5FF78F5F" w14:textId="599902E6" w:rsidR="003162E9" w:rsidRPr="00C064AC" w:rsidRDefault="003162E9" w:rsidP="00263383">
      <w:pPr>
        <w:pStyle w:val="Voetnoottekst"/>
        <w:rPr>
          <w:sz w:val="14"/>
          <w:szCs w:val="14"/>
          <w:lang w:val="nl-NL"/>
        </w:rPr>
      </w:pPr>
      <w:r w:rsidRPr="00263383">
        <w:rPr>
          <w:rStyle w:val="Voetnootmarkering"/>
          <w:sz w:val="14"/>
          <w:szCs w:val="14"/>
        </w:rPr>
        <w:footnoteRef/>
      </w:r>
      <w:r w:rsidRPr="00C24E77">
        <w:rPr>
          <w:sz w:val="14"/>
          <w:szCs w:val="14"/>
          <w:lang w:val="nl-NL"/>
        </w:rPr>
        <w:t xml:space="preserve"> </w:t>
      </w:r>
      <w:hyperlink r:id="rId6" w:history="1">
        <w:r w:rsidR="00374D49" w:rsidRPr="00DD5175">
          <w:rPr>
            <w:rStyle w:val="Hyperlink"/>
            <w:sz w:val="14"/>
            <w:szCs w:val="14"/>
            <w:lang w:val="nl-NL"/>
          </w:rPr>
          <w:t>http://trade.ec.europa.eu/doclib/docs/2017/december/tradoc_156520.pdf</w:t>
        </w:r>
      </w:hyperlink>
      <w:r w:rsidR="00374D49">
        <w:rPr>
          <w:sz w:val="14"/>
          <w:szCs w:val="14"/>
          <w:lang w:val="nl-NL"/>
        </w:rPr>
        <w:t xml:space="preserve"> </w:t>
      </w:r>
    </w:p>
  </w:footnote>
  <w:footnote w:id="9">
    <w:p w14:paraId="6F1F6B44" w14:textId="73C5DEA6" w:rsidR="003162E9" w:rsidRPr="00C24E77" w:rsidRDefault="003162E9" w:rsidP="00263383">
      <w:pPr>
        <w:pStyle w:val="Voetnoottekst"/>
        <w:rPr>
          <w:sz w:val="14"/>
          <w:szCs w:val="14"/>
          <w:lang w:val="nl-NL"/>
        </w:rPr>
      </w:pPr>
      <w:r w:rsidRPr="00263383">
        <w:rPr>
          <w:rStyle w:val="Voetnootmarkering"/>
          <w:sz w:val="14"/>
          <w:szCs w:val="14"/>
        </w:rPr>
        <w:footnoteRef/>
      </w:r>
      <w:r w:rsidRPr="00C24E77">
        <w:rPr>
          <w:sz w:val="14"/>
          <w:szCs w:val="14"/>
          <w:lang w:val="nl-NL"/>
        </w:rPr>
        <w:t xml:space="preserve"> </w:t>
      </w:r>
      <w:hyperlink r:id="rId7" w:history="1">
        <w:r w:rsidRPr="00C24E77">
          <w:rPr>
            <w:rStyle w:val="Hyperlink"/>
            <w:sz w:val="14"/>
            <w:szCs w:val="14"/>
            <w:lang w:val="nl-NL"/>
          </w:rPr>
          <w:t>http://trade.ec.europa.eu/doclib/docs/2017/march/tradoc_155435.pdf</w:t>
        </w:r>
      </w:hyperlink>
      <w:r w:rsidRPr="00C24E77">
        <w:rPr>
          <w:sz w:val="14"/>
          <w:szCs w:val="14"/>
          <w:lang w:val="nl-NL"/>
        </w:rPr>
        <w:t xml:space="preserve"> </w:t>
      </w:r>
    </w:p>
  </w:footnote>
  <w:footnote w:id="10">
    <w:p w14:paraId="789EA357" w14:textId="72155DFC" w:rsidR="009612D2" w:rsidRPr="00374D49" w:rsidRDefault="009612D2">
      <w:pPr>
        <w:pStyle w:val="Voetnoottekst"/>
        <w:rPr>
          <w:sz w:val="14"/>
          <w:szCs w:val="14"/>
          <w:lang w:val="nl-NL"/>
        </w:rPr>
      </w:pPr>
      <w:r w:rsidRPr="00374D49">
        <w:rPr>
          <w:rStyle w:val="Voetnootmarkering"/>
          <w:sz w:val="14"/>
          <w:szCs w:val="14"/>
        </w:rPr>
        <w:footnoteRef/>
      </w:r>
      <w:r w:rsidRPr="00374D49">
        <w:rPr>
          <w:sz w:val="14"/>
          <w:szCs w:val="14"/>
          <w:lang w:val="nl-NL"/>
        </w:rPr>
        <w:t xml:space="preserve"> </w:t>
      </w:r>
      <w:r w:rsidR="00B64B6B">
        <w:rPr>
          <w:sz w:val="14"/>
          <w:szCs w:val="14"/>
          <w:lang w:val="nl-NL"/>
        </w:rPr>
        <w:t xml:space="preserve"> </w:t>
      </w:r>
      <w:hyperlink r:id="rId8" w:history="1">
        <w:r w:rsidR="00374D49" w:rsidRPr="00DD5175">
          <w:rPr>
            <w:rStyle w:val="Hyperlink"/>
            <w:sz w:val="14"/>
            <w:szCs w:val="14"/>
            <w:lang w:val="nl-NL"/>
          </w:rPr>
          <w:t>http://trade.ec.europa.eu/doclib/docs/2018/march/tradoc_156642.pdf</w:t>
        </w:r>
      </w:hyperlink>
      <w:r w:rsidR="00374D49">
        <w:rPr>
          <w:sz w:val="14"/>
          <w:szCs w:val="14"/>
          <w:lang w:val="nl-NL"/>
        </w:rPr>
        <w:t xml:space="preserve"> </w:t>
      </w:r>
      <w:r w:rsidRPr="00374D49">
        <w:rPr>
          <w:sz w:val="14"/>
          <w:szCs w:val="14"/>
          <w:lang w:val="nl-NL"/>
        </w:rPr>
        <w:t xml:space="preserve"> </w:t>
      </w:r>
    </w:p>
  </w:footnote>
  <w:footnote w:id="11">
    <w:p w14:paraId="52B07CBD" w14:textId="1B74FCDD" w:rsidR="003162E9" w:rsidRPr="00925937" w:rsidRDefault="003162E9">
      <w:pPr>
        <w:pStyle w:val="Voetnoottekst"/>
        <w:rPr>
          <w:sz w:val="14"/>
          <w:szCs w:val="14"/>
          <w:lang w:val="nl-NL"/>
        </w:rPr>
      </w:pPr>
      <w:r w:rsidRPr="00925937">
        <w:rPr>
          <w:rStyle w:val="Voetnootmarkering"/>
          <w:sz w:val="14"/>
          <w:szCs w:val="14"/>
        </w:rPr>
        <w:footnoteRef/>
      </w:r>
      <w:r w:rsidR="00B64B6B" w:rsidRPr="00B64B6B">
        <w:rPr>
          <w:lang w:val="nl-NL"/>
        </w:rPr>
        <w:t xml:space="preserve"> </w:t>
      </w:r>
      <w:hyperlink r:id="rId9" w:history="1">
        <w:r w:rsidRPr="00925937">
          <w:rPr>
            <w:rStyle w:val="Hyperlink"/>
            <w:sz w:val="14"/>
            <w:szCs w:val="14"/>
            <w:lang w:val="nl-NL"/>
          </w:rPr>
          <w:t>http://trade.ec.europa.eu/doclib/docs/2017/april/tradoc_155507.pdf</w:t>
        </w:r>
      </w:hyperlink>
      <w:r w:rsidRPr="00925937">
        <w:rPr>
          <w:sz w:val="14"/>
          <w:szCs w:val="14"/>
          <w:lang w:val="nl-NL"/>
        </w:rPr>
        <w:t xml:space="preserve"> </w:t>
      </w:r>
    </w:p>
  </w:footnote>
  <w:footnote w:id="12">
    <w:p w14:paraId="53E78A19" w14:textId="3238609B" w:rsidR="003162E9" w:rsidRPr="003B3A30" w:rsidRDefault="003162E9">
      <w:pPr>
        <w:pStyle w:val="Voetnoottekst"/>
        <w:rPr>
          <w:rStyle w:val="Hyperlink"/>
          <w:sz w:val="14"/>
          <w:szCs w:val="14"/>
          <w:lang w:val="nl-NL"/>
        </w:rPr>
      </w:pPr>
      <w:r w:rsidRPr="00374D49">
        <w:rPr>
          <w:rStyle w:val="Voetnootmarkering"/>
          <w:sz w:val="14"/>
          <w:szCs w:val="14"/>
        </w:rPr>
        <w:footnoteRef/>
      </w:r>
      <w:r w:rsidRPr="00374D49">
        <w:rPr>
          <w:sz w:val="14"/>
          <w:szCs w:val="14"/>
          <w:lang w:val="nl-NL"/>
        </w:rPr>
        <w:t xml:space="preserve"> </w:t>
      </w:r>
      <w:hyperlink r:id="rId10">
        <w:r w:rsidRPr="003B3A30">
          <w:rPr>
            <w:rStyle w:val="Hyperlink"/>
            <w:sz w:val="14"/>
            <w:szCs w:val="14"/>
            <w:lang w:val="nl-NL"/>
          </w:rPr>
          <w:t>http://trade.ec.europa.eu/doclib/press/index.cfm?id=1437</w:t>
        </w:r>
      </w:hyperlink>
      <w:r w:rsidR="00374D49" w:rsidRPr="003B3A30">
        <w:rPr>
          <w:rStyle w:val="Hyperlink"/>
          <w:sz w:val="14"/>
          <w:szCs w:val="14"/>
          <w:lang w:val="nl-NL"/>
        </w:rPr>
        <w:t xml:space="preserve">  </w:t>
      </w:r>
    </w:p>
  </w:footnote>
  <w:footnote w:id="13">
    <w:p w14:paraId="3EB1D832" w14:textId="3E8B10D2" w:rsidR="003162E9" w:rsidRPr="00C24E77" w:rsidRDefault="003162E9" w:rsidP="00263383">
      <w:pPr>
        <w:tabs>
          <w:tab w:val="left" w:pos="274"/>
        </w:tabs>
        <w:ind w:hanging="120"/>
        <w:rPr>
          <w:sz w:val="14"/>
          <w:szCs w:val="14"/>
          <w:lang w:val="nl-NL"/>
        </w:rPr>
      </w:pPr>
      <w:r w:rsidRPr="00C24E77">
        <w:rPr>
          <w:sz w:val="14"/>
          <w:szCs w:val="14"/>
          <w:lang w:val="nl-NL"/>
        </w:rPr>
        <w:tab/>
      </w:r>
      <w:r w:rsidRPr="00221E5B">
        <w:rPr>
          <w:rStyle w:val="Voetnootmarkering"/>
          <w:sz w:val="14"/>
          <w:szCs w:val="14"/>
        </w:rPr>
        <w:footnoteRef/>
      </w:r>
      <w:r w:rsidRPr="00C24E77">
        <w:rPr>
          <w:sz w:val="14"/>
          <w:szCs w:val="14"/>
          <w:lang w:val="nl-NL"/>
        </w:rPr>
        <w:t xml:space="preserve"> </w:t>
      </w:r>
      <w:hyperlink r:id="rId11" w:history="1">
        <w:r w:rsidRPr="00C24E77">
          <w:rPr>
            <w:rStyle w:val="Hyperlink"/>
            <w:sz w:val="14"/>
            <w:szCs w:val="14"/>
            <w:lang w:val="nl-NL"/>
          </w:rPr>
          <w:t>http://trade.ec.europa.eu/doclib/docs/2017/january/tradoc_155242.pdf</w:t>
        </w:r>
      </w:hyperlink>
      <w:r w:rsidRPr="00C24E77">
        <w:rPr>
          <w:sz w:val="14"/>
          <w:szCs w:val="14"/>
          <w:lang w:val="nl-NL"/>
        </w:rPr>
        <w:t xml:space="preserve">     </w:t>
      </w:r>
    </w:p>
  </w:footnote>
  <w:footnote w:id="14">
    <w:p w14:paraId="4F369AE5" w14:textId="7B82872A" w:rsidR="003162E9" w:rsidRPr="00C24E77" w:rsidRDefault="003162E9" w:rsidP="00263383">
      <w:pPr>
        <w:pStyle w:val="Voetnoottekst"/>
        <w:rPr>
          <w:sz w:val="14"/>
          <w:szCs w:val="14"/>
          <w:lang w:val="nl-NL"/>
        </w:rPr>
      </w:pPr>
      <w:r w:rsidRPr="00221E5B">
        <w:rPr>
          <w:rStyle w:val="Voetnootmarkering"/>
          <w:sz w:val="14"/>
          <w:szCs w:val="14"/>
        </w:rPr>
        <w:footnoteRef/>
      </w:r>
      <w:r w:rsidRPr="00C24E77">
        <w:rPr>
          <w:sz w:val="14"/>
          <w:szCs w:val="14"/>
          <w:lang w:val="nl-NL"/>
        </w:rPr>
        <w:t xml:space="preserve"> </w:t>
      </w:r>
      <w:hyperlink r:id="rId12" w:history="1">
        <w:r w:rsidRPr="00C24E77">
          <w:rPr>
            <w:rStyle w:val="Hyperlink"/>
            <w:sz w:val="14"/>
            <w:szCs w:val="14"/>
            <w:lang w:val="nl-NL"/>
          </w:rPr>
          <w:t>http://ec.europa.eu/transparency/regdoc/?fuseaction=list&amp;n=10&amp;adv=0&amp;coteId=1&amp;year=2017&amp;number=472</w:t>
        </w:r>
      </w:hyperlink>
      <w:r w:rsidRPr="00C24E77">
        <w:rPr>
          <w:sz w:val="14"/>
          <w:szCs w:val="14"/>
          <w:lang w:val="nl-NL"/>
        </w:rPr>
        <w:t xml:space="preserve"> </w:t>
      </w:r>
    </w:p>
  </w:footnote>
  <w:footnote w:id="15">
    <w:p w14:paraId="14CE4D13" w14:textId="77777777" w:rsidR="00EE2E35" w:rsidRPr="00C24E77" w:rsidRDefault="00EE2E35" w:rsidP="00EE2E35">
      <w:pPr>
        <w:pStyle w:val="Voetnoottekst"/>
        <w:rPr>
          <w:sz w:val="14"/>
          <w:szCs w:val="14"/>
          <w:lang w:val="nl-NL"/>
        </w:rPr>
      </w:pPr>
      <w:r w:rsidRPr="00221E5B">
        <w:rPr>
          <w:rStyle w:val="Voetnootmarkering"/>
          <w:sz w:val="14"/>
          <w:szCs w:val="14"/>
        </w:rPr>
        <w:footnoteRef/>
      </w:r>
      <w:r w:rsidRPr="00C24E77">
        <w:rPr>
          <w:sz w:val="14"/>
          <w:szCs w:val="14"/>
          <w:lang w:val="nl-NL"/>
        </w:rPr>
        <w:t xml:space="preserve"> </w:t>
      </w:r>
      <w:hyperlink r:id="rId13" w:history="1">
        <w:r w:rsidRPr="00C24E77">
          <w:rPr>
            <w:rStyle w:val="Hyperlink"/>
            <w:sz w:val="14"/>
            <w:szCs w:val="14"/>
            <w:lang w:val="nl-NL"/>
          </w:rPr>
          <w:t>http://ec.europa.eu/transparency/regdoc/?fuseaction=list&amp;n=10&amp;adv=0&amp;coteId=1&amp;year=2017&amp;number=469</w:t>
        </w:r>
      </w:hyperlink>
      <w:r w:rsidRPr="00C24E77">
        <w:rPr>
          <w:sz w:val="14"/>
          <w:szCs w:val="14"/>
          <w:lang w:val="nl-NL"/>
        </w:rPr>
        <w:t xml:space="preserve"> </w:t>
      </w:r>
    </w:p>
  </w:footnote>
  <w:footnote w:id="16">
    <w:p w14:paraId="74AE2A67" w14:textId="0D9AD0B9" w:rsidR="00D6383E" w:rsidRPr="00812352" w:rsidRDefault="00D6383E">
      <w:pPr>
        <w:pStyle w:val="Voetnoottekst"/>
        <w:rPr>
          <w:sz w:val="14"/>
          <w:szCs w:val="14"/>
          <w:lang w:val="nl-NL"/>
        </w:rPr>
      </w:pPr>
      <w:r w:rsidRPr="00B01380">
        <w:rPr>
          <w:rStyle w:val="Voetnootmarkering"/>
          <w:sz w:val="14"/>
          <w:szCs w:val="14"/>
        </w:rPr>
        <w:footnoteRef/>
      </w:r>
      <w:r w:rsidRPr="00B01380">
        <w:rPr>
          <w:sz w:val="14"/>
          <w:szCs w:val="14"/>
          <w:lang w:val="nl-NL"/>
        </w:rPr>
        <w:t xml:space="preserve"> </w:t>
      </w:r>
      <w:hyperlink r:id="rId14" w:history="1">
        <w:r w:rsidRPr="00B01380">
          <w:rPr>
            <w:rStyle w:val="Hyperlink"/>
            <w:sz w:val="14"/>
            <w:szCs w:val="14"/>
            <w:lang w:val="nl-NL"/>
          </w:rPr>
          <w:t>http://ec.europa.eu/trade/policy/countries-and-regions/countries/chile/</w:t>
        </w:r>
      </w:hyperlink>
      <w:r>
        <w:rPr>
          <w:lang w:val="nl-NL"/>
        </w:rPr>
        <w:t xml:space="preserve"> </w:t>
      </w:r>
    </w:p>
  </w:footnote>
  <w:footnote w:id="17">
    <w:p w14:paraId="10F4FC8C" w14:textId="0571E7A5" w:rsidR="00812352" w:rsidRPr="00812352" w:rsidRDefault="00812352">
      <w:pPr>
        <w:pStyle w:val="Voetnoottekst"/>
        <w:rPr>
          <w:lang w:val="nl-NL"/>
        </w:rPr>
      </w:pPr>
      <w:r w:rsidRPr="00812352">
        <w:rPr>
          <w:rStyle w:val="Voetnootmarkering"/>
          <w:sz w:val="14"/>
          <w:szCs w:val="14"/>
        </w:rPr>
        <w:footnoteRef/>
      </w:r>
      <w:r w:rsidRPr="00812352">
        <w:rPr>
          <w:sz w:val="14"/>
          <w:szCs w:val="14"/>
          <w:lang w:val="nl-NL"/>
        </w:rPr>
        <w:t xml:space="preserve"> Het verslag van de laatste onderhandelingsronde en de EU tekstvoorstellen zijn beschikbaar op de website van de Europese Commissie: </w:t>
      </w:r>
      <w:hyperlink r:id="rId15" w:history="1">
        <w:r w:rsidRPr="00812352">
          <w:rPr>
            <w:rStyle w:val="Hyperlink"/>
            <w:sz w:val="14"/>
            <w:szCs w:val="14"/>
            <w:lang w:val="nl-NL"/>
          </w:rPr>
          <w:t>http://ec.europa.eu/trade/policy/countries-and-regions/countries/chile/</w:t>
        </w:r>
      </w:hyperlink>
      <w:r w:rsidRPr="00812352">
        <w:rPr>
          <w:sz w:val="14"/>
          <w:szCs w:val="14"/>
          <w:lang w:val="nl-NL"/>
        </w:rPr>
        <w:t xml:space="preserve"> </w:t>
      </w:r>
    </w:p>
  </w:footnote>
  <w:footnote w:id="18">
    <w:p w14:paraId="00CC45A0" w14:textId="3D82A042" w:rsidR="006B21B5" w:rsidRPr="00B01380" w:rsidRDefault="006B21B5">
      <w:pPr>
        <w:pStyle w:val="Voetnoottekst"/>
        <w:rPr>
          <w:sz w:val="14"/>
          <w:szCs w:val="14"/>
          <w:lang w:val="nl-NL"/>
        </w:rPr>
      </w:pPr>
      <w:r w:rsidRPr="00B01380">
        <w:rPr>
          <w:rStyle w:val="Voetnootmarkering"/>
          <w:sz w:val="14"/>
          <w:szCs w:val="14"/>
        </w:rPr>
        <w:footnoteRef/>
      </w:r>
      <w:r w:rsidRPr="00B01380">
        <w:rPr>
          <w:sz w:val="14"/>
          <w:szCs w:val="14"/>
          <w:lang w:val="nl-NL"/>
        </w:rPr>
        <w:t xml:space="preserve"> De meest recente versie staat hier: </w:t>
      </w:r>
      <w:hyperlink r:id="rId16" w:history="1">
        <w:r w:rsidRPr="00B01380">
          <w:rPr>
            <w:rStyle w:val="Hyperlink"/>
            <w:sz w:val="14"/>
            <w:szCs w:val="14"/>
            <w:lang w:val="nl-NL"/>
          </w:rPr>
          <w:t>http://eur-lex.europa.eu/legal-content/EN/TXT/PDF/?uri=CELEX:52017DC0585&amp;from=EN</w:t>
        </w:r>
      </w:hyperlink>
      <w:r w:rsidRPr="00B01380">
        <w:rPr>
          <w:sz w:val="14"/>
          <w:szCs w:val="14"/>
          <w:lang w:val="nl-NL"/>
        </w:rPr>
        <w:t xml:space="preserve">  </w:t>
      </w:r>
    </w:p>
  </w:footnote>
  <w:footnote w:id="19">
    <w:p w14:paraId="2D7E2144" w14:textId="06A151E1" w:rsidR="003162E9" w:rsidRPr="00263383" w:rsidRDefault="003162E9" w:rsidP="00263383">
      <w:pPr>
        <w:tabs>
          <w:tab w:val="left" w:pos="274"/>
        </w:tabs>
        <w:ind w:right="149" w:hanging="120"/>
        <w:rPr>
          <w:sz w:val="14"/>
          <w:szCs w:val="14"/>
          <w:lang w:val="nl-NL"/>
        </w:rPr>
      </w:pPr>
      <w:r w:rsidRPr="00C24E77">
        <w:rPr>
          <w:sz w:val="14"/>
          <w:szCs w:val="14"/>
          <w:lang w:val="nl-NL"/>
        </w:rPr>
        <w:tab/>
      </w:r>
      <w:r w:rsidRPr="00263383">
        <w:rPr>
          <w:rStyle w:val="Voetnootmarkering"/>
          <w:sz w:val="14"/>
          <w:szCs w:val="14"/>
        </w:rPr>
        <w:footnoteRef/>
      </w:r>
      <w:r w:rsidRPr="00263383">
        <w:rPr>
          <w:sz w:val="14"/>
          <w:szCs w:val="14"/>
          <w:lang w:val="nl-NL"/>
        </w:rPr>
        <w:t xml:space="preserve"> De volgende landen zijn lid van Mercosur: Argentinië, Brazilië, Paraguay, Uruguay en Venezuela. Het lidmaatschap</w:t>
      </w:r>
      <w:r w:rsidRPr="00263383">
        <w:rPr>
          <w:spacing w:val="-3"/>
          <w:sz w:val="14"/>
          <w:szCs w:val="14"/>
          <w:lang w:val="nl-NL"/>
        </w:rPr>
        <w:t xml:space="preserve"> </w:t>
      </w:r>
      <w:r w:rsidRPr="00263383">
        <w:rPr>
          <w:sz w:val="14"/>
          <w:szCs w:val="14"/>
          <w:lang w:val="nl-NL"/>
        </w:rPr>
        <w:t>van</w:t>
      </w:r>
      <w:r w:rsidRPr="00263383">
        <w:rPr>
          <w:spacing w:val="-3"/>
          <w:sz w:val="14"/>
          <w:szCs w:val="14"/>
          <w:lang w:val="nl-NL"/>
        </w:rPr>
        <w:t xml:space="preserve"> </w:t>
      </w:r>
      <w:r w:rsidRPr="00263383">
        <w:rPr>
          <w:sz w:val="14"/>
          <w:szCs w:val="14"/>
          <w:lang w:val="nl-NL"/>
        </w:rPr>
        <w:t>Venezuela</w:t>
      </w:r>
      <w:r w:rsidRPr="00263383">
        <w:rPr>
          <w:spacing w:val="-2"/>
          <w:sz w:val="14"/>
          <w:szCs w:val="14"/>
          <w:lang w:val="nl-NL"/>
        </w:rPr>
        <w:t xml:space="preserve"> </w:t>
      </w:r>
      <w:r w:rsidRPr="00263383">
        <w:rPr>
          <w:sz w:val="14"/>
          <w:szCs w:val="14"/>
          <w:lang w:val="nl-NL"/>
        </w:rPr>
        <w:t>is</w:t>
      </w:r>
      <w:r w:rsidRPr="00263383">
        <w:rPr>
          <w:spacing w:val="-4"/>
          <w:sz w:val="14"/>
          <w:szCs w:val="14"/>
          <w:lang w:val="nl-NL"/>
        </w:rPr>
        <w:t xml:space="preserve"> </w:t>
      </w:r>
      <w:r w:rsidRPr="00263383">
        <w:rPr>
          <w:sz w:val="14"/>
          <w:szCs w:val="14"/>
          <w:lang w:val="nl-NL"/>
        </w:rPr>
        <w:t>op</w:t>
      </w:r>
      <w:r w:rsidRPr="00263383">
        <w:rPr>
          <w:spacing w:val="-3"/>
          <w:sz w:val="14"/>
          <w:szCs w:val="14"/>
          <w:lang w:val="nl-NL"/>
        </w:rPr>
        <w:t xml:space="preserve"> </w:t>
      </w:r>
      <w:r w:rsidRPr="00263383">
        <w:rPr>
          <w:sz w:val="14"/>
          <w:szCs w:val="14"/>
          <w:lang w:val="nl-NL"/>
        </w:rPr>
        <w:t>1</w:t>
      </w:r>
      <w:r w:rsidRPr="00263383">
        <w:rPr>
          <w:spacing w:val="-3"/>
          <w:sz w:val="14"/>
          <w:szCs w:val="14"/>
          <w:lang w:val="nl-NL"/>
        </w:rPr>
        <w:t xml:space="preserve"> </w:t>
      </w:r>
      <w:r w:rsidRPr="00263383">
        <w:rPr>
          <w:sz w:val="14"/>
          <w:szCs w:val="14"/>
          <w:lang w:val="nl-NL"/>
        </w:rPr>
        <w:t>december</w:t>
      </w:r>
      <w:r w:rsidRPr="00263383">
        <w:rPr>
          <w:spacing w:val="-3"/>
          <w:sz w:val="14"/>
          <w:szCs w:val="14"/>
          <w:lang w:val="nl-NL"/>
        </w:rPr>
        <w:t xml:space="preserve"> </w:t>
      </w:r>
      <w:r w:rsidRPr="00263383">
        <w:rPr>
          <w:sz w:val="14"/>
          <w:szCs w:val="14"/>
          <w:lang w:val="nl-NL"/>
        </w:rPr>
        <w:t>2016</w:t>
      </w:r>
      <w:r w:rsidRPr="00263383">
        <w:rPr>
          <w:spacing w:val="-3"/>
          <w:sz w:val="14"/>
          <w:szCs w:val="14"/>
          <w:lang w:val="nl-NL"/>
        </w:rPr>
        <w:t xml:space="preserve"> </w:t>
      </w:r>
      <w:r w:rsidRPr="00263383">
        <w:rPr>
          <w:sz w:val="14"/>
          <w:szCs w:val="14"/>
          <w:lang w:val="nl-NL"/>
        </w:rPr>
        <w:t>geschorst.</w:t>
      </w:r>
      <w:r w:rsidRPr="00263383">
        <w:rPr>
          <w:spacing w:val="-4"/>
          <w:sz w:val="14"/>
          <w:szCs w:val="14"/>
          <w:lang w:val="nl-NL"/>
        </w:rPr>
        <w:t xml:space="preserve"> </w:t>
      </w:r>
      <w:r w:rsidRPr="00263383">
        <w:rPr>
          <w:sz w:val="14"/>
          <w:szCs w:val="14"/>
          <w:lang w:val="nl-NL"/>
        </w:rPr>
        <w:t>Het</w:t>
      </w:r>
      <w:r w:rsidRPr="00263383">
        <w:rPr>
          <w:spacing w:val="-3"/>
          <w:sz w:val="14"/>
          <w:szCs w:val="14"/>
          <w:lang w:val="nl-NL"/>
        </w:rPr>
        <w:t xml:space="preserve"> </w:t>
      </w:r>
      <w:r w:rsidRPr="00263383">
        <w:rPr>
          <w:sz w:val="14"/>
          <w:szCs w:val="14"/>
          <w:lang w:val="nl-NL"/>
        </w:rPr>
        <w:t>land</w:t>
      </w:r>
      <w:r w:rsidRPr="00263383">
        <w:rPr>
          <w:spacing w:val="-2"/>
          <w:sz w:val="14"/>
          <w:szCs w:val="14"/>
          <w:lang w:val="nl-NL"/>
        </w:rPr>
        <w:t xml:space="preserve"> </w:t>
      </w:r>
      <w:r w:rsidRPr="00263383">
        <w:rPr>
          <w:sz w:val="14"/>
          <w:szCs w:val="14"/>
          <w:lang w:val="nl-NL"/>
        </w:rPr>
        <w:t>is</w:t>
      </w:r>
      <w:r w:rsidRPr="00263383">
        <w:rPr>
          <w:spacing w:val="-4"/>
          <w:sz w:val="14"/>
          <w:szCs w:val="14"/>
          <w:lang w:val="nl-NL"/>
        </w:rPr>
        <w:t xml:space="preserve"> </w:t>
      </w:r>
      <w:r w:rsidRPr="00263383">
        <w:rPr>
          <w:sz w:val="14"/>
          <w:szCs w:val="14"/>
          <w:lang w:val="nl-NL"/>
        </w:rPr>
        <w:t>niet</w:t>
      </w:r>
      <w:r w:rsidRPr="00263383">
        <w:rPr>
          <w:spacing w:val="-4"/>
          <w:sz w:val="14"/>
          <w:szCs w:val="14"/>
          <w:lang w:val="nl-NL"/>
        </w:rPr>
        <w:t xml:space="preserve"> </w:t>
      </w:r>
      <w:r w:rsidRPr="00263383">
        <w:rPr>
          <w:sz w:val="14"/>
          <w:szCs w:val="14"/>
          <w:lang w:val="nl-NL"/>
        </w:rPr>
        <w:t>betrokken</w:t>
      </w:r>
      <w:r w:rsidRPr="00263383">
        <w:rPr>
          <w:spacing w:val="-3"/>
          <w:sz w:val="14"/>
          <w:szCs w:val="14"/>
          <w:lang w:val="nl-NL"/>
        </w:rPr>
        <w:t xml:space="preserve"> </w:t>
      </w:r>
      <w:r w:rsidRPr="00263383">
        <w:rPr>
          <w:sz w:val="14"/>
          <w:szCs w:val="14"/>
          <w:lang w:val="nl-NL"/>
        </w:rPr>
        <w:t>bij</w:t>
      </w:r>
      <w:r w:rsidRPr="00263383">
        <w:rPr>
          <w:spacing w:val="-3"/>
          <w:sz w:val="14"/>
          <w:szCs w:val="14"/>
          <w:lang w:val="nl-NL"/>
        </w:rPr>
        <w:t xml:space="preserve"> </w:t>
      </w:r>
      <w:r w:rsidRPr="00263383">
        <w:rPr>
          <w:sz w:val="14"/>
          <w:szCs w:val="14"/>
          <w:lang w:val="nl-NL"/>
        </w:rPr>
        <w:t>de</w:t>
      </w:r>
      <w:r w:rsidRPr="00263383">
        <w:rPr>
          <w:spacing w:val="-4"/>
          <w:sz w:val="14"/>
          <w:szCs w:val="14"/>
          <w:lang w:val="nl-NL"/>
        </w:rPr>
        <w:t xml:space="preserve"> </w:t>
      </w:r>
      <w:r w:rsidRPr="00263383">
        <w:rPr>
          <w:sz w:val="14"/>
          <w:szCs w:val="14"/>
          <w:lang w:val="nl-NL"/>
        </w:rPr>
        <w:t>onderhandelingen.</w:t>
      </w:r>
    </w:p>
  </w:footnote>
  <w:footnote w:id="20">
    <w:p w14:paraId="6C8BB246" w14:textId="086FD9F2" w:rsidR="003162E9" w:rsidRPr="00263383" w:rsidRDefault="003162E9" w:rsidP="00263383">
      <w:pPr>
        <w:pStyle w:val="Voetnoottekst"/>
        <w:rPr>
          <w:sz w:val="14"/>
          <w:szCs w:val="14"/>
          <w:lang w:val="nl-NL"/>
        </w:rPr>
      </w:pPr>
      <w:r w:rsidRPr="00263383">
        <w:rPr>
          <w:rStyle w:val="Voetnootmarkering"/>
          <w:sz w:val="14"/>
          <w:szCs w:val="14"/>
        </w:rPr>
        <w:footnoteRef/>
      </w:r>
      <w:r w:rsidRPr="00263383">
        <w:rPr>
          <w:sz w:val="14"/>
          <w:szCs w:val="14"/>
          <w:lang w:val="nl-NL"/>
        </w:rPr>
        <w:t xml:space="preserve"> </w:t>
      </w:r>
      <w:hyperlink r:id="rId17" w:history="1">
        <w:r w:rsidR="00EE2E35" w:rsidRPr="006D0AB1">
          <w:rPr>
            <w:rStyle w:val="Hyperlink"/>
            <w:sz w:val="14"/>
            <w:szCs w:val="14"/>
            <w:lang w:val="nl-NL"/>
          </w:rPr>
          <w:t>http://ec.europa.eu/trade/policy/in-focus/eu-mercosur-association-agreement/</w:t>
        </w:r>
      </w:hyperlink>
      <w:r w:rsidR="00EE2E35">
        <w:rPr>
          <w:sz w:val="14"/>
          <w:szCs w:val="14"/>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713"/>
    <w:multiLevelType w:val="hybridMultilevel"/>
    <w:tmpl w:val="C67C22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2" w15:restartNumberingAfterBreak="0">
    <w:nsid w:val="29E202D1"/>
    <w:multiLevelType w:val="hybridMultilevel"/>
    <w:tmpl w:val="6BE6D926"/>
    <w:lvl w:ilvl="0" w:tplc="0BB2183E">
      <w:start w:val="6"/>
      <w:numFmt w:val="decimal"/>
      <w:lvlText w:val="%1"/>
      <w:lvlJc w:val="left"/>
      <w:pPr>
        <w:ind w:left="120" w:hanging="154"/>
      </w:pPr>
      <w:rPr>
        <w:rFonts w:ascii="Verdana" w:eastAsia="Verdana" w:hAnsi="Verdana" w:cs="Verdana" w:hint="default"/>
        <w:w w:val="99"/>
        <w:sz w:val="13"/>
        <w:szCs w:val="13"/>
      </w:rPr>
    </w:lvl>
    <w:lvl w:ilvl="1" w:tplc="8368C7C6">
      <w:numFmt w:val="bullet"/>
      <w:lvlText w:val="•"/>
      <w:lvlJc w:val="left"/>
      <w:pPr>
        <w:ind w:left="1066" w:hanging="154"/>
      </w:pPr>
      <w:rPr>
        <w:rFonts w:hint="default"/>
      </w:rPr>
    </w:lvl>
    <w:lvl w:ilvl="2" w:tplc="9F6A2B1A">
      <w:numFmt w:val="bullet"/>
      <w:lvlText w:val="•"/>
      <w:lvlJc w:val="left"/>
      <w:pPr>
        <w:ind w:left="2012" w:hanging="154"/>
      </w:pPr>
      <w:rPr>
        <w:rFonts w:hint="default"/>
      </w:rPr>
    </w:lvl>
    <w:lvl w:ilvl="3" w:tplc="EC925840">
      <w:numFmt w:val="bullet"/>
      <w:lvlText w:val="•"/>
      <w:lvlJc w:val="left"/>
      <w:pPr>
        <w:ind w:left="2958" w:hanging="154"/>
      </w:pPr>
      <w:rPr>
        <w:rFonts w:hint="default"/>
      </w:rPr>
    </w:lvl>
    <w:lvl w:ilvl="4" w:tplc="0DE2F182">
      <w:numFmt w:val="bullet"/>
      <w:lvlText w:val="•"/>
      <w:lvlJc w:val="left"/>
      <w:pPr>
        <w:ind w:left="3904" w:hanging="154"/>
      </w:pPr>
      <w:rPr>
        <w:rFonts w:hint="default"/>
      </w:rPr>
    </w:lvl>
    <w:lvl w:ilvl="5" w:tplc="96FA7AF6">
      <w:numFmt w:val="bullet"/>
      <w:lvlText w:val="•"/>
      <w:lvlJc w:val="left"/>
      <w:pPr>
        <w:ind w:left="4850" w:hanging="154"/>
      </w:pPr>
      <w:rPr>
        <w:rFonts w:hint="default"/>
      </w:rPr>
    </w:lvl>
    <w:lvl w:ilvl="6" w:tplc="C10A4456">
      <w:numFmt w:val="bullet"/>
      <w:lvlText w:val="•"/>
      <w:lvlJc w:val="left"/>
      <w:pPr>
        <w:ind w:left="5796" w:hanging="154"/>
      </w:pPr>
      <w:rPr>
        <w:rFonts w:hint="default"/>
      </w:rPr>
    </w:lvl>
    <w:lvl w:ilvl="7" w:tplc="1D3852DC">
      <w:numFmt w:val="bullet"/>
      <w:lvlText w:val="•"/>
      <w:lvlJc w:val="left"/>
      <w:pPr>
        <w:ind w:left="6742" w:hanging="154"/>
      </w:pPr>
      <w:rPr>
        <w:rFonts w:hint="default"/>
      </w:rPr>
    </w:lvl>
    <w:lvl w:ilvl="8" w:tplc="4C084AA0">
      <w:numFmt w:val="bullet"/>
      <w:lvlText w:val="•"/>
      <w:lvlJc w:val="left"/>
      <w:pPr>
        <w:ind w:left="7688" w:hanging="154"/>
      </w:pPr>
      <w:rPr>
        <w:rFonts w:hint="default"/>
      </w:rPr>
    </w:lvl>
  </w:abstractNum>
  <w:abstractNum w:abstractNumId="3" w15:restartNumberingAfterBreak="0">
    <w:nsid w:val="2F254DDB"/>
    <w:multiLevelType w:val="hybridMultilevel"/>
    <w:tmpl w:val="70841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3B7067F6"/>
    <w:multiLevelType w:val="hybridMultilevel"/>
    <w:tmpl w:val="18B06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2697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02"/>
    <w:rsid w:val="00000FA0"/>
    <w:rsid w:val="00004F98"/>
    <w:rsid w:val="000061F4"/>
    <w:rsid w:val="000062F3"/>
    <w:rsid w:val="00010E1E"/>
    <w:rsid w:val="000268AE"/>
    <w:rsid w:val="000270DC"/>
    <w:rsid w:val="00036FA4"/>
    <w:rsid w:val="00051259"/>
    <w:rsid w:val="000604A6"/>
    <w:rsid w:val="00060E8C"/>
    <w:rsid w:val="00064038"/>
    <w:rsid w:val="00064B51"/>
    <w:rsid w:val="000658B8"/>
    <w:rsid w:val="00074AD5"/>
    <w:rsid w:val="0007546A"/>
    <w:rsid w:val="00077F9C"/>
    <w:rsid w:val="0008664D"/>
    <w:rsid w:val="00090531"/>
    <w:rsid w:val="000A5D0A"/>
    <w:rsid w:val="000B073B"/>
    <w:rsid w:val="000B3F29"/>
    <w:rsid w:val="000B74D5"/>
    <w:rsid w:val="000C49D9"/>
    <w:rsid w:val="000D2647"/>
    <w:rsid w:val="000D6D72"/>
    <w:rsid w:val="000E202B"/>
    <w:rsid w:val="000F202F"/>
    <w:rsid w:val="00100565"/>
    <w:rsid w:val="0010462C"/>
    <w:rsid w:val="00105A07"/>
    <w:rsid w:val="00106674"/>
    <w:rsid w:val="00113276"/>
    <w:rsid w:val="00121BF0"/>
    <w:rsid w:val="00122DCF"/>
    <w:rsid w:val="00126EE0"/>
    <w:rsid w:val="00130664"/>
    <w:rsid w:val="00132049"/>
    <w:rsid w:val="00135BBE"/>
    <w:rsid w:val="00136BB2"/>
    <w:rsid w:val="00143507"/>
    <w:rsid w:val="001458EA"/>
    <w:rsid w:val="00152444"/>
    <w:rsid w:val="00154A74"/>
    <w:rsid w:val="00156D0A"/>
    <w:rsid w:val="00162644"/>
    <w:rsid w:val="00163FBB"/>
    <w:rsid w:val="0016481C"/>
    <w:rsid w:val="00165479"/>
    <w:rsid w:val="00165F24"/>
    <w:rsid w:val="0018018F"/>
    <w:rsid w:val="00187CF9"/>
    <w:rsid w:val="001A0091"/>
    <w:rsid w:val="001C46FF"/>
    <w:rsid w:val="001C5B79"/>
    <w:rsid w:val="001D2103"/>
    <w:rsid w:val="001E35A6"/>
    <w:rsid w:val="001F532C"/>
    <w:rsid w:val="001F7BA1"/>
    <w:rsid w:val="00201703"/>
    <w:rsid w:val="00202A24"/>
    <w:rsid w:val="00204036"/>
    <w:rsid w:val="002205CA"/>
    <w:rsid w:val="00221E5B"/>
    <w:rsid w:val="00227FEA"/>
    <w:rsid w:val="002301C5"/>
    <w:rsid w:val="00245578"/>
    <w:rsid w:val="002519FE"/>
    <w:rsid w:val="00253A6F"/>
    <w:rsid w:val="00253D95"/>
    <w:rsid w:val="00256566"/>
    <w:rsid w:val="00263383"/>
    <w:rsid w:val="00265BE3"/>
    <w:rsid w:val="002737A5"/>
    <w:rsid w:val="00293152"/>
    <w:rsid w:val="002B1965"/>
    <w:rsid w:val="002B6265"/>
    <w:rsid w:val="002C12C4"/>
    <w:rsid w:val="002C1E28"/>
    <w:rsid w:val="002C31D7"/>
    <w:rsid w:val="002C3C14"/>
    <w:rsid w:val="002C550E"/>
    <w:rsid w:val="002C5598"/>
    <w:rsid w:val="002D6B44"/>
    <w:rsid w:val="002F3294"/>
    <w:rsid w:val="00304D08"/>
    <w:rsid w:val="00310835"/>
    <w:rsid w:val="003137C5"/>
    <w:rsid w:val="0031429C"/>
    <w:rsid w:val="003162E9"/>
    <w:rsid w:val="00327014"/>
    <w:rsid w:val="0033196F"/>
    <w:rsid w:val="00343768"/>
    <w:rsid w:val="00347A86"/>
    <w:rsid w:val="0035455B"/>
    <w:rsid w:val="0036123F"/>
    <w:rsid w:val="00362463"/>
    <w:rsid w:val="00365A16"/>
    <w:rsid w:val="00373E58"/>
    <w:rsid w:val="00374D49"/>
    <w:rsid w:val="0037541C"/>
    <w:rsid w:val="00384444"/>
    <w:rsid w:val="00385AB1"/>
    <w:rsid w:val="0038629F"/>
    <w:rsid w:val="00391719"/>
    <w:rsid w:val="00394292"/>
    <w:rsid w:val="003948FC"/>
    <w:rsid w:val="003962C1"/>
    <w:rsid w:val="003A2D33"/>
    <w:rsid w:val="003B1262"/>
    <w:rsid w:val="003B3A30"/>
    <w:rsid w:val="003C2293"/>
    <w:rsid w:val="003C2E85"/>
    <w:rsid w:val="003C604E"/>
    <w:rsid w:val="003C7371"/>
    <w:rsid w:val="003D23D3"/>
    <w:rsid w:val="003D25E6"/>
    <w:rsid w:val="003E1FE2"/>
    <w:rsid w:val="003E50F7"/>
    <w:rsid w:val="003E6A75"/>
    <w:rsid w:val="003F49EA"/>
    <w:rsid w:val="003F5EDE"/>
    <w:rsid w:val="004058E6"/>
    <w:rsid w:val="00412C0C"/>
    <w:rsid w:val="00413C90"/>
    <w:rsid w:val="00415891"/>
    <w:rsid w:val="00422F72"/>
    <w:rsid w:val="00427219"/>
    <w:rsid w:val="004314D8"/>
    <w:rsid w:val="0044490E"/>
    <w:rsid w:val="00446A39"/>
    <w:rsid w:val="00452494"/>
    <w:rsid w:val="004526C9"/>
    <w:rsid w:val="004546AF"/>
    <w:rsid w:val="004633B8"/>
    <w:rsid w:val="00467106"/>
    <w:rsid w:val="00471E4B"/>
    <w:rsid w:val="00480570"/>
    <w:rsid w:val="0049405E"/>
    <w:rsid w:val="0049503A"/>
    <w:rsid w:val="004A170C"/>
    <w:rsid w:val="004A4EF8"/>
    <w:rsid w:val="004B2A6E"/>
    <w:rsid w:val="004C4702"/>
    <w:rsid w:val="004C4C2F"/>
    <w:rsid w:val="004C737A"/>
    <w:rsid w:val="004D0040"/>
    <w:rsid w:val="004D1BA4"/>
    <w:rsid w:val="004E1119"/>
    <w:rsid w:val="004E26E3"/>
    <w:rsid w:val="004E41BF"/>
    <w:rsid w:val="004E778E"/>
    <w:rsid w:val="005037A9"/>
    <w:rsid w:val="0050577F"/>
    <w:rsid w:val="005313D6"/>
    <w:rsid w:val="00542E74"/>
    <w:rsid w:val="00550BF3"/>
    <w:rsid w:val="00560562"/>
    <w:rsid w:val="00560687"/>
    <w:rsid w:val="005618A6"/>
    <w:rsid w:val="00565D0F"/>
    <w:rsid w:val="005703A2"/>
    <w:rsid w:val="00571238"/>
    <w:rsid w:val="00585291"/>
    <w:rsid w:val="00587D66"/>
    <w:rsid w:val="00595DDA"/>
    <w:rsid w:val="00597A1D"/>
    <w:rsid w:val="005A3D01"/>
    <w:rsid w:val="005A46AC"/>
    <w:rsid w:val="005B40CD"/>
    <w:rsid w:val="005C3EB1"/>
    <w:rsid w:val="005E1B1D"/>
    <w:rsid w:val="005F1EF6"/>
    <w:rsid w:val="0060155D"/>
    <w:rsid w:val="00611260"/>
    <w:rsid w:val="0061544D"/>
    <w:rsid w:val="00615F2A"/>
    <w:rsid w:val="006211F9"/>
    <w:rsid w:val="00623E06"/>
    <w:rsid w:val="006246CC"/>
    <w:rsid w:val="006257B8"/>
    <w:rsid w:val="006323F1"/>
    <w:rsid w:val="00636528"/>
    <w:rsid w:val="006469B8"/>
    <w:rsid w:val="00654D2B"/>
    <w:rsid w:val="0065596F"/>
    <w:rsid w:val="00661780"/>
    <w:rsid w:val="00662719"/>
    <w:rsid w:val="006657F0"/>
    <w:rsid w:val="00674CDC"/>
    <w:rsid w:val="00681EC9"/>
    <w:rsid w:val="00684AC1"/>
    <w:rsid w:val="006931A5"/>
    <w:rsid w:val="006958C7"/>
    <w:rsid w:val="006A0729"/>
    <w:rsid w:val="006A07CE"/>
    <w:rsid w:val="006A152B"/>
    <w:rsid w:val="006A16B2"/>
    <w:rsid w:val="006B21B5"/>
    <w:rsid w:val="006C2116"/>
    <w:rsid w:val="006C3B0C"/>
    <w:rsid w:val="006C50C4"/>
    <w:rsid w:val="006D1223"/>
    <w:rsid w:val="006D6259"/>
    <w:rsid w:val="006E02EE"/>
    <w:rsid w:val="006E464F"/>
    <w:rsid w:val="006E6471"/>
    <w:rsid w:val="006F234A"/>
    <w:rsid w:val="006F6E53"/>
    <w:rsid w:val="006F7D8D"/>
    <w:rsid w:val="007102FA"/>
    <w:rsid w:val="00711946"/>
    <w:rsid w:val="00711AED"/>
    <w:rsid w:val="00712B76"/>
    <w:rsid w:val="007176DF"/>
    <w:rsid w:val="007177CB"/>
    <w:rsid w:val="007221D7"/>
    <w:rsid w:val="007359C8"/>
    <w:rsid w:val="00742125"/>
    <w:rsid w:val="00742FAA"/>
    <w:rsid w:val="00753C33"/>
    <w:rsid w:val="00764C8E"/>
    <w:rsid w:val="00765AF2"/>
    <w:rsid w:val="00770E9E"/>
    <w:rsid w:val="00782B16"/>
    <w:rsid w:val="00783FB5"/>
    <w:rsid w:val="007844A3"/>
    <w:rsid w:val="00785926"/>
    <w:rsid w:val="0079002C"/>
    <w:rsid w:val="00793F72"/>
    <w:rsid w:val="007941C9"/>
    <w:rsid w:val="007A0AC7"/>
    <w:rsid w:val="007A7C6D"/>
    <w:rsid w:val="007B0F3F"/>
    <w:rsid w:val="007B214A"/>
    <w:rsid w:val="007B3099"/>
    <w:rsid w:val="007B32F0"/>
    <w:rsid w:val="007B46BF"/>
    <w:rsid w:val="007C11C3"/>
    <w:rsid w:val="007C202E"/>
    <w:rsid w:val="007C349F"/>
    <w:rsid w:val="007D16FD"/>
    <w:rsid w:val="007D196F"/>
    <w:rsid w:val="007E47AC"/>
    <w:rsid w:val="007F69A1"/>
    <w:rsid w:val="00812352"/>
    <w:rsid w:val="0081569A"/>
    <w:rsid w:val="00822DC7"/>
    <w:rsid w:val="0082388D"/>
    <w:rsid w:val="008301B9"/>
    <w:rsid w:val="00831290"/>
    <w:rsid w:val="00841230"/>
    <w:rsid w:val="008420DD"/>
    <w:rsid w:val="00845D76"/>
    <w:rsid w:val="00847099"/>
    <w:rsid w:val="00855903"/>
    <w:rsid w:val="008619CE"/>
    <w:rsid w:val="00876B85"/>
    <w:rsid w:val="00886847"/>
    <w:rsid w:val="00896A00"/>
    <w:rsid w:val="008C493F"/>
    <w:rsid w:val="008C60B8"/>
    <w:rsid w:val="008C62BC"/>
    <w:rsid w:val="008C77E9"/>
    <w:rsid w:val="008E4E01"/>
    <w:rsid w:val="008E55A4"/>
    <w:rsid w:val="00900F77"/>
    <w:rsid w:val="00901EEF"/>
    <w:rsid w:val="00905F24"/>
    <w:rsid w:val="00925937"/>
    <w:rsid w:val="00933A11"/>
    <w:rsid w:val="00933A42"/>
    <w:rsid w:val="00952558"/>
    <w:rsid w:val="00952DA2"/>
    <w:rsid w:val="00955888"/>
    <w:rsid w:val="00957235"/>
    <w:rsid w:val="00960C50"/>
    <w:rsid w:val="009612D2"/>
    <w:rsid w:val="009677B6"/>
    <w:rsid w:val="00972F62"/>
    <w:rsid w:val="0098652C"/>
    <w:rsid w:val="00986E7D"/>
    <w:rsid w:val="009929A7"/>
    <w:rsid w:val="00995338"/>
    <w:rsid w:val="00995649"/>
    <w:rsid w:val="00995D75"/>
    <w:rsid w:val="009A49CC"/>
    <w:rsid w:val="009D353F"/>
    <w:rsid w:val="009E219E"/>
    <w:rsid w:val="009E36BC"/>
    <w:rsid w:val="009E3F04"/>
    <w:rsid w:val="009E5A28"/>
    <w:rsid w:val="009E6698"/>
    <w:rsid w:val="009F40E5"/>
    <w:rsid w:val="009F7071"/>
    <w:rsid w:val="009F7F1A"/>
    <w:rsid w:val="00A0081C"/>
    <w:rsid w:val="00A12DA7"/>
    <w:rsid w:val="00A162F4"/>
    <w:rsid w:val="00A30754"/>
    <w:rsid w:val="00A358A4"/>
    <w:rsid w:val="00A54A85"/>
    <w:rsid w:val="00A62CFC"/>
    <w:rsid w:val="00A71C0E"/>
    <w:rsid w:val="00A73E2D"/>
    <w:rsid w:val="00A80042"/>
    <w:rsid w:val="00A85D1F"/>
    <w:rsid w:val="00A8778D"/>
    <w:rsid w:val="00A933F3"/>
    <w:rsid w:val="00AA2171"/>
    <w:rsid w:val="00AA256A"/>
    <w:rsid w:val="00AA77EA"/>
    <w:rsid w:val="00AB1832"/>
    <w:rsid w:val="00AC34B8"/>
    <w:rsid w:val="00AC4D16"/>
    <w:rsid w:val="00AD1E39"/>
    <w:rsid w:val="00AE0701"/>
    <w:rsid w:val="00AE07B0"/>
    <w:rsid w:val="00AE4B00"/>
    <w:rsid w:val="00AE5704"/>
    <w:rsid w:val="00AE7BF2"/>
    <w:rsid w:val="00AF08EF"/>
    <w:rsid w:val="00B0042B"/>
    <w:rsid w:val="00B01380"/>
    <w:rsid w:val="00B04012"/>
    <w:rsid w:val="00B11CB6"/>
    <w:rsid w:val="00B125A4"/>
    <w:rsid w:val="00B157E3"/>
    <w:rsid w:val="00B25E00"/>
    <w:rsid w:val="00B27451"/>
    <w:rsid w:val="00B31481"/>
    <w:rsid w:val="00B50854"/>
    <w:rsid w:val="00B550CA"/>
    <w:rsid w:val="00B603E8"/>
    <w:rsid w:val="00B64B6B"/>
    <w:rsid w:val="00B74215"/>
    <w:rsid w:val="00B8199F"/>
    <w:rsid w:val="00B9046E"/>
    <w:rsid w:val="00B93A00"/>
    <w:rsid w:val="00B96D60"/>
    <w:rsid w:val="00BB730D"/>
    <w:rsid w:val="00BC7B92"/>
    <w:rsid w:val="00BD3579"/>
    <w:rsid w:val="00C001EB"/>
    <w:rsid w:val="00C015FB"/>
    <w:rsid w:val="00C033A0"/>
    <w:rsid w:val="00C064AC"/>
    <w:rsid w:val="00C07F7D"/>
    <w:rsid w:val="00C13906"/>
    <w:rsid w:val="00C15BD4"/>
    <w:rsid w:val="00C24E77"/>
    <w:rsid w:val="00C253E9"/>
    <w:rsid w:val="00C429F1"/>
    <w:rsid w:val="00C505B4"/>
    <w:rsid w:val="00C51A1C"/>
    <w:rsid w:val="00C56847"/>
    <w:rsid w:val="00C76138"/>
    <w:rsid w:val="00C81185"/>
    <w:rsid w:val="00CA0B25"/>
    <w:rsid w:val="00CB182A"/>
    <w:rsid w:val="00CB21B1"/>
    <w:rsid w:val="00CC1390"/>
    <w:rsid w:val="00CC6C75"/>
    <w:rsid w:val="00CD0A5B"/>
    <w:rsid w:val="00CD1597"/>
    <w:rsid w:val="00CE102B"/>
    <w:rsid w:val="00CF339C"/>
    <w:rsid w:val="00CF361A"/>
    <w:rsid w:val="00D02A46"/>
    <w:rsid w:val="00D03BD2"/>
    <w:rsid w:val="00D112FB"/>
    <w:rsid w:val="00D166FA"/>
    <w:rsid w:val="00D26444"/>
    <w:rsid w:val="00D27791"/>
    <w:rsid w:val="00D37AAF"/>
    <w:rsid w:val="00D5104D"/>
    <w:rsid w:val="00D56364"/>
    <w:rsid w:val="00D57D00"/>
    <w:rsid w:val="00D6383E"/>
    <w:rsid w:val="00D66BFB"/>
    <w:rsid w:val="00D716D7"/>
    <w:rsid w:val="00D80D0F"/>
    <w:rsid w:val="00D81117"/>
    <w:rsid w:val="00D82823"/>
    <w:rsid w:val="00D86152"/>
    <w:rsid w:val="00D9492B"/>
    <w:rsid w:val="00DB3C1C"/>
    <w:rsid w:val="00DD2687"/>
    <w:rsid w:val="00DD5FFB"/>
    <w:rsid w:val="00DE43F9"/>
    <w:rsid w:val="00DE7878"/>
    <w:rsid w:val="00DF016C"/>
    <w:rsid w:val="00DF11F7"/>
    <w:rsid w:val="00E04E64"/>
    <w:rsid w:val="00E05E5D"/>
    <w:rsid w:val="00E077B9"/>
    <w:rsid w:val="00E07C48"/>
    <w:rsid w:val="00E10FA9"/>
    <w:rsid w:val="00E11CA6"/>
    <w:rsid w:val="00E120C2"/>
    <w:rsid w:val="00E20469"/>
    <w:rsid w:val="00E20BE6"/>
    <w:rsid w:val="00E22440"/>
    <w:rsid w:val="00E26EB9"/>
    <w:rsid w:val="00E448DE"/>
    <w:rsid w:val="00E55E3E"/>
    <w:rsid w:val="00E639EA"/>
    <w:rsid w:val="00E66D8F"/>
    <w:rsid w:val="00E7139D"/>
    <w:rsid w:val="00E73BAE"/>
    <w:rsid w:val="00E7454B"/>
    <w:rsid w:val="00E7486C"/>
    <w:rsid w:val="00E755FA"/>
    <w:rsid w:val="00E800D6"/>
    <w:rsid w:val="00E82878"/>
    <w:rsid w:val="00E8417C"/>
    <w:rsid w:val="00E9429E"/>
    <w:rsid w:val="00EB0C79"/>
    <w:rsid w:val="00EC0DBD"/>
    <w:rsid w:val="00EC1C64"/>
    <w:rsid w:val="00EC1C77"/>
    <w:rsid w:val="00EC7981"/>
    <w:rsid w:val="00EE0125"/>
    <w:rsid w:val="00EE0264"/>
    <w:rsid w:val="00EE2E35"/>
    <w:rsid w:val="00EE32C3"/>
    <w:rsid w:val="00EE5B1C"/>
    <w:rsid w:val="00EF00C1"/>
    <w:rsid w:val="00EF3404"/>
    <w:rsid w:val="00EF7789"/>
    <w:rsid w:val="00F022F9"/>
    <w:rsid w:val="00F159AF"/>
    <w:rsid w:val="00F15D2F"/>
    <w:rsid w:val="00F16704"/>
    <w:rsid w:val="00F25C4A"/>
    <w:rsid w:val="00F308C8"/>
    <w:rsid w:val="00F30CF7"/>
    <w:rsid w:val="00F3482E"/>
    <w:rsid w:val="00F356D5"/>
    <w:rsid w:val="00F50429"/>
    <w:rsid w:val="00F5549F"/>
    <w:rsid w:val="00F564D0"/>
    <w:rsid w:val="00F749CD"/>
    <w:rsid w:val="00F813A2"/>
    <w:rsid w:val="00F82F08"/>
    <w:rsid w:val="00F87FC7"/>
    <w:rsid w:val="00F90701"/>
    <w:rsid w:val="00F928E2"/>
    <w:rsid w:val="00F971D7"/>
    <w:rsid w:val="00FB3CE1"/>
    <w:rsid w:val="00FB6880"/>
    <w:rsid w:val="00FC0E4A"/>
    <w:rsid w:val="00FC2409"/>
    <w:rsid w:val="00FD6B2E"/>
    <w:rsid w:val="00FE691A"/>
    <w:rsid w:val="00FE7BB7"/>
    <w:rsid w:val="00FE7D6D"/>
    <w:rsid w:val="00FF342C"/>
    <w:rsid w:val="00FF7B1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C454E8B"/>
  <w15:docId w15:val="{91674080-4C51-4BDA-8CBB-02ACACEE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Verdana" w:eastAsia="Verdana" w:hAnsi="Verdana" w:cs="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pPr>
      <w:ind w:left="120" w:hanging="369"/>
    </w:pPr>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unhideWhenUsed/>
    <w:rsid w:val="002301C5"/>
    <w:rPr>
      <w:sz w:val="20"/>
      <w:szCs w:val="20"/>
    </w:rPr>
  </w:style>
  <w:style w:type="character" w:customStyle="1" w:styleId="VoetnoottekstChar">
    <w:name w:val="Voetnoottekst Char"/>
    <w:basedOn w:val="Standaardalinea-lettertype"/>
    <w:link w:val="Voetnoottekst"/>
    <w:uiPriority w:val="99"/>
    <w:semiHidden/>
    <w:rsid w:val="002301C5"/>
    <w:rPr>
      <w:rFonts w:ascii="Verdana" w:eastAsia="Verdana" w:hAnsi="Verdana" w:cs="Verdana"/>
      <w:sz w:val="20"/>
      <w:szCs w:val="20"/>
    </w:rPr>
  </w:style>
  <w:style w:type="character" w:styleId="Voetnootmarkering">
    <w:name w:val="footnote reference"/>
    <w:basedOn w:val="Standaardalinea-lettertype"/>
    <w:uiPriority w:val="99"/>
    <w:semiHidden/>
    <w:unhideWhenUsed/>
    <w:rsid w:val="002301C5"/>
    <w:rPr>
      <w:vertAlign w:val="superscript"/>
    </w:rPr>
  </w:style>
  <w:style w:type="character" w:styleId="Verwijzingopmerking">
    <w:name w:val="annotation reference"/>
    <w:basedOn w:val="Standaardalinea-lettertype"/>
    <w:uiPriority w:val="99"/>
    <w:semiHidden/>
    <w:unhideWhenUsed/>
    <w:rsid w:val="00753C33"/>
    <w:rPr>
      <w:sz w:val="16"/>
      <w:szCs w:val="16"/>
    </w:rPr>
  </w:style>
  <w:style w:type="paragraph" w:styleId="Tekstopmerking">
    <w:name w:val="annotation text"/>
    <w:basedOn w:val="Standaard"/>
    <w:link w:val="TekstopmerkingChar"/>
    <w:uiPriority w:val="99"/>
    <w:semiHidden/>
    <w:unhideWhenUsed/>
    <w:rsid w:val="00753C33"/>
    <w:rPr>
      <w:sz w:val="20"/>
      <w:szCs w:val="20"/>
    </w:rPr>
  </w:style>
  <w:style w:type="character" w:customStyle="1" w:styleId="TekstopmerkingChar">
    <w:name w:val="Tekst opmerking Char"/>
    <w:basedOn w:val="Standaardalinea-lettertype"/>
    <w:link w:val="Tekstopmerking"/>
    <w:uiPriority w:val="99"/>
    <w:semiHidden/>
    <w:rsid w:val="00753C33"/>
    <w:rPr>
      <w:rFonts w:ascii="Verdana" w:eastAsia="Verdana" w:hAnsi="Verdana" w:cs="Verdana"/>
      <w:sz w:val="20"/>
      <w:szCs w:val="20"/>
    </w:rPr>
  </w:style>
  <w:style w:type="paragraph" w:styleId="Onderwerpvanopmerking">
    <w:name w:val="annotation subject"/>
    <w:basedOn w:val="Tekstopmerking"/>
    <w:next w:val="Tekstopmerking"/>
    <w:link w:val="OnderwerpvanopmerkingChar"/>
    <w:uiPriority w:val="99"/>
    <w:semiHidden/>
    <w:unhideWhenUsed/>
    <w:rsid w:val="00753C33"/>
    <w:rPr>
      <w:b/>
      <w:bCs/>
    </w:rPr>
  </w:style>
  <w:style w:type="character" w:customStyle="1" w:styleId="OnderwerpvanopmerkingChar">
    <w:name w:val="Onderwerp van opmerking Char"/>
    <w:basedOn w:val="TekstopmerkingChar"/>
    <w:link w:val="Onderwerpvanopmerking"/>
    <w:uiPriority w:val="99"/>
    <w:semiHidden/>
    <w:rsid w:val="00753C33"/>
    <w:rPr>
      <w:rFonts w:ascii="Verdana" w:eastAsia="Verdana" w:hAnsi="Verdana" w:cs="Verdana"/>
      <w:b/>
      <w:bCs/>
      <w:sz w:val="20"/>
      <w:szCs w:val="20"/>
    </w:rPr>
  </w:style>
  <w:style w:type="paragraph" w:styleId="Ballontekst">
    <w:name w:val="Balloon Text"/>
    <w:basedOn w:val="Standaard"/>
    <w:link w:val="BallontekstChar"/>
    <w:uiPriority w:val="99"/>
    <w:semiHidden/>
    <w:unhideWhenUsed/>
    <w:rsid w:val="00753C3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3C33"/>
    <w:rPr>
      <w:rFonts w:ascii="Segoe UI" w:eastAsia="Verdana" w:hAnsi="Segoe UI" w:cs="Segoe UI"/>
      <w:sz w:val="18"/>
      <w:szCs w:val="18"/>
    </w:rPr>
  </w:style>
  <w:style w:type="paragraph" w:styleId="Koptekst">
    <w:name w:val="header"/>
    <w:basedOn w:val="Standaard"/>
    <w:link w:val="KoptekstChar"/>
    <w:uiPriority w:val="99"/>
    <w:unhideWhenUsed/>
    <w:rsid w:val="001D2103"/>
    <w:pPr>
      <w:tabs>
        <w:tab w:val="center" w:pos="4513"/>
        <w:tab w:val="right" w:pos="9026"/>
      </w:tabs>
    </w:pPr>
  </w:style>
  <w:style w:type="character" w:customStyle="1" w:styleId="KoptekstChar">
    <w:name w:val="Koptekst Char"/>
    <w:basedOn w:val="Standaardalinea-lettertype"/>
    <w:link w:val="Koptekst"/>
    <w:uiPriority w:val="99"/>
    <w:rsid w:val="001D2103"/>
    <w:rPr>
      <w:rFonts w:ascii="Verdana" w:eastAsia="Verdana" w:hAnsi="Verdana" w:cs="Verdana"/>
    </w:rPr>
  </w:style>
  <w:style w:type="paragraph" w:styleId="Voettekst">
    <w:name w:val="footer"/>
    <w:basedOn w:val="Standaard"/>
    <w:link w:val="VoettekstChar"/>
    <w:uiPriority w:val="99"/>
    <w:unhideWhenUsed/>
    <w:rsid w:val="001D2103"/>
    <w:pPr>
      <w:tabs>
        <w:tab w:val="center" w:pos="4513"/>
        <w:tab w:val="right" w:pos="9026"/>
      </w:tabs>
    </w:pPr>
  </w:style>
  <w:style w:type="character" w:customStyle="1" w:styleId="VoettekstChar">
    <w:name w:val="Voettekst Char"/>
    <w:basedOn w:val="Standaardalinea-lettertype"/>
    <w:link w:val="Voettekst"/>
    <w:uiPriority w:val="99"/>
    <w:rsid w:val="001D2103"/>
    <w:rPr>
      <w:rFonts w:ascii="Verdana" w:eastAsia="Verdana" w:hAnsi="Verdana" w:cs="Verdana"/>
    </w:rPr>
  </w:style>
  <w:style w:type="character" w:styleId="Hyperlink">
    <w:name w:val="Hyperlink"/>
    <w:basedOn w:val="Standaardalinea-lettertype"/>
    <w:uiPriority w:val="99"/>
    <w:unhideWhenUsed/>
    <w:rsid w:val="00090531"/>
    <w:rPr>
      <w:color w:val="0000FF" w:themeColor="hyperlink"/>
      <w:u w:val="single"/>
    </w:rPr>
  </w:style>
  <w:style w:type="paragraph" w:styleId="Normaalweb">
    <w:name w:val="Normal (Web)"/>
    <w:basedOn w:val="Standaard"/>
    <w:uiPriority w:val="99"/>
    <w:unhideWhenUsed/>
    <w:rsid w:val="00FC0E4A"/>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010E1E"/>
    <w:rPr>
      <w:i/>
      <w:iCs/>
    </w:rPr>
  </w:style>
  <w:style w:type="character" w:styleId="Zwaar">
    <w:name w:val="Strong"/>
    <w:basedOn w:val="Standaardalinea-lettertype"/>
    <w:uiPriority w:val="22"/>
    <w:qFormat/>
    <w:rsid w:val="00010E1E"/>
    <w:rPr>
      <w:b/>
      <w:bCs/>
    </w:rPr>
  </w:style>
  <w:style w:type="paragraph" w:styleId="HTML-voorafopgemaakt">
    <w:name w:val="HTML Preformatted"/>
    <w:basedOn w:val="Standaard"/>
    <w:link w:val="HTML-voorafopgemaaktChar"/>
    <w:uiPriority w:val="99"/>
    <w:semiHidden/>
    <w:unhideWhenUsed/>
    <w:rsid w:val="003E6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3E6A75"/>
    <w:rPr>
      <w:rFonts w:ascii="Courier New" w:eastAsia="Times New Roman" w:hAnsi="Courier New" w:cs="Courier New"/>
      <w:sz w:val="20"/>
      <w:szCs w:val="20"/>
      <w:lang w:val="nl-NL" w:eastAsia="nl-NL"/>
    </w:rPr>
  </w:style>
  <w:style w:type="character" w:styleId="GevolgdeHyperlink">
    <w:name w:val="FollowedHyperlink"/>
    <w:basedOn w:val="Standaardalinea-lettertype"/>
    <w:uiPriority w:val="99"/>
    <w:semiHidden/>
    <w:unhideWhenUsed/>
    <w:rsid w:val="007F69A1"/>
    <w:rPr>
      <w:color w:val="800080" w:themeColor="followedHyperlink"/>
      <w:u w:val="single"/>
    </w:rPr>
  </w:style>
  <w:style w:type="paragraph" w:styleId="Revisie">
    <w:name w:val="Revision"/>
    <w:hidden/>
    <w:uiPriority w:val="99"/>
    <w:semiHidden/>
    <w:rsid w:val="00E07C48"/>
    <w:pPr>
      <w:widowControl/>
      <w:autoSpaceDE/>
      <w:autoSpaceDN/>
    </w:pPr>
    <w:rPr>
      <w:rFonts w:ascii="Verdana" w:eastAsia="Verdana" w:hAnsi="Verdana" w:cs="Verdana"/>
    </w:rPr>
  </w:style>
  <w:style w:type="paragraph" w:customStyle="1" w:styleId="Default">
    <w:name w:val="Default"/>
    <w:rsid w:val="004E41BF"/>
    <w:pPr>
      <w:widowControl/>
      <w:adjustRightInd w:val="0"/>
    </w:pPr>
    <w:rPr>
      <w:rFonts w:ascii="EC Square Sans Pro" w:hAnsi="EC Square Sans Pro" w:cs="EC Square Sans Pro"/>
      <w:color w:val="000000"/>
      <w:sz w:val="24"/>
      <w:szCs w:val="24"/>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20BE6"/>
    <w:rPr>
      <w:rFonts w:ascii="Verdana" w:eastAsia="Verdana" w:hAnsi="Verdana" w:cs="Verdana"/>
    </w:rPr>
  </w:style>
  <w:style w:type="paragraph" w:styleId="Geenafstand">
    <w:name w:val="No Spacing"/>
    <w:uiPriority w:val="1"/>
    <w:qFormat/>
    <w:rsid w:val="00972F62"/>
    <w:rPr>
      <w:rFonts w:ascii="Verdana" w:eastAsia="Verdana" w:hAnsi="Verdana" w:cs="Verdana"/>
    </w:rPr>
  </w:style>
  <w:style w:type="character" w:customStyle="1" w:styleId="Huisstijl-GegevenCharChar">
    <w:name w:val="Huisstijl-Gegeven Char Char"/>
    <w:basedOn w:val="Standaardalinea-lettertype"/>
    <w:link w:val="Huisstijl-Gegeven"/>
    <w:rsid w:val="003B3A30"/>
    <w:rPr>
      <w:rFonts w:ascii="Verdana" w:hAnsi="Verdana"/>
      <w:noProof/>
      <w:sz w:val="13"/>
      <w:szCs w:val="24"/>
      <w:lang w:eastAsia="nl-NL"/>
    </w:rPr>
  </w:style>
  <w:style w:type="paragraph" w:customStyle="1" w:styleId="Huisstijl-Gegeven">
    <w:name w:val="Huisstijl-Gegeven"/>
    <w:basedOn w:val="Standaard"/>
    <w:link w:val="Huisstijl-GegevenCharChar"/>
    <w:rsid w:val="003B3A30"/>
    <w:pPr>
      <w:widowControl/>
      <w:autoSpaceDE/>
      <w:autoSpaceDN/>
      <w:spacing w:after="92" w:line="180" w:lineRule="exact"/>
    </w:pPr>
    <w:rPr>
      <w:rFonts w:eastAsiaTheme="minorHAnsi" w:cstheme="minorBidi"/>
      <w:noProof/>
      <w:sz w:val="13"/>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4115">
      <w:bodyDiv w:val="1"/>
      <w:marLeft w:val="0"/>
      <w:marRight w:val="0"/>
      <w:marTop w:val="0"/>
      <w:marBottom w:val="0"/>
      <w:divBdr>
        <w:top w:val="none" w:sz="0" w:space="0" w:color="auto"/>
        <w:left w:val="none" w:sz="0" w:space="0" w:color="auto"/>
        <w:bottom w:val="none" w:sz="0" w:space="0" w:color="auto"/>
        <w:right w:val="none" w:sz="0" w:space="0" w:color="auto"/>
      </w:divBdr>
    </w:div>
    <w:div w:id="180752946">
      <w:bodyDiv w:val="1"/>
      <w:marLeft w:val="0"/>
      <w:marRight w:val="0"/>
      <w:marTop w:val="0"/>
      <w:marBottom w:val="0"/>
      <w:divBdr>
        <w:top w:val="none" w:sz="0" w:space="0" w:color="auto"/>
        <w:left w:val="none" w:sz="0" w:space="0" w:color="auto"/>
        <w:bottom w:val="none" w:sz="0" w:space="0" w:color="auto"/>
        <w:right w:val="none" w:sz="0" w:space="0" w:color="auto"/>
      </w:divBdr>
    </w:div>
    <w:div w:id="232937622">
      <w:bodyDiv w:val="1"/>
      <w:marLeft w:val="0"/>
      <w:marRight w:val="0"/>
      <w:marTop w:val="0"/>
      <w:marBottom w:val="0"/>
      <w:divBdr>
        <w:top w:val="none" w:sz="0" w:space="0" w:color="auto"/>
        <w:left w:val="none" w:sz="0" w:space="0" w:color="auto"/>
        <w:bottom w:val="none" w:sz="0" w:space="0" w:color="auto"/>
        <w:right w:val="none" w:sz="0" w:space="0" w:color="auto"/>
      </w:divBdr>
      <w:divsChild>
        <w:div w:id="334191691">
          <w:marLeft w:val="0"/>
          <w:marRight w:val="0"/>
          <w:marTop w:val="0"/>
          <w:marBottom w:val="0"/>
          <w:divBdr>
            <w:top w:val="none" w:sz="0" w:space="0" w:color="auto"/>
            <w:left w:val="none" w:sz="0" w:space="0" w:color="auto"/>
            <w:bottom w:val="none" w:sz="0" w:space="0" w:color="auto"/>
            <w:right w:val="none" w:sz="0" w:space="0" w:color="auto"/>
          </w:divBdr>
        </w:div>
        <w:div w:id="1376201848">
          <w:marLeft w:val="0"/>
          <w:marRight w:val="0"/>
          <w:marTop w:val="0"/>
          <w:marBottom w:val="0"/>
          <w:divBdr>
            <w:top w:val="none" w:sz="0" w:space="0" w:color="auto"/>
            <w:left w:val="none" w:sz="0" w:space="0" w:color="auto"/>
            <w:bottom w:val="none" w:sz="0" w:space="0" w:color="auto"/>
            <w:right w:val="none" w:sz="0" w:space="0" w:color="auto"/>
          </w:divBdr>
        </w:div>
        <w:div w:id="451478222">
          <w:marLeft w:val="0"/>
          <w:marRight w:val="0"/>
          <w:marTop w:val="0"/>
          <w:marBottom w:val="0"/>
          <w:divBdr>
            <w:top w:val="none" w:sz="0" w:space="0" w:color="auto"/>
            <w:left w:val="none" w:sz="0" w:space="0" w:color="auto"/>
            <w:bottom w:val="none" w:sz="0" w:space="0" w:color="auto"/>
            <w:right w:val="none" w:sz="0" w:space="0" w:color="auto"/>
          </w:divBdr>
        </w:div>
        <w:div w:id="730159269">
          <w:marLeft w:val="0"/>
          <w:marRight w:val="0"/>
          <w:marTop w:val="0"/>
          <w:marBottom w:val="0"/>
          <w:divBdr>
            <w:top w:val="none" w:sz="0" w:space="0" w:color="auto"/>
            <w:left w:val="none" w:sz="0" w:space="0" w:color="auto"/>
            <w:bottom w:val="none" w:sz="0" w:space="0" w:color="auto"/>
            <w:right w:val="none" w:sz="0" w:space="0" w:color="auto"/>
          </w:divBdr>
        </w:div>
        <w:div w:id="1386762314">
          <w:marLeft w:val="0"/>
          <w:marRight w:val="0"/>
          <w:marTop w:val="0"/>
          <w:marBottom w:val="0"/>
          <w:divBdr>
            <w:top w:val="none" w:sz="0" w:space="0" w:color="auto"/>
            <w:left w:val="none" w:sz="0" w:space="0" w:color="auto"/>
            <w:bottom w:val="none" w:sz="0" w:space="0" w:color="auto"/>
            <w:right w:val="none" w:sz="0" w:space="0" w:color="auto"/>
          </w:divBdr>
        </w:div>
        <w:div w:id="1184005973">
          <w:marLeft w:val="0"/>
          <w:marRight w:val="0"/>
          <w:marTop w:val="0"/>
          <w:marBottom w:val="0"/>
          <w:divBdr>
            <w:top w:val="none" w:sz="0" w:space="0" w:color="auto"/>
            <w:left w:val="none" w:sz="0" w:space="0" w:color="auto"/>
            <w:bottom w:val="none" w:sz="0" w:space="0" w:color="auto"/>
            <w:right w:val="none" w:sz="0" w:space="0" w:color="auto"/>
          </w:divBdr>
        </w:div>
        <w:div w:id="333654306">
          <w:marLeft w:val="0"/>
          <w:marRight w:val="0"/>
          <w:marTop w:val="0"/>
          <w:marBottom w:val="0"/>
          <w:divBdr>
            <w:top w:val="none" w:sz="0" w:space="0" w:color="auto"/>
            <w:left w:val="none" w:sz="0" w:space="0" w:color="auto"/>
            <w:bottom w:val="none" w:sz="0" w:space="0" w:color="auto"/>
            <w:right w:val="none" w:sz="0" w:space="0" w:color="auto"/>
          </w:divBdr>
        </w:div>
        <w:div w:id="519854477">
          <w:marLeft w:val="0"/>
          <w:marRight w:val="0"/>
          <w:marTop w:val="0"/>
          <w:marBottom w:val="0"/>
          <w:divBdr>
            <w:top w:val="none" w:sz="0" w:space="0" w:color="auto"/>
            <w:left w:val="none" w:sz="0" w:space="0" w:color="auto"/>
            <w:bottom w:val="none" w:sz="0" w:space="0" w:color="auto"/>
            <w:right w:val="none" w:sz="0" w:space="0" w:color="auto"/>
          </w:divBdr>
        </w:div>
        <w:div w:id="285350398">
          <w:marLeft w:val="0"/>
          <w:marRight w:val="0"/>
          <w:marTop w:val="0"/>
          <w:marBottom w:val="0"/>
          <w:divBdr>
            <w:top w:val="none" w:sz="0" w:space="0" w:color="auto"/>
            <w:left w:val="none" w:sz="0" w:space="0" w:color="auto"/>
            <w:bottom w:val="none" w:sz="0" w:space="0" w:color="auto"/>
            <w:right w:val="none" w:sz="0" w:space="0" w:color="auto"/>
          </w:divBdr>
        </w:div>
        <w:div w:id="1156990794">
          <w:marLeft w:val="0"/>
          <w:marRight w:val="0"/>
          <w:marTop w:val="0"/>
          <w:marBottom w:val="0"/>
          <w:divBdr>
            <w:top w:val="none" w:sz="0" w:space="0" w:color="auto"/>
            <w:left w:val="none" w:sz="0" w:space="0" w:color="auto"/>
            <w:bottom w:val="none" w:sz="0" w:space="0" w:color="auto"/>
            <w:right w:val="none" w:sz="0" w:space="0" w:color="auto"/>
          </w:divBdr>
        </w:div>
        <w:div w:id="1949578607">
          <w:marLeft w:val="0"/>
          <w:marRight w:val="0"/>
          <w:marTop w:val="0"/>
          <w:marBottom w:val="0"/>
          <w:divBdr>
            <w:top w:val="none" w:sz="0" w:space="0" w:color="auto"/>
            <w:left w:val="none" w:sz="0" w:space="0" w:color="auto"/>
            <w:bottom w:val="none" w:sz="0" w:space="0" w:color="auto"/>
            <w:right w:val="none" w:sz="0" w:space="0" w:color="auto"/>
          </w:divBdr>
        </w:div>
        <w:div w:id="56823295">
          <w:marLeft w:val="0"/>
          <w:marRight w:val="0"/>
          <w:marTop w:val="0"/>
          <w:marBottom w:val="0"/>
          <w:divBdr>
            <w:top w:val="none" w:sz="0" w:space="0" w:color="auto"/>
            <w:left w:val="none" w:sz="0" w:space="0" w:color="auto"/>
            <w:bottom w:val="none" w:sz="0" w:space="0" w:color="auto"/>
            <w:right w:val="none" w:sz="0" w:space="0" w:color="auto"/>
          </w:divBdr>
        </w:div>
        <w:div w:id="1935357579">
          <w:marLeft w:val="0"/>
          <w:marRight w:val="0"/>
          <w:marTop w:val="0"/>
          <w:marBottom w:val="0"/>
          <w:divBdr>
            <w:top w:val="none" w:sz="0" w:space="0" w:color="auto"/>
            <w:left w:val="none" w:sz="0" w:space="0" w:color="auto"/>
            <w:bottom w:val="none" w:sz="0" w:space="0" w:color="auto"/>
            <w:right w:val="none" w:sz="0" w:space="0" w:color="auto"/>
          </w:divBdr>
        </w:div>
      </w:divsChild>
    </w:div>
    <w:div w:id="301889187">
      <w:bodyDiv w:val="1"/>
      <w:marLeft w:val="0"/>
      <w:marRight w:val="0"/>
      <w:marTop w:val="0"/>
      <w:marBottom w:val="0"/>
      <w:divBdr>
        <w:top w:val="none" w:sz="0" w:space="0" w:color="auto"/>
        <w:left w:val="none" w:sz="0" w:space="0" w:color="auto"/>
        <w:bottom w:val="none" w:sz="0" w:space="0" w:color="auto"/>
        <w:right w:val="none" w:sz="0" w:space="0" w:color="auto"/>
      </w:divBdr>
    </w:div>
    <w:div w:id="513422809">
      <w:bodyDiv w:val="1"/>
      <w:marLeft w:val="0"/>
      <w:marRight w:val="0"/>
      <w:marTop w:val="0"/>
      <w:marBottom w:val="0"/>
      <w:divBdr>
        <w:top w:val="none" w:sz="0" w:space="0" w:color="auto"/>
        <w:left w:val="none" w:sz="0" w:space="0" w:color="auto"/>
        <w:bottom w:val="none" w:sz="0" w:space="0" w:color="auto"/>
        <w:right w:val="none" w:sz="0" w:space="0" w:color="auto"/>
      </w:divBdr>
      <w:divsChild>
        <w:div w:id="1142620398">
          <w:marLeft w:val="0"/>
          <w:marRight w:val="0"/>
          <w:marTop w:val="0"/>
          <w:marBottom w:val="0"/>
          <w:divBdr>
            <w:top w:val="none" w:sz="0" w:space="0" w:color="auto"/>
            <w:left w:val="none" w:sz="0" w:space="0" w:color="auto"/>
            <w:bottom w:val="none" w:sz="0" w:space="0" w:color="auto"/>
            <w:right w:val="none" w:sz="0" w:space="0" w:color="auto"/>
          </w:divBdr>
        </w:div>
        <w:div w:id="955870905">
          <w:marLeft w:val="0"/>
          <w:marRight w:val="0"/>
          <w:marTop w:val="0"/>
          <w:marBottom w:val="0"/>
          <w:divBdr>
            <w:top w:val="none" w:sz="0" w:space="0" w:color="auto"/>
            <w:left w:val="none" w:sz="0" w:space="0" w:color="auto"/>
            <w:bottom w:val="none" w:sz="0" w:space="0" w:color="auto"/>
            <w:right w:val="none" w:sz="0" w:space="0" w:color="auto"/>
          </w:divBdr>
        </w:div>
        <w:div w:id="1399355109">
          <w:marLeft w:val="0"/>
          <w:marRight w:val="0"/>
          <w:marTop w:val="0"/>
          <w:marBottom w:val="0"/>
          <w:divBdr>
            <w:top w:val="none" w:sz="0" w:space="0" w:color="auto"/>
            <w:left w:val="none" w:sz="0" w:space="0" w:color="auto"/>
            <w:bottom w:val="none" w:sz="0" w:space="0" w:color="auto"/>
            <w:right w:val="none" w:sz="0" w:space="0" w:color="auto"/>
          </w:divBdr>
        </w:div>
        <w:div w:id="1686057802">
          <w:marLeft w:val="0"/>
          <w:marRight w:val="0"/>
          <w:marTop w:val="0"/>
          <w:marBottom w:val="0"/>
          <w:divBdr>
            <w:top w:val="none" w:sz="0" w:space="0" w:color="auto"/>
            <w:left w:val="none" w:sz="0" w:space="0" w:color="auto"/>
            <w:bottom w:val="none" w:sz="0" w:space="0" w:color="auto"/>
            <w:right w:val="none" w:sz="0" w:space="0" w:color="auto"/>
          </w:divBdr>
        </w:div>
        <w:div w:id="1192838212">
          <w:marLeft w:val="0"/>
          <w:marRight w:val="0"/>
          <w:marTop w:val="0"/>
          <w:marBottom w:val="0"/>
          <w:divBdr>
            <w:top w:val="none" w:sz="0" w:space="0" w:color="auto"/>
            <w:left w:val="none" w:sz="0" w:space="0" w:color="auto"/>
            <w:bottom w:val="none" w:sz="0" w:space="0" w:color="auto"/>
            <w:right w:val="none" w:sz="0" w:space="0" w:color="auto"/>
          </w:divBdr>
        </w:div>
        <w:div w:id="239216965">
          <w:marLeft w:val="0"/>
          <w:marRight w:val="0"/>
          <w:marTop w:val="0"/>
          <w:marBottom w:val="0"/>
          <w:divBdr>
            <w:top w:val="none" w:sz="0" w:space="0" w:color="auto"/>
            <w:left w:val="none" w:sz="0" w:space="0" w:color="auto"/>
            <w:bottom w:val="none" w:sz="0" w:space="0" w:color="auto"/>
            <w:right w:val="none" w:sz="0" w:space="0" w:color="auto"/>
          </w:divBdr>
        </w:div>
        <w:div w:id="1111822411">
          <w:marLeft w:val="0"/>
          <w:marRight w:val="0"/>
          <w:marTop w:val="0"/>
          <w:marBottom w:val="0"/>
          <w:divBdr>
            <w:top w:val="none" w:sz="0" w:space="0" w:color="auto"/>
            <w:left w:val="none" w:sz="0" w:space="0" w:color="auto"/>
            <w:bottom w:val="none" w:sz="0" w:space="0" w:color="auto"/>
            <w:right w:val="none" w:sz="0" w:space="0" w:color="auto"/>
          </w:divBdr>
        </w:div>
      </w:divsChild>
    </w:div>
    <w:div w:id="768890188">
      <w:bodyDiv w:val="1"/>
      <w:marLeft w:val="0"/>
      <w:marRight w:val="0"/>
      <w:marTop w:val="0"/>
      <w:marBottom w:val="0"/>
      <w:divBdr>
        <w:top w:val="none" w:sz="0" w:space="0" w:color="auto"/>
        <w:left w:val="none" w:sz="0" w:space="0" w:color="auto"/>
        <w:bottom w:val="none" w:sz="0" w:space="0" w:color="auto"/>
        <w:right w:val="none" w:sz="0" w:space="0" w:color="auto"/>
      </w:divBdr>
      <w:divsChild>
        <w:div w:id="1276406689">
          <w:marLeft w:val="0"/>
          <w:marRight w:val="0"/>
          <w:marTop w:val="0"/>
          <w:marBottom w:val="0"/>
          <w:divBdr>
            <w:top w:val="none" w:sz="0" w:space="0" w:color="auto"/>
            <w:left w:val="none" w:sz="0" w:space="0" w:color="auto"/>
            <w:bottom w:val="none" w:sz="0" w:space="0" w:color="auto"/>
            <w:right w:val="none" w:sz="0" w:space="0" w:color="auto"/>
          </w:divBdr>
          <w:divsChild>
            <w:div w:id="1976911065">
              <w:marLeft w:val="0"/>
              <w:marRight w:val="0"/>
              <w:marTop w:val="0"/>
              <w:marBottom w:val="0"/>
              <w:divBdr>
                <w:top w:val="none" w:sz="0" w:space="0" w:color="auto"/>
                <w:left w:val="none" w:sz="0" w:space="0" w:color="auto"/>
                <w:bottom w:val="none" w:sz="0" w:space="0" w:color="auto"/>
                <w:right w:val="none" w:sz="0" w:space="0" w:color="auto"/>
              </w:divBdr>
              <w:divsChild>
                <w:div w:id="318733941">
                  <w:marLeft w:val="0"/>
                  <w:marRight w:val="0"/>
                  <w:marTop w:val="0"/>
                  <w:marBottom w:val="0"/>
                  <w:divBdr>
                    <w:top w:val="none" w:sz="0" w:space="0" w:color="auto"/>
                    <w:left w:val="none" w:sz="0" w:space="0" w:color="auto"/>
                    <w:bottom w:val="none" w:sz="0" w:space="0" w:color="auto"/>
                    <w:right w:val="none" w:sz="0" w:space="0" w:color="auto"/>
                  </w:divBdr>
                  <w:divsChild>
                    <w:div w:id="2037997241">
                      <w:marLeft w:val="0"/>
                      <w:marRight w:val="0"/>
                      <w:marTop w:val="0"/>
                      <w:marBottom w:val="0"/>
                      <w:divBdr>
                        <w:top w:val="none" w:sz="0" w:space="0" w:color="auto"/>
                        <w:left w:val="none" w:sz="0" w:space="0" w:color="auto"/>
                        <w:bottom w:val="none" w:sz="0" w:space="0" w:color="auto"/>
                        <w:right w:val="none" w:sz="0" w:space="0" w:color="auto"/>
                      </w:divBdr>
                      <w:divsChild>
                        <w:div w:id="43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27109">
      <w:bodyDiv w:val="1"/>
      <w:marLeft w:val="0"/>
      <w:marRight w:val="0"/>
      <w:marTop w:val="0"/>
      <w:marBottom w:val="0"/>
      <w:divBdr>
        <w:top w:val="none" w:sz="0" w:space="0" w:color="auto"/>
        <w:left w:val="none" w:sz="0" w:space="0" w:color="auto"/>
        <w:bottom w:val="none" w:sz="0" w:space="0" w:color="auto"/>
        <w:right w:val="none" w:sz="0" w:space="0" w:color="auto"/>
      </w:divBdr>
      <w:divsChild>
        <w:div w:id="182089571">
          <w:marLeft w:val="0"/>
          <w:marRight w:val="0"/>
          <w:marTop w:val="0"/>
          <w:marBottom w:val="0"/>
          <w:divBdr>
            <w:top w:val="none" w:sz="0" w:space="0" w:color="auto"/>
            <w:left w:val="none" w:sz="0" w:space="0" w:color="auto"/>
            <w:bottom w:val="none" w:sz="0" w:space="0" w:color="auto"/>
            <w:right w:val="none" w:sz="0" w:space="0" w:color="auto"/>
          </w:divBdr>
        </w:div>
        <w:div w:id="1188374323">
          <w:marLeft w:val="0"/>
          <w:marRight w:val="0"/>
          <w:marTop w:val="0"/>
          <w:marBottom w:val="0"/>
          <w:divBdr>
            <w:top w:val="none" w:sz="0" w:space="0" w:color="auto"/>
            <w:left w:val="none" w:sz="0" w:space="0" w:color="auto"/>
            <w:bottom w:val="none" w:sz="0" w:space="0" w:color="auto"/>
            <w:right w:val="none" w:sz="0" w:space="0" w:color="auto"/>
          </w:divBdr>
        </w:div>
        <w:div w:id="1383366225">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
        <w:div w:id="132604527">
          <w:marLeft w:val="0"/>
          <w:marRight w:val="0"/>
          <w:marTop w:val="0"/>
          <w:marBottom w:val="0"/>
          <w:divBdr>
            <w:top w:val="none" w:sz="0" w:space="0" w:color="auto"/>
            <w:left w:val="none" w:sz="0" w:space="0" w:color="auto"/>
            <w:bottom w:val="none" w:sz="0" w:space="0" w:color="auto"/>
            <w:right w:val="none" w:sz="0" w:space="0" w:color="auto"/>
          </w:divBdr>
        </w:div>
        <w:div w:id="1470826626">
          <w:marLeft w:val="0"/>
          <w:marRight w:val="0"/>
          <w:marTop w:val="0"/>
          <w:marBottom w:val="0"/>
          <w:divBdr>
            <w:top w:val="none" w:sz="0" w:space="0" w:color="auto"/>
            <w:left w:val="none" w:sz="0" w:space="0" w:color="auto"/>
            <w:bottom w:val="none" w:sz="0" w:space="0" w:color="auto"/>
            <w:right w:val="none" w:sz="0" w:space="0" w:color="auto"/>
          </w:divBdr>
        </w:div>
        <w:div w:id="1651056353">
          <w:marLeft w:val="0"/>
          <w:marRight w:val="0"/>
          <w:marTop w:val="0"/>
          <w:marBottom w:val="0"/>
          <w:divBdr>
            <w:top w:val="none" w:sz="0" w:space="0" w:color="auto"/>
            <w:left w:val="none" w:sz="0" w:space="0" w:color="auto"/>
            <w:bottom w:val="none" w:sz="0" w:space="0" w:color="auto"/>
            <w:right w:val="none" w:sz="0" w:space="0" w:color="auto"/>
          </w:divBdr>
        </w:div>
      </w:divsChild>
    </w:div>
    <w:div w:id="997002988">
      <w:bodyDiv w:val="1"/>
      <w:marLeft w:val="0"/>
      <w:marRight w:val="0"/>
      <w:marTop w:val="0"/>
      <w:marBottom w:val="0"/>
      <w:divBdr>
        <w:top w:val="none" w:sz="0" w:space="0" w:color="auto"/>
        <w:left w:val="none" w:sz="0" w:space="0" w:color="auto"/>
        <w:bottom w:val="none" w:sz="0" w:space="0" w:color="auto"/>
        <w:right w:val="none" w:sz="0" w:space="0" w:color="auto"/>
      </w:divBdr>
    </w:div>
    <w:div w:id="1054281530">
      <w:bodyDiv w:val="1"/>
      <w:marLeft w:val="0"/>
      <w:marRight w:val="0"/>
      <w:marTop w:val="0"/>
      <w:marBottom w:val="0"/>
      <w:divBdr>
        <w:top w:val="none" w:sz="0" w:space="0" w:color="auto"/>
        <w:left w:val="none" w:sz="0" w:space="0" w:color="auto"/>
        <w:bottom w:val="none" w:sz="0" w:space="0" w:color="auto"/>
        <w:right w:val="none" w:sz="0" w:space="0" w:color="auto"/>
      </w:divBdr>
    </w:div>
    <w:div w:id="1351835199">
      <w:bodyDiv w:val="1"/>
      <w:marLeft w:val="0"/>
      <w:marRight w:val="0"/>
      <w:marTop w:val="0"/>
      <w:marBottom w:val="0"/>
      <w:divBdr>
        <w:top w:val="none" w:sz="0" w:space="0" w:color="auto"/>
        <w:left w:val="none" w:sz="0" w:space="0" w:color="auto"/>
        <w:bottom w:val="none" w:sz="0" w:space="0" w:color="auto"/>
        <w:right w:val="none" w:sz="0" w:space="0" w:color="auto"/>
      </w:divBdr>
    </w:div>
    <w:div w:id="1395468742">
      <w:bodyDiv w:val="1"/>
      <w:marLeft w:val="0"/>
      <w:marRight w:val="0"/>
      <w:marTop w:val="0"/>
      <w:marBottom w:val="0"/>
      <w:divBdr>
        <w:top w:val="none" w:sz="0" w:space="0" w:color="auto"/>
        <w:left w:val="none" w:sz="0" w:space="0" w:color="auto"/>
        <w:bottom w:val="none" w:sz="0" w:space="0" w:color="auto"/>
        <w:right w:val="none" w:sz="0" w:space="0" w:color="auto"/>
      </w:divBdr>
    </w:div>
    <w:div w:id="1396664786">
      <w:bodyDiv w:val="1"/>
      <w:marLeft w:val="0"/>
      <w:marRight w:val="0"/>
      <w:marTop w:val="0"/>
      <w:marBottom w:val="0"/>
      <w:divBdr>
        <w:top w:val="none" w:sz="0" w:space="0" w:color="auto"/>
        <w:left w:val="none" w:sz="0" w:space="0" w:color="auto"/>
        <w:bottom w:val="none" w:sz="0" w:space="0" w:color="auto"/>
        <w:right w:val="none" w:sz="0" w:space="0" w:color="auto"/>
      </w:divBdr>
      <w:divsChild>
        <w:div w:id="644698080">
          <w:marLeft w:val="0"/>
          <w:marRight w:val="0"/>
          <w:marTop w:val="0"/>
          <w:marBottom w:val="0"/>
          <w:divBdr>
            <w:top w:val="none" w:sz="0" w:space="0" w:color="auto"/>
            <w:left w:val="none" w:sz="0" w:space="0" w:color="auto"/>
            <w:bottom w:val="none" w:sz="0" w:space="0" w:color="auto"/>
            <w:right w:val="none" w:sz="0" w:space="0" w:color="auto"/>
          </w:divBdr>
        </w:div>
        <w:div w:id="1771076452">
          <w:marLeft w:val="0"/>
          <w:marRight w:val="0"/>
          <w:marTop w:val="0"/>
          <w:marBottom w:val="0"/>
          <w:divBdr>
            <w:top w:val="none" w:sz="0" w:space="0" w:color="auto"/>
            <w:left w:val="none" w:sz="0" w:space="0" w:color="auto"/>
            <w:bottom w:val="none" w:sz="0" w:space="0" w:color="auto"/>
            <w:right w:val="none" w:sz="0" w:space="0" w:color="auto"/>
          </w:divBdr>
        </w:div>
        <w:div w:id="1196238287">
          <w:marLeft w:val="0"/>
          <w:marRight w:val="0"/>
          <w:marTop w:val="0"/>
          <w:marBottom w:val="0"/>
          <w:divBdr>
            <w:top w:val="none" w:sz="0" w:space="0" w:color="auto"/>
            <w:left w:val="none" w:sz="0" w:space="0" w:color="auto"/>
            <w:bottom w:val="none" w:sz="0" w:space="0" w:color="auto"/>
            <w:right w:val="none" w:sz="0" w:space="0" w:color="auto"/>
          </w:divBdr>
        </w:div>
        <w:div w:id="117651844">
          <w:marLeft w:val="0"/>
          <w:marRight w:val="0"/>
          <w:marTop w:val="0"/>
          <w:marBottom w:val="0"/>
          <w:divBdr>
            <w:top w:val="none" w:sz="0" w:space="0" w:color="auto"/>
            <w:left w:val="none" w:sz="0" w:space="0" w:color="auto"/>
            <w:bottom w:val="none" w:sz="0" w:space="0" w:color="auto"/>
            <w:right w:val="none" w:sz="0" w:space="0" w:color="auto"/>
          </w:divBdr>
        </w:div>
        <w:div w:id="154927967">
          <w:marLeft w:val="0"/>
          <w:marRight w:val="0"/>
          <w:marTop w:val="0"/>
          <w:marBottom w:val="0"/>
          <w:divBdr>
            <w:top w:val="none" w:sz="0" w:space="0" w:color="auto"/>
            <w:left w:val="none" w:sz="0" w:space="0" w:color="auto"/>
            <w:bottom w:val="none" w:sz="0" w:space="0" w:color="auto"/>
            <w:right w:val="none" w:sz="0" w:space="0" w:color="auto"/>
          </w:divBdr>
        </w:div>
      </w:divsChild>
    </w:div>
    <w:div w:id="1532184470">
      <w:bodyDiv w:val="1"/>
      <w:marLeft w:val="0"/>
      <w:marRight w:val="0"/>
      <w:marTop w:val="0"/>
      <w:marBottom w:val="0"/>
      <w:divBdr>
        <w:top w:val="none" w:sz="0" w:space="0" w:color="auto"/>
        <w:left w:val="none" w:sz="0" w:space="0" w:color="auto"/>
        <w:bottom w:val="none" w:sz="0" w:space="0" w:color="auto"/>
        <w:right w:val="none" w:sz="0" w:space="0" w:color="auto"/>
      </w:divBdr>
      <w:divsChild>
        <w:div w:id="965115665">
          <w:marLeft w:val="0"/>
          <w:marRight w:val="0"/>
          <w:marTop w:val="0"/>
          <w:marBottom w:val="0"/>
          <w:divBdr>
            <w:top w:val="none" w:sz="0" w:space="0" w:color="auto"/>
            <w:left w:val="none" w:sz="0" w:space="0" w:color="auto"/>
            <w:bottom w:val="none" w:sz="0" w:space="0" w:color="auto"/>
            <w:right w:val="none" w:sz="0" w:space="0" w:color="auto"/>
          </w:divBdr>
          <w:divsChild>
            <w:div w:id="270817494">
              <w:marLeft w:val="0"/>
              <w:marRight w:val="0"/>
              <w:marTop w:val="0"/>
              <w:marBottom w:val="0"/>
              <w:divBdr>
                <w:top w:val="none" w:sz="0" w:space="0" w:color="auto"/>
                <w:left w:val="none" w:sz="0" w:space="0" w:color="auto"/>
                <w:bottom w:val="none" w:sz="0" w:space="0" w:color="auto"/>
                <w:right w:val="none" w:sz="0" w:space="0" w:color="auto"/>
              </w:divBdr>
              <w:divsChild>
                <w:div w:id="1175146722">
                  <w:marLeft w:val="0"/>
                  <w:marRight w:val="0"/>
                  <w:marTop w:val="0"/>
                  <w:marBottom w:val="0"/>
                  <w:divBdr>
                    <w:top w:val="none" w:sz="0" w:space="0" w:color="auto"/>
                    <w:left w:val="none" w:sz="0" w:space="0" w:color="auto"/>
                    <w:bottom w:val="none" w:sz="0" w:space="0" w:color="auto"/>
                    <w:right w:val="none" w:sz="0" w:space="0" w:color="auto"/>
                  </w:divBdr>
                  <w:divsChild>
                    <w:div w:id="574432917">
                      <w:marLeft w:val="0"/>
                      <w:marRight w:val="0"/>
                      <w:marTop w:val="45"/>
                      <w:marBottom w:val="0"/>
                      <w:divBdr>
                        <w:top w:val="none" w:sz="0" w:space="0" w:color="auto"/>
                        <w:left w:val="none" w:sz="0" w:space="0" w:color="auto"/>
                        <w:bottom w:val="none" w:sz="0" w:space="0" w:color="auto"/>
                        <w:right w:val="none" w:sz="0" w:space="0" w:color="auto"/>
                      </w:divBdr>
                      <w:divsChild>
                        <w:div w:id="1056707790">
                          <w:marLeft w:val="0"/>
                          <w:marRight w:val="0"/>
                          <w:marTop w:val="0"/>
                          <w:marBottom w:val="0"/>
                          <w:divBdr>
                            <w:top w:val="none" w:sz="0" w:space="0" w:color="auto"/>
                            <w:left w:val="none" w:sz="0" w:space="0" w:color="auto"/>
                            <w:bottom w:val="none" w:sz="0" w:space="0" w:color="auto"/>
                            <w:right w:val="none" w:sz="0" w:space="0" w:color="auto"/>
                          </w:divBdr>
                          <w:divsChild>
                            <w:div w:id="1690986255">
                              <w:marLeft w:val="12300"/>
                              <w:marRight w:val="0"/>
                              <w:marTop w:val="0"/>
                              <w:marBottom w:val="0"/>
                              <w:divBdr>
                                <w:top w:val="none" w:sz="0" w:space="0" w:color="auto"/>
                                <w:left w:val="none" w:sz="0" w:space="0" w:color="auto"/>
                                <w:bottom w:val="none" w:sz="0" w:space="0" w:color="auto"/>
                                <w:right w:val="none" w:sz="0" w:space="0" w:color="auto"/>
                              </w:divBdr>
                              <w:divsChild>
                                <w:div w:id="1991668740">
                                  <w:marLeft w:val="0"/>
                                  <w:marRight w:val="0"/>
                                  <w:marTop w:val="0"/>
                                  <w:marBottom w:val="0"/>
                                  <w:divBdr>
                                    <w:top w:val="none" w:sz="0" w:space="0" w:color="auto"/>
                                    <w:left w:val="none" w:sz="0" w:space="0" w:color="auto"/>
                                    <w:bottom w:val="none" w:sz="0" w:space="0" w:color="auto"/>
                                    <w:right w:val="none" w:sz="0" w:space="0" w:color="auto"/>
                                  </w:divBdr>
                                  <w:divsChild>
                                    <w:div w:id="555816554">
                                      <w:marLeft w:val="0"/>
                                      <w:marRight w:val="0"/>
                                      <w:marTop w:val="0"/>
                                      <w:marBottom w:val="390"/>
                                      <w:divBdr>
                                        <w:top w:val="none" w:sz="0" w:space="0" w:color="auto"/>
                                        <w:left w:val="none" w:sz="0" w:space="0" w:color="auto"/>
                                        <w:bottom w:val="none" w:sz="0" w:space="0" w:color="auto"/>
                                        <w:right w:val="none" w:sz="0" w:space="0" w:color="auto"/>
                                      </w:divBdr>
                                      <w:divsChild>
                                        <w:div w:id="188034712">
                                          <w:marLeft w:val="0"/>
                                          <w:marRight w:val="0"/>
                                          <w:marTop w:val="0"/>
                                          <w:marBottom w:val="0"/>
                                          <w:divBdr>
                                            <w:top w:val="none" w:sz="0" w:space="0" w:color="auto"/>
                                            <w:left w:val="none" w:sz="0" w:space="0" w:color="auto"/>
                                            <w:bottom w:val="none" w:sz="0" w:space="0" w:color="auto"/>
                                            <w:right w:val="none" w:sz="0" w:space="0" w:color="auto"/>
                                          </w:divBdr>
                                          <w:divsChild>
                                            <w:div w:id="156699209">
                                              <w:marLeft w:val="0"/>
                                              <w:marRight w:val="0"/>
                                              <w:marTop w:val="0"/>
                                              <w:marBottom w:val="0"/>
                                              <w:divBdr>
                                                <w:top w:val="none" w:sz="0" w:space="0" w:color="auto"/>
                                                <w:left w:val="none" w:sz="0" w:space="0" w:color="auto"/>
                                                <w:bottom w:val="none" w:sz="0" w:space="0" w:color="auto"/>
                                                <w:right w:val="none" w:sz="0" w:space="0" w:color="auto"/>
                                              </w:divBdr>
                                              <w:divsChild>
                                                <w:div w:id="1407528983">
                                                  <w:marLeft w:val="0"/>
                                                  <w:marRight w:val="0"/>
                                                  <w:marTop w:val="0"/>
                                                  <w:marBottom w:val="0"/>
                                                  <w:divBdr>
                                                    <w:top w:val="none" w:sz="0" w:space="0" w:color="auto"/>
                                                    <w:left w:val="none" w:sz="0" w:space="0" w:color="auto"/>
                                                    <w:bottom w:val="none" w:sz="0" w:space="0" w:color="auto"/>
                                                    <w:right w:val="none" w:sz="0" w:space="0" w:color="auto"/>
                                                  </w:divBdr>
                                                  <w:divsChild>
                                                    <w:div w:id="1653487355">
                                                      <w:marLeft w:val="0"/>
                                                      <w:marRight w:val="0"/>
                                                      <w:marTop w:val="0"/>
                                                      <w:marBottom w:val="0"/>
                                                      <w:divBdr>
                                                        <w:top w:val="none" w:sz="0" w:space="0" w:color="auto"/>
                                                        <w:left w:val="none" w:sz="0" w:space="0" w:color="auto"/>
                                                        <w:bottom w:val="none" w:sz="0" w:space="0" w:color="auto"/>
                                                        <w:right w:val="none" w:sz="0" w:space="0" w:color="auto"/>
                                                      </w:divBdr>
                                                      <w:divsChild>
                                                        <w:div w:id="820540256">
                                                          <w:marLeft w:val="0"/>
                                                          <w:marRight w:val="0"/>
                                                          <w:marTop w:val="0"/>
                                                          <w:marBottom w:val="0"/>
                                                          <w:divBdr>
                                                            <w:top w:val="none" w:sz="0" w:space="0" w:color="auto"/>
                                                            <w:left w:val="none" w:sz="0" w:space="0" w:color="auto"/>
                                                            <w:bottom w:val="none" w:sz="0" w:space="0" w:color="auto"/>
                                                            <w:right w:val="none" w:sz="0" w:space="0" w:color="auto"/>
                                                          </w:divBdr>
                                                          <w:divsChild>
                                                            <w:div w:id="1771775630">
                                                              <w:marLeft w:val="0"/>
                                                              <w:marRight w:val="0"/>
                                                              <w:marTop w:val="0"/>
                                                              <w:marBottom w:val="0"/>
                                                              <w:divBdr>
                                                                <w:top w:val="none" w:sz="0" w:space="0" w:color="auto"/>
                                                                <w:left w:val="none" w:sz="0" w:space="0" w:color="auto"/>
                                                                <w:bottom w:val="none" w:sz="0" w:space="0" w:color="auto"/>
                                                                <w:right w:val="none" w:sz="0" w:space="0" w:color="auto"/>
                                                              </w:divBdr>
                                                              <w:divsChild>
                                                                <w:div w:id="1432817104">
                                                                  <w:marLeft w:val="0"/>
                                                                  <w:marRight w:val="0"/>
                                                                  <w:marTop w:val="0"/>
                                                                  <w:marBottom w:val="0"/>
                                                                  <w:divBdr>
                                                                    <w:top w:val="none" w:sz="0" w:space="0" w:color="auto"/>
                                                                    <w:left w:val="none" w:sz="0" w:space="0" w:color="auto"/>
                                                                    <w:bottom w:val="none" w:sz="0" w:space="0" w:color="auto"/>
                                                                    <w:right w:val="none" w:sz="0" w:space="0" w:color="auto"/>
                                                                  </w:divBdr>
                                                                  <w:divsChild>
                                                                    <w:div w:id="999888429">
                                                                      <w:marLeft w:val="0"/>
                                                                      <w:marRight w:val="0"/>
                                                                      <w:marTop w:val="0"/>
                                                                      <w:marBottom w:val="0"/>
                                                                      <w:divBdr>
                                                                        <w:top w:val="none" w:sz="0" w:space="0" w:color="auto"/>
                                                                        <w:left w:val="none" w:sz="0" w:space="0" w:color="auto"/>
                                                                        <w:bottom w:val="none" w:sz="0" w:space="0" w:color="auto"/>
                                                                        <w:right w:val="none" w:sz="0" w:space="0" w:color="auto"/>
                                                                      </w:divBdr>
                                                                      <w:divsChild>
                                                                        <w:div w:id="154801852">
                                                                          <w:marLeft w:val="0"/>
                                                                          <w:marRight w:val="0"/>
                                                                          <w:marTop w:val="0"/>
                                                                          <w:marBottom w:val="0"/>
                                                                          <w:divBdr>
                                                                            <w:top w:val="none" w:sz="0" w:space="0" w:color="auto"/>
                                                                            <w:left w:val="none" w:sz="0" w:space="0" w:color="auto"/>
                                                                            <w:bottom w:val="none" w:sz="0" w:space="0" w:color="auto"/>
                                                                            <w:right w:val="none" w:sz="0" w:space="0" w:color="auto"/>
                                                                          </w:divBdr>
                                                                          <w:divsChild>
                                                                            <w:div w:id="542136266">
                                                                              <w:marLeft w:val="0"/>
                                                                              <w:marRight w:val="0"/>
                                                                              <w:marTop w:val="0"/>
                                                                              <w:marBottom w:val="0"/>
                                                                              <w:divBdr>
                                                                                <w:top w:val="none" w:sz="0" w:space="0" w:color="auto"/>
                                                                                <w:left w:val="none" w:sz="0" w:space="0" w:color="auto"/>
                                                                                <w:bottom w:val="none" w:sz="0" w:space="0" w:color="auto"/>
                                                                                <w:right w:val="none" w:sz="0" w:space="0" w:color="auto"/>
                                                                              </w:divBdr>
                                                                              <w:divsChild>
                                                                                <w:div w:id="864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191225">
      <w:bodyDiv w:val="1"/>
      <w:marLeft w:val="0"/>
      <w:marRight w:val="0"/>
      <w:marTop w:val="0"/>
      <w:marBottom w:val="0"/>
      <w:divBdr>
        <w:top w:val="none" w:sz="0" w:space="0" w:color="auto"/>
        <w:left w:val="none" w:sz="0" w:space="0" w:color="auto"/>
        <w:bottom w:val="none" w:sz="0" w:space="0" w:color="auto"/>
        <w:right w:val="none" w:sz="0" w:space="0" w:color="auto"/>
      </w:divBdr>
    </w:div>
    <w:div w:id="1817797692">
      <w:bodyDiv w:val="1"/>
      <w:marLeft w:val="0"/>
      <w:marRight w:val="0"/>
      <w:marTop w:val="0"/>
      <w:marBottom w:val="0"/>
      <w:divBdr>
        <w:top w:val="none" w:sz="0" w:space="0" w:color="auto"/>
        <w:left w:val="none" w:sz="0" w:space="0" w:color="auto"/>
        <w:bottom w:val="none" w:sz="0" w:space="0" w:color="auto"/>
        <w:right w:val="none" w:sz="0" w:space="0" w:color="auto"/>
      </w:divBdr>
      <w:divsChild>
        <w:div w:id="2062944970">
          <w:marLeft w:val="0"/>
          <w:marRight w:val="0"/>
          <w:marTop w:val="0"/>
          <w:marBottom w:val="0"/>
          <w:divBdr>
            <w:top w:val="none" w:sz="0" w:space="0" w:color="auto"/>
            <w:left w:val="none" w:sz="0" w:space="0" w:color="auto"/>
            <w:bottom w:val="none" w:sz="0" w:space="0" w:color="auto"/>
            <w:right w:val="none" w:sz="0" w:space="0" w:color="auto"/>
          </w:divBdr>
          <w:divsChild>
            <w:div w:id="132842556">
              <w:marLeft w:val="0"/>
              <w:marRight w:val="0"/>
              <w:marTop w:val="0"/>
              <w:marBottom w:val="0"/>
              <w:divBdr>
                <w:top w:val="none" w:sz="0" w:space="0" w:color="auto"/>
                <w:left w:val="none" w:sz="0" w:space="0" w:color="auto"/>
                <w:bottom w:val="none" w:sz="0" w:space="0" w:color="auto"/>
                <w:right w:val="none" w:sz="0" w:space="0" w:color="auto"/>
              </w:divBdr>
              <w:divsChild>
                <w:div w:id="83385157">
                  <w:marLeft w:val="0"/>
                  <w:marRight w:val="0"/>
                  <w:marTop w:val="0"/>
                  <w:marBottom w:val="0"/>
                  <w:divBdr>
                    <w:top w:val="none" w:sz="0" w:space="0" w:color="auto"/>
                    <w:left w:val="none" w:sz="0" w:space="0" w:color="auto"/>
                    <w:bottom w:val="none" w:sz="0" w:space="0" w:color="auto"/>
                    <w:right w:val="none" w:sz="0" w:space="0" w:color="auto"/>
                  </w:divBdr>
                  <w:divsChild>
                    <w:div w:id="85616447">
                      <w:marLeft w:val="0"/>
                      <w:marRight w:val="0"/>
                      <w:marTop w:val="45"/>
                      <w:marBottom w:val="0"/>
                      <w:divBdr>
                        <w:top w:val="none" w:sz="0" w:space="0" w:color="auto"/>
                        <w:left w:val="none" w:sz="0" w:space="0" w:color="auto"/>
                        <w:bottom w:val="none" w:sz="0" w:space="0" w:color="auto"/>
                        <w:right w:val="none" w:sz="0" w:space="0" w:color="auto"/>
                      </w:divBdr>
                      <w:divsChild>
                        <w:div w:id="294019993">
                          <w:marLeft w:val="0"/>
                          <w:marRight w:val="0"/>
                          <w:marTop w:val="0"/>
                          <w:marBottom w:val="0"/>
                          <w:divBdr>
                            <w:top w:val="none" w:sz="0" w:space="0" w:color="auto"/>
                            <w:left w:val="none" w:sz="0" w:space="0" w:color="auto"/>
                            <w:bottom w:val="none" w:sz="0" w:space="0" w:color="auto"/>
                            <w:right w:val="none" w:sz="0" w:space="0" w:color="auto"/>
                          </w:divBdr>
                          <w:divsChild>
                            <w:div w:id="136924796">
                              <w:marLeft w:val="2070"/>
                              <w:marRight w:val="3960"/>
                              <w:marTop w:val="0"/>
                              <w:marBottom w:val="0"/>
                              <w:divBdr>
                                <w:top w:val="none" w:sz="0" w:space="0" w:color="auto"/>
                                <w:left w:val="none" w:sz="0" w:space="0" w:color="auto"/>
                                <w:bottom w:val="none" w:sz="0" w:space="0" w:color="auto"/>
                                <w:right w:val="none" w:sz="0" w:space="0" w:color="auto"/>
                              </w:divBdr>
                              <w:divsChild>
                                <w:div w:id="2030403203">
                                  <w:marLeft w:val="0"/>
                                  <w:marRight w:val="0"/>
                                  <w:marTop w:val="0"/>
                                  <w:marBottom w:val="0"/>
                                  <w:divBdr>
                                    <w:top w:val="none" w:sz="0" w:space="0" w:color="auto"/>
                                    <w:left w:val="none" w:sz="0" w:space="0" w:color="auto"/>
                                    <w:bottom w:val="none" w:sz="0" w:space="0" w:color="auto"/>
                                    <w:right w:val="none" w:sz="0" w:space="0" w:color="auto"/>
                                  </w:divBdr>
                                  <w:divsChild>
                                    <w:div w:id="210308210">
                                      <w:marLeft w:val="0"/>
                                      <w:marRight w:val="0"/>
                                      <w:marTop w:val="0"/>
                                      <w:marBottom w:val="0"/>
                                      <w:divBdr>
                                        <w:top w:val="none" w:sz="0" w:space="0" w:color="auto"/>
                                        <w:left w:val="none" w:sz="0" w:space="0" w:color="auto"/>
                                        <w:bottom w:val="none" w:sz="0" w:space="0" w:color="auto"/>
                                        <w:right w:val="none" w:sz="0" w:space="0" w:color="auto"/>
                                      </w:divBdr>
                                      <w:divsChild>
                                        <w:div w:id="570892364">
                                          <w:marLeft w:val="0"/>
                                          <w:marRight w:val="0"/>
                                          <w:marTop w:val="0"/>
                                          <w:marBottom w:val="0"/>
                                          <w:divBdr>
                                            <w:top w:val="none" w:sz="0" w:space="0" w:color="auto"/>
                                            <w:left w:val="none" w:sz="0" w:space="0" w:color="auto"/>
                                            <w:bottom w:val="none" w:sz="0" w:space="0" w:color="auto"/>
                                            <w:right w:val="none" w:sz="0" w:space="0" w:color="auto"/>
                                          </w:divBdr>
                                          <w:divsChild>
                                            <w:div w:id="1454901866">
                                              <w:marLeft w:val="0"/>
                                              <w:marRight w:val="0"/>
                                              <w:marTop w:val="90"/>
                                              <w:marBottom w:val="0"/>
                                              <w:divBdr>
                                                <w:top w:val="none" w:sz="0" w:space="0" w:color="auto"/>
                                                <w:left w:val="none" w:sz="0" w:space="0" w:color="auto"/>
                                                <w:bottom w:val="none" w:sz="0" w:space="0" w:color="auto"/>
                                                <w:right w:val="none" w:sz="0" w:space="0" w:color="auto"/>
                                              </w:divBdr>
                                              <w:divsChild>
                                                <w:div w:id="1437212426">
                                                  <w:marLeft w:val="0"/>
                                                  <w:marRight w:val="0"/>
                                                  <w:marTop w:val="0"/>
                                                  <w:marBottom w:val="0"/>
                                                  <w:divBdr>
                                                    <w:top w:val="none" w:sz="0" w:space="0" w:color="auto"/>
                                                    <w:left w:val="none" w:sz="0" w:space="0" w:color="auto"/>
                                                    <w:bottom w:val="none" w:sz="0" w:space="0" w:color="auto"/>
                                                    <w:right w:val="none" w:sz="0" w:space="0" w:color="auto"/>
                                                  </w:divBdr>
                                                  <w:divsChild>
                                                    <w:div w:id="762991347">
                                                      <w:marLeft w:val="0"/>
                                                      <w:marRight w:val="0"/>
                                                      <w:marTop w:val="0"/>
                                                      <w:marBottom w:val="0"/>
                                                      <w:divBdr>
                                                        <w:top w:val="none" w:sz="0" w:space="0" w:color="auto"/>
                                                        <w:left w:val="none" w:sz="0" w:space="0" w:color="auto"/>
                                                        <w:bottom w:val="none" w:sz="0" w:space="0" w:color="auto"/>
                                                        <w:right w:val="none" w:sz="0" w:space="0" w:color="auto"/>
                                                      </w:divBdr>
                                                      <w:divsChild>
                                                        <w:div w:id="330913873">
                                                          <w:marLeft w:val="0"/>
                                                          <w:marRight w:val="0"/>
                                                          <w:marTop w:val="0"/>
                                                          <w:marBottom w:val="390"/>
                                                          <w:divBdr>
                                                            <w:top w:val="none" w:sz="0" w:space="0" w:color="auto"/>
                                                            <w:left w:val="none" w:sz="0" w:space="0" w:color="auto"/>
                                                            <w:bottom w:val="none" w:sz="0" w:space="0" w:color="auto"/>
                                                            <w:right w:val="none" w:sz="0" w:space="0" w:color="auto"/>
                                                          </w:divBdr>
                                                          <w:divsChild>
                                                            <w:div w:id="724724210">
                                                              <w:marLeft w:val="0"/>
                                                              <w:marRight w:val="0"/>
                                                              <w:marTop w:val="0"/>
                                                              <w:marBottom w:val="0"/>
                                                              <w:divBdr>
                                                                <w:top w:val="none" w:sz="0" w:space="0" w:color="auto"/>
                                                                <w:left w:val="none" w:sz="0" w:space="0" w:color="auto"/>
                                                                <w:bottom w:val="none" w:sz="0" w:space="0" w:color="auto"/>
                                                                <w:right w:val="none" w:sz="0" w:space="0" w:color="auto"/>
                                                              </w:divBdr>
                                                              <w:divsChild>
                                                                <w:div w:id="714475725">
                                                                  <w:marLeft w:val="0"/>
                                                                  <w:marRight w:val="0"/>
                                                                  <w:marTop w:val="0"/>
                                                                  <w:marBottom w:val="0"/>
                                                                  <w:divBdr>
                                                                    <w:top w:val="none" w:sz="0" w:space="0" w:color="auto"/>
                                                                    <w:left w:val="none" w:sz="0" w:space="0" w:color="auto"/>
                                                                    <w:bottom w:val="none" w:sz="0" w:space="0" w:color="auto"/>
                                                                    <w:right w:val="none" w:sz="0" w:space="0" w:color="auto"/>
                                                                  </w:divBdr>
                                                                  <w:divsChild>
                                                                    <w:div w:id="1282802576">
                                                                      <w:marLeft w:val="0"/>
                                                                      <w:marRight w:val="0"/>
                                                                      <w:marTop w:val="0"/>
                                                                      <w:marBottom w:val="0"/>
                                                                      <w:divBdr>
                                                                        <w:top w:val="none" w:sz="0" w:space="0" w:color="auto"/>
                                                                        <w:left w:val="none" w:sz="0" w:space="0" w:color="auto"/>
                                                                        <w:bottom w:val="none" w:sz="0" w:space="0" w:color="auto"/>
                                                                        <w:right w:val="none" w:sz="0" w:space="0" w:color="auto"/>
                                                                      </w:divBdr>
                                                                      <w:divsChild>
                                                                        <w:div w:id="1577856632">
                                                                          <w:marLeft w:val="0"/>
                                                                          <w:marRight w:val="0"/>
                                                                          <w:marTop w:val="0"/>
                                                                          <w:marBottom w:val="0"/>
                                                                          <w:divBdr>
                                                                            <w:top w:val="none" w:sz="0" w:space="0" w:color="auto"/>
                                                                            <w:left w:val="none" w:sz="0" w:space="0" w:color="auto"/>
                                                                            <w:bottom w:val="none" w:sz="0" w:space="0" w:color="auto"/>
                                                                            <w:right w:val="none" w:sz="0" w:space="0" w:color="auto"/>
                                                                          </w:divBdr>
                                                                          <w:divsChild>
                                                                            <w:div w:id="922646632">
                                                                              <w:marLeft w:val="0"/>
                                                                              <w:marRight w:val="0"/>
                                                                              <w:marTop w:val="0"/>
                                                                              <w:marBottom w:val="0"/>
                                                                              <w:divBdr>
                                                                                <w:top w:val="none" w:sz="0" w:space="0" w:color="auto"/>
                                                                                <w:left w:val="none" w:sz="0" w:space="0" w:color="auto"/>
                                                                                <w:bottom w:val="none" w:sz="0" w:space="0" w:color="auto"/>
                                                                                <w:right w:val="none" w:sz="0" w:space="0" w:color="auto"/>
                                                                              </w:divBdr>
                                                                              <w:divsChild>
                                                                                <w:div w:id="2132436173">
                                                                                  <w:marLeft w:val="0"/>
                                                                                  <w:marRight w:val="0"/>
                                                                                  <w:marTop w:val="0"/>
                                                                                  <w:marBottom w:val="0"/>
                                                                                  <w:divBdr>
                                                                                    <w:top w:val="none" w:sz="0" w:space="0" w:color="auto"/>
                                                                                    <w:left w:val="none" w:sz="0" w:space="0" w:color="auto"/>
                                                                                    <w:bottom w:val="none" w:sz="0" w:space="0" w:color="auto"/>
                                                                                    <w:right w:val="none" w:sz="0" w:space="0" w:color="auto"/>
                                                                                  </w:divBdr>
                                                                                  <w:divsChild>
                                                                                    <w:div w:id="1370717142">
                                                                                      <w:marLeft w:val="0"/>
                                                                                      <w:marRight w:val="0"/>
                                                                                      <w:marTop w:val="0"/>
                                                                                      <w:marBottom w:val="0"/>
                                                                                      <w:divBdr>
                                                                                        <w:top w:val="none" w:sz="0" w:space="0" w:color="auto"/>
                                                                                        <w:left w:val="none" w:sz="0" w:space="0" w:color="auto"/>
                                                                                        <w:bottom w:val="none" w:sz="0" w:space="0" w:color="auto"/>
                                                                                        <w:right w:val="none" w:sz="0" w:space="0" w:color="auto"/>
                                                                                      </w:divBdr>
                                                                                      <w:divsChild>
                                                                                        <w:div w:id="1635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476509">
      <w:bodyDiv w:val="1"/>
      <w:marLeft w:val="0"/>
      <w:marRight w:val="0"/>
      <w:marTop w:val="0"/>
      <w:marBottom w:val="0"/>
      <w:divBdr>
        <w:top w:val="none" w:sz="0" w:space="0" w:color="auto"/>
        <w:left w:val="none" w:sz="0" w:space="0" w:color="auto"/>
        <w:bottom w:val="none" w:sz="0" w:space="0" w:color="auto"/>
        <w:right w:val="none" w:sz="0" w:space="0" w:color="auto"/>
      </w:divBdr>
      <w:divsChild>
        <w:div w:id="1475416878">
          <w:marLeft w:val="0"/>
          <w:marRight w:val="0"/>
          <w:marTop w:val="0"/>
          <w:marBottom w:val="0"/>
          <w:divBdr>
            <w:top w:val="none" w:sz="0" w:space="0" w:color="auto"/>
            <w:left w:val="none" w:sz="0" w:space="0" w:color="auto"/>
            <w:bottom w:val="none" w:sz="0" w:space="0" w:color="auto"/>
            <w:right w:val="none" w:sz="0" w:space="0" w:color="auto"/>
          </w:divBdr>
        </w:div>
        <w:div w:id="1255363361">
          <w:marLeft w:val="0"/>
          <w:marRight w:val="0"/>
          <w:marTop w:val="0"/>
          <w:marBottom w:val="0"/>
          <w:divBdr>
            <w:top w:val="none" w:sz="0" w:space="0" w:color="auto"/>
            <w:left w:val="none" w:sz="0" w:space="0" w:color="auto"/>
            <w:bottom w:val="none" w:sz="0" w:space="0" w:color="auto"/>
            <w:right w:val="none" w:sz="0" w:space="0" w:color="auto"/>
          </w:divBdr>
        </w:div>
        <w:div w:id="1154687211">
          <w:marLeft w:val="0"/>
          <w:marRight w:val="0"/>
          <w:marTop w:val="0"/>
          <w:marBottom w:val="0"/>
          <w:divBdr>
            <w:top w:val="none" w:sz="0" w:space="0" w:color="auto"/>
            <w:left w:val="none" w:sz="0" w:space="0" w:color="auto"/>
            <w:bottom w:val="none" w:sz="0" w:space="0" w:color="auto"/>
            <w:right w:val="none" w:sz="0" w:space="0" w:color="auto"/>
          </w:divBdr>
        </w:div>
        <w:div w:id="1570074090">
          <w:marLeft w:val="0"/>
          <w:marRight w:val="0"/>
          <w:marTop w:val="0"/>
          <w:marBottom w:val="0"/>
          <w:divBdr>
            <w:top w:val="none" w:sz="0" w:space="0" w:color="auto"/>
            <w:left w:val="none" w:sz="0" w:space="0" w:color="auto"/>
            <w:bottom w:val="none" w:sz="0" w:space="0" w:color="auto"/>
            <w:right w:val="none" w:sz="0" w:space="0" w:color="auto"/>
          </w:divBdr>
        </w:div>
        <w:div w:id="1081564289">
          <w:marLeft w:val="0"/>
          <w:marRight w:val="0"/>
          <w:marTop w:val="0"/>
          <w:marBottom w:val="0"/>
          <w:divBdr>
            <w:top w:val="none" w:sz="0" w:space="0" w:color="auto"/>
            <w:left w:val="none" w:sz="0" w:space="0" w:color="auto"/>
            <w:bottom w:val="none" w:sz="0" w:space="0" w:color="auto"/>
            <w:right w:val="none" w:sz="0" w:space="0" w:color="auto"/>
          </w:divBdr>
        </w:div>
      </w:divsChild>
    </w:div>
    <w:div w:id="204001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trade.ec.europa.eu/doclib/docs/2018/march/tradoc_156642.pdf" TargetMode="External"/><Relationship Id="rId13" Type="http://schemas.openxmlformats.org/officeDocument/2006/relationships/hyperlink" Target="http://ec.europa.eu/transparency/regdoc/?fuseaction=list&amp;n=10&amp;adv=0&amp;coteId=1&amp;year=2017&amp;number=469" TargetMode="External"/><Relationship Id="rId3" Type="http://schemas.openxmlformats.org/officeDocument/2006/relationships/hyperlink" Target="http://trade.ec.europa.eu/doclib/press/index.cfm?id=1490" TargetMode="External"/><Relationship Id="rId7" Type="http://schemas.openxmlformats.org/officeDocument/2006/relationships/hyperlink" Target="http://trade.ec.europa.eu/doclib/docs/2017/march/tradoc_155435.pdf" TargetMode="External"/><Relationship Id="rId12" Type="http://schemas.openxmlformats.org/officeDocument/2006/relationships/hyperlink" Target="http://ec.europa.eu/transparency/regdoc/?fuseaction=list&amp;n=10&amp;adv=0&amp;coteId=1&amp;year=2017&amp;number=472" TargetMode="External"/><Relationship Id="rId17" Type="http://schemas.openxmlformats.org/officeDocument/2006/relationships/hyperlink" Target="http://ec.europa.eu/trade/policy/in-focus/eu-mercosur-association-agreement/" TargetMode="External"/><Relationship Id="rId2" Type="http://schemas.openxmlformats.org/officeDocument/2006/relationships/hyperlink" Target="http://trade.ec.europa.eu/doclib/docs/2016/november/tradoc_155095.pdf" TargetMode="External"/><Relationship Id="rId16" Type="http://schemas.openxmlformats.org/officeDocument/2006/relationships/hyperlink" Target="http://eur-lex.europa.eu/legal-content/EN/TXT/PDF/?uri=CELEX:52017DC0585&amp;from=EN" TargetMode="External"/><Relationship Id="rId1" Type="http://schemas.openxmlformats.org/officeDocument/2006/relationships/hyperlink" Target="http://data.consilium.europa.eu/doc/document/ST-6891-2013-ADD-1-DCL-1/en/pdf" TargetMode="External"/><Relationship Id="rId6" Type="http://schemas.openxmlformats.org/officeDocument/2006/relationships/hyperlink" Target="http://trade.ec.europa.eu/doclib/docs/2017/december/tradoc_156520.pdf" TargetMode="External"/><Relationship Id="rId11" Type="http://schemas.openxmlformats.org/officeDocument/2006/relationships/hyperlink" Target="http://trade.ec.europa.eu/doclib/docs/2017/january/tradoc_155242.pdf" TargetMode="External"/><Relationship Id="rId5" Type="http://schemas.openxmlformats.org/officeDocument/2006/relationships/hyperlink" Target="http://trade.ec.europa.eu/doclib/docs/2016/april/tradoc_154466.pdf" TargetMode="External"/><Relationship Id="rId15" Type="http://schemas.openxmlformats.org/officeDocument/2006/relationships/hyperlink" Target="http://ec.europa.eu/trade/policy/countries-and-regions/countries/chile/" TargetMode="External"/><Relationship Id="rId10" Type="http://schemas.openxmlformats.org/officeDocument/2006/relationships/hyperlink" Target="http://trade.ec.europa.eu/doclib/press/index.cfm?id=1437" TargetMode="External"/><Relationship Id="rId4" Type="http://schemas.openxmlformats.org/officeDocument/2006/relationships/hyperlink" Target="http://trade.ec.europa.eu/doclib/docs/2017/april/tradoc_155469.pdf" TargetMode="External"/><Relationship Id="rId9" Type="http://schemas.openxmlformats.org/officeDocument/2006/relationships/hyperlink" Target="http://trade.ec.europa.eu/doclib/docs/2017/april/tradoc_155507.pdf" TargetMode="External"/><Relationship Id="rId14" Type="http://schemas.openxmlformats.org/officeDocument/2006/relationships/hyperlink" Target="http://ec.europa.eu/trade/policy/countries-and-regions/countries/ch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200B7839-B70B-4F46-A2A8-7D603EFE09D2}">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10</ap:Pages>
  <ap:Words>5688</ap:Words>
  <ap:Characters>31284</ap:Characters>
  <ap:DocSecurity>0</ap:DocSecurity>
  <ap:Lines>260</ap:Lines>
  <ap:Paragraphs>73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Bijlage 1 voortgangsrapportage handelsakkoorden mei 2018</vt:lpstr>
      <vt:lpstr>Bijlage 1 voortgangsrapportage handelsakkoorden februari 2018</vt:lpstr>
    </vt:vector>
  </ap:TitlesOfParts>
  <ap:LinksUpToDate>false</ap:LinksUpToDate>
  <ap:CharactersWithSpaces>36899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2017-09-28T09:18:00.0000000Z</lastPrinted>
  <dcterms:created xsi:type="dcterms:W3CDTF">2018-05-09T10:23:00.0000000Z</dcterms:created>
  <dcterms:modified xsi:type="dcterms:W3CDTF">2018-05-09T10:23:00.0000000Z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PScript5.dll Version 5.2.2</vt:lpwstr>
  </property>
  <property fmtid="{D5CDD505-2E9C-101B-9397-08002B2CF9AE}" pid="4" name="LastSaved">
    <vt:filetime>2017-09-19T00:00:00Z</vt:filetime>
  </property>
  <property fmtid="{D5CDD505-2E9C-101B-9397-08002B2CF9AE}" pid="5" name="ContentTypeId">
    <vt:lpwstr>0x0101000CF3857B7A1CFB41AFAF59585EE51A70</vt:lpwstr>
  </property>
  <property fmtid="{D5CDD505-2E9C-101B-9397-08002B2CF9AE}" pid="6" name="BZ_Forum">
    <vt:lpwstr>3;#RBZ|9ab59c09-4fde-4d79-aca5-202222d30e08</vt:lpwstr>
  </property>
  <property fmtid="{D5CDD505-2E9C-101B-9397-08002B2CF9AE}" pid="7" name="BZ_Country">
    <vt:lpwstr>2;#Not applicable|ec01d90b-9d0f-4785-8785-e1ea615196bf</vt:lpwstr>
  </property>
  <property fmtid="{D5CDD505-2E9C-101B-9397-08002B2CF9AE}" pid="8" name="BZ_Theme">
    <vt:lpwstr>1;#Trade policy|b9fa3ffc-5597-4a84-a9df-28e6349298d4</vt:lpwstr>
  </property>
  <property fmtid="{D5CDD505-2E9C-101B-9397-08002B2CF9AE}" pid="9" name="BZ_Classification">
    <vt:lpwstr>5;#Unclassified|d92c6340-bc14-4cb2-a9a6-6deda93c493b</vt:lpwstr>
  </property>
  <property fmtid="{D5CDD505-2E9C-101B-9397-08002B2CF9AE}" pid="10" name="_dlc_DocIdItemGuid">
    <vt:lpwstr>ac32c9b5-b650-4ef4-9a35-77490c1f8722</vt:lpwstr>
  </property>
  <property fmtid="{D5CDD505-2E9C-101B-9397-08002B2CF9AE}" pid="11" name="_docset_NoMedatataSyncRequired">
    <vt:lpwstr>False</vt:lpwstr>
  </property>
  <property fmtid="{D5CDD505-2E9C-101B-9397-08002B2CF9AE}" pid="12" name="ga509c7afcac4f5cb939db754ffece25">
    <vt:lpwstr>Unclassified|d92c6340-bc14-4cb2-a9a6-6deda93c493b</vt:lpwstr>
  </property>
  <property fmtid="{D5CDD505-2E9C-101B-9397-08002B2CF9AE}" pid="13" name="a45510494d1a450e9cee6905c7ad8168">
    <vt:lpwstr>Not applicable|ec01d90b-9d0f-4785-8785-e1ea615196bf</vt:lpwstr>
  </property>
</Properties>
</file>