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09" w:rsidRDefault="000C6745" w14:paraId="41AF8766" w14:textId="77777777">
      <w:r>
        <w:t>Rondetafelgesprek Evaluatie van het FTK,</w:t>
      </w:r>
    </w:p>
    <w:p w:rsidR="000C6745" w:rsidRDefault="000C6745" w14:paraId="05EA3923" w14:textId="77777777">
      <w:r>
        <w:t xml:space="preserve">Tweede Kamer, 17 mei 2018 </w:t>
      </w:r>
    </w:p>
    <w:p w:rsidR="000C6745" w:rsidRDefault="000C6745" w14:paraId="059EA878" w14:textId="4897A7A3">
      <w:r>
        <w:t>Inbreng Jean Frijns</w:t>
      </w:r>
      <w:r w:rsidR="009B23D7">
        <w:t xml:space="preserve">, versie </w:t>
      </w:r>
      <w:r w:rsidR="00E725A9">
        <w:t>7</w:t>
      </w:r>
      <w:bookmarkStart w:name="_GoBack" w:id="0"/>
      <w:bookmarkEnd w:id="0"/>
      <w:r w:rsidR="00C16846">
        <w:t xml:space="preserve"> </w:t>
      </w:r>
      <w:r w:rsidR="0083659C">
        <w:t xml:space="preserve">mei </w:t>
      </w:r>
      <w:r w:rsidR="00203EE3">
        <w:t xml:space="preserve"> </w:t>
      </w:r>
    </w:p>
    <w:p w:rsidR="000C6745" w:rsidRDefault="000C6745" w14:paraId="32B1B246" w14:textId="77777777"/>
    <w:p w:rsidR="000C6745" w:rsidRDefault="000C6745" w14:paraId="36591B01" w14:textId="77777777"/>
    <w:p w:rsidR="000C6745" w:rsidRDefault="000C6745" w14:paraId="136DD1FA" w14:textId="71D098EB">
      <w:r>
        <w:t>Mijn inbreng is</w:t>
      </w:r>
      <w:r w:rsidR="009E2704">
        <w:t xml:space="preserve"> in de vorm van</w:t>
      </w:r>
      <w:r w:rsidR="00EB65B0">
        <w:t xml:space="preserve"> </w:t>
      </w:r>
      <w:r w:rsidR="00CF4674">
        <w:t>drie</w:t>
      </w:r>
      <w:r w:rsidR="009E2704">
        <w:t xml:space="preserve"> </w:t>
      </w:r>
      <w:r w:rsidR="00EB65B0">
        <w:t xml:space="preserve">observaties en </w:t>
      </w:r>
      <w:r w:rsidR="009E2704">
        <w:t>stellingen</w:t>
      </w:r>
      <w:r w:rsidR="00632504">
        <w:t xml:space="preserve"> </w:t>
      </w:r>
    </w:p>
    <w:p w:rsidR="009E2704" w:rsidRDefault="009E2704" w14:paraId="771D2AC6" w14:textId="77777777"/>
    <w:p w:rsidR="009E2704" w:rsidRDefault="009E2704" w14:paraId="34FEEEA8" w14:textId="77777777"/>
    <w:p w:rsidR="009E2704" w:rsidP="001D76AC" w:rsidRDefault="001D76AC" w14:paraId="33167F45" w14:textId="24F0C72B">
      <w:pPr>
        <w:pStyle w:val="ListParagraph"/>
        <w:numPr>
          <w:ilvl w:val="0"/>
          <w:numId w:val="1"/>
        </w:numPr>
      </w:pPr>
      <w:r>
        <w:t>De missie van een pensioenfonds is het realiseren van een goed en betaalbaar pensioen. Dat vereist het nemen van beleggingsrisico’s</w:t>
      </w:r>
      <w:r w:rsidRPr="001D76AC">
        <w:t xml:space="preserve">. </w:t>
      </w:r>
      <w:r w:rsidRPr="001D76AC" w:rsidR="009E2704">
        <w:t xml:space="preserve"> </w:t>
      </w:r>
      <w:r w:rsidRPr="001D76AC">
        <w:t>De communis opinio in Nederland is dat kapitaaldekking superieur is aan omslag omdat kapitaaldekking goedkoper is; dat is alleen maar waar als pensioenfondsen voldoende risico nemen. Bij een mix met minder dan 20% in aandelen is omslag waarschijnlijk goedkoper.  De risico’s in een pensioenfonds liggen bij de deelnemers; de tijd dat de werkgever als een groot deel van de risico’s op zich nam ligt achter ons.</w:t>
      </w:r>
    </w:p>
    <w:p w:rsidRPr="001D76AC" w:rsidR="00CF4674" w:rsidP="00CF4674" w:rsidRDefault="00CF4674" w14:paraId="15ACFA8B" w14:textId="77777777">
      <w:pPr>
        <w:pStyle w:val="ListParagraph"/>
        <w:ind w:left="360"/>
      </w:pPr>
    </w:p>
    <w:p w:rsidR="00E50A01" w:rsidP="00CF4674" w:rsidRDefault="001D76AC" w14:paraId="75060034" w14:textId="283DDC5A">
      <w:pPr>
        <w:ind w:left="360"/>
      </w:pPr>
      <w:r>
        <w:t xml:space="preserve">In het FTK ligt de nadruk op het nominale deel. Dat is </w:t>
      </w:r>
      <w:r w:rsidR="00CF4674">
        <w:t xml:space="preserve">op zich </w:t>
      </w:r>
      <w:r>
        <w:t xml:space="preserve">moeilijk te begrijpen daar </w:t>
      </w:r>
      <w:r w:rsidR="00CF4674">
        <w:t xml:space="preserve">over een lange periode bezien </w:t>
      </w:r>
      <w:r>
        <w:t>een</w:t>
      </w:r>
      <w:r w:rsidR="009E2704">
        <w:t xml:space="preserve"> </w:t>
      </w:r>
      <w:r>
        <w:t xml:space="preserve">groot deel van </w:t>
      </w:r>
      <w:r w:rsidR="009B23D7">
        <w:t xml:space="preserve">het beoogde pensioenresultaat bestaat uit opgebouwde indexatie; dat deel is geheel afhankelijk van </w:t>
      </w:r>
      <w:r w:rsidR="00CF4674">
        <w:t xml:space="preserve">de mogelijkheid een voldoende hoog rendement te behalen. Een te </w:t>
      </w:r>
      <w:r w:rsidR="0070391A">
        <w:t>streng toezicht</w:t>
      </w:r>
      <w:r w:rsidR="009B23D7">
        <w:t xml:space="preserve">regiem </w:t>
      </w:r>
      <w:r w:rsidR="00CE669B">
        <w:t>ontmoedigt het neme</w:t>
      </w:r>
      <w:r>
        <w:t>n</w:t>
      </w:r>
      <w:r w:rsidR="00CE669B">
        <w:t xml:space="preserve"> van risico’s</w:t>
      </w:r>
      <w:r w:rsidR="009B23D7">
        <w:t xml:space="preserve">. De vraag is wie daarbij gebaat is. </w:t>
      </w:r>
      <w:r w:rsidR="009E2704">
        <w:t xml:space="preserve">Gevolg </w:t>
      </w:r>
      <w:r w:rsidR="005C03EC">
        <w:t xml:space="preserve">van </w:t>
      </w:r>
      <w:r w:rsidR="00CF4674">
        <w:t>een laag</w:t>
      </w:r>
      <w:r w:rsidR="00632FE3">
        <w:t xml:space="preserve"> risico</w:t>
      </w:r>
      <w:r w:rsidR="00CF4674">
        <w:t>profiel</w:t>
      </w:r>
      <w:r w:rsidR="00632FE3">
        <w:t xml:space="preserve"> </w:t>
      </w:r>
      <w:r w:rsidR="009E2704">
        <w:t>is dat pensioenstelsel</w:t>
      </w:r>
      <w:r w:rsidR="00CF4674">
        <w:t xml:space="preserve"> te  duur</w:t>
      </w:r>
      <w:r w:rsidR="009E2704">
        <w:t xml:space="preserve"> wordt en/of dat pensioen ontoereikend is (armoedefuik)</w:t>
      </w:r>
      <w:r w:rsidR="005C03EC">
        <w:t>.</w:t>
      </w:r>
    </w:p>
    <w:p w:rsidR="000056BB" w:rsidP="000056BB" w:rsidRDefault="000056BB" w14:paraId="2DD2CCDF" w14:textId="77777777">
      <w:pPr>
        <w:pStyle w:val="ListParagraph"/>
        <w:ind w:left="360"/>
      </w:pPr>
    </w:p>
    <w:p w:rsidR="000056BB" w:rsidP="000056BB" w:rsidRDefault="000056BB" w14:paraId="0B0A6127" w14:textId="77777777">
      <w:pPr>
        <w:pStyle w:val="ListParagraph"/>
        <w:ind w:left="360"/>
      </w:pPr>
    </w:p>
    <w:p w:rsidR="00E50A01" w:rsidP="00E50A01" w:rsidRDefault="00E768E9" w14:paraId="5BC9B968" w14:textId="04DCC274">
      <w:pPr>
        <w:pStyle w:val="ListParagraph"/>
        <w:numPr>
          <w:ilvl w:val="0"/>
          <w:numId w:val="1"/>
        </w:numPr>
      </w:pPr>
      <w:r>
        <w:t>De mogelijkheden tot risicospreiding binnen</w:t>
      </w:r>
      <w:r w:rsidR="000056BB">
        <w:t xml:space="preserve"> een pensioenfonds zijn beperkt:</w:t>
      </w:r>
      <w:r>
        <w:t xml:space="preserve"> schokken in rendement, rente of macro levensverwachting treffen iedereen. Wat wel wenselijk</w:t>
      </w:r>
      <w:r w:rsidR="00F33F3B">
        <w:t xml:space="preserve"> is</w:t>
      </w:r>
      <w:r w:rsidR="00280825">
        <w:t xml:space="preserve"> - </w:t>
      </w:r>
      <w:r w:rsidR="00EB65B0">
        <w:t>en afhankelijk van de vormg</w:t>
      </w:r>
      <w:r w:rsidR="00280825">
        <w:t xml:space="preserve">eving van de regeling </w:t>
      </w:r>
      <w:r w:rsidR="000056BB">
        <w:t xml:space="preserve">ook </w:t>
      </w:r>
      <w:r w:rsidR="00280825">
        <w:t>mogelijk -</w:t>
      </w:r>
      <w:r>
        <w:t xml:space="preserve"> is het uitsmeren van schokken over de resterende looptijd van het individu</w:t>
      </w:r>
      <w:r w:rsidR="00EB65B0">
        <w:t>.</w:t>
      </w:r>
      <w:r>
        <w:t xml:space="preserve"> </w:t>
      </w:r>
      <w:r w:rsidR="00AA3751">
        <w:t xml:space="preserve">Intergenerationele risicodeling vergroot het risicodraagvlak </w:t>
      </w:r>
      <w:r w:rsidR="00EB65B0">
        <w:t xml:space="preserve">verder </w:t>
      </w:r>
      <w:r w:rsidR="00AA3751">
        <w:t xml:space="preserve">maar stelt hoge eisen aan </w:t>
      </w:r>
      <w:r w:rsidR="00EB65B0">
        <w:t xml:space="preserve">de </w:t>
      </w:r>
      <w:r w:rsidR="00AA3751">
        <w:t>duurzaamheid</w:t>
      </w:r>
      <w:r w:rsidR="00F33F3B">
        <w:t xml:space="preserve"> en de gepercipieerde fairness </w:t>
      </w:r>
      <w:r w:rsidR="00AA3751">
        <w:t xml:space="preserve"> </w:t>
      </w:r>
      <w:r w:rsidR="00EB65B0">
        <w:t xml:space="preserve">van het </w:t>
      </w:r>
      <w:r w:rsidR="00AA3751">
        <w:t xml:space="preserve">stelsel.  </w:t>
      </w:r>
      <w:r w:rsidR="006976F5">
        <w:t xml:space="preserve">Het vertrouwen in het stelsel is dus cruciaal en de intentie van de wetgever is om daar met een streng toezichtkader een bijdrage aan te leveren. </w:t>
      </w:r>
      <w:r w:rsidR="00622678">
        <w:t xml:space="preserve">Het is voor mij een open vraag of het FTK </w:t>
      </w:r>
      <w:r w:rsidR="006976F5">
        <w:t>daarin slaagt.</w:t>
      </w:r>
      <w:r w:rsidR="00E50A01">
        <w:t xml:space="preserve"> </w:t>
      </w:r>
      <w:r w:rsidR="00CF4674">
        <w:t xml:space="preserve">Het FTK </w:t>
      </w:r>
      <w:r w:rsidR="00E50A01">
        <w:t xml:space="preserve"> </w:t>
      </w:r>
      <w:r w:rsidR="00CF4674">
        <w:t xml:space="preserve">is sterk gericht op het beheersen van neerwaartse risico’s (“ten allen tijde </w:t>
      </w:r>
      <w:r w:rsidR="001F73E4">
        <w:t>solvabel”)</w:t>
      </w:r>
      <w:r w:rsidR="00CF4674">
        <w:t xml:space="preserve"> </w:t>
      </w:r>
      <w:r w:rsidR="00E50A01">
        <w:t xml:space="preserve"> </w:t>
      </w:r>
      <w:r w:rsidR="001F73E4">
        <w:t xml:space="preserve">en dat voedt de </w:t>
      </w:r>
      <w:r w:rsidR="00E50A01">
        <w:t xml:space="preserve">risico-afkeer </w:t>
      </w:r>
      <w:r w:rsidR="001F73E4">
        <w:t>van de deelnemers en</w:t>
      </w:r>
      <w:r w:rsidR="000056BB">
        <w:t xml:space="preserve"> van</w:t>
      </w:r>
      <w:r w:rsidR="001F73E4">
        <w:t xml:space="preserve"> besturen van </w:t>
      </w:r>
      <w:r w:rsidR="00E50A01">
        <w:t>pensioenfonds</w:t>
      </w:r>
      <w:r w:rsidR="001F73E4">
        <w:t>en.</w:t>
      </w:r>
      <w:r w:rsidR="00E50A01">
        <w:t xml:space="preserve"> </w:t>
      </w:r>
      <w:r w:rsidR="001F73E4">
        <w:t>Ook is</w:t>
      </w:r>
      <w:r w:rsidR="00E50A01">
        <w:t xml:space="preserve"> de vraag of het FTK </w:t>
      </w:r>
      <w:r w:rsidR="009A4A84">
        <w:t xml:space="preserve">een </w:t>
      </w:r>
      <w:r w:rsidR="00622678">
        <w:t xml:space="preserve">evenwichtige belangenafweging tussen de generaties </w:t>
      </w:r>
      <w:r w:rsidR="009A4A84">
        <w:t>ondersteunt?</w:t>
      </w:r>
      <w:r w:rsidR="00E50A01">
        <w:t xml:space="preserve"> </w:t>
      </w:r>
    </w:p>
    <w:p w:rsidR="00E50A01" w:rsidP="00E50A01" w:rsidRDefault="00E50A01" w14:paraId="345D08C0" w14:textId="77777777"/>
    <w:p w:rsidR="00EC1A29" w:rsidP="00EC1A29" w:rsidRDefault="00622678" w14:paraId="54FBE3B7" w14:textId="1233C502">
      <w:pPr>
        <w:pStyle w:val="ListParagraph"/>
        <w:numPr>
          <w:ilvl w:val="1"/>
          <w:numId w:val="1"/>
        </w:numPr>
      </w:pPr>
      <w:r>
        <w:t>De gekozen waarderingssystematiek voor de pensioentoezegging leidt tot grote swings in de opbouw van de balanswaarde van de pensioentoezeggingen naar leeftijdscategorie.</w:t>
      </w:r>
      <w:r w:rsidR="00E10B22">
        <w:t xml:space="preserve"> Door de neiging om de balanswaarde gelijk te stellen aan claims op het vermogen krijgt dit een extra emotionele lading.</w:t>
      </w:r>
      <w:r>
        <w:t xml:space="preserve"> </w:t>
      </w:r>
      <w:r w:rsidR="00E50A01">
        <w:t xml:space="preserve">Naar mijn mening zou het de voorkeur hebben meer stabiliteit </w:t>
      </w:r>
      <w:r w:rsidR="00E10B22">
        <w:t>in de waardering aan te brengen: zie ook punt III</w:t>
      </w:r>
    </w:p>
    <w:p w:rsidR="00EC1A29" w:rsidP="00EC1A29" w:rsidRDefault="00622678" w14:paraId="398AFE58" w14:textId="19D6DD64">
      <w:pPr>
        <w:pStyle w:val="ListParagraph"/>
        <w:numPr>
          <w:ilvl w:val="1"/>
          <w:numId w:val="1"/>
        </w:numPr>
      </w:pPr>
      <w:r>
        <w:t xml:space="preserve">Asymmetrische buffers en dubbele boekhouding (twee verschillende rekenrentes) zijn moeilijk te zien als voorbeeld van evenwichtige </w:t>
      </w:r>
      <w:r>
        <w:lastRenderedPageBreak/>
        <w:t xml:space="preserve">behandeling jong en oud. </w:t>
      </w:r>
      <w:r w:rsidR="001B7E09">
        <w:t>De eis dat de buffer niet negatief mag worden betekent in feite dat ouderen betalen voor de opbouw van de buffer, bijvoorbeeld door af te zien van indexatie, zonder er ooit iets voor terug te zien. De</w:t>
      </w:r>
      <w:r w:rsidR="00E3711D">
        <w:t xml:space="preserve"> solidariteit gaat dus maar een kant op</w:t>
      </w:r>
      <w:r w:rsidR="00E3711D">
        <w:rPr>
          <w:rStyle w:val="EndnoteReference"/>
        </w:rPr>
        <w:endnoteReference w:id="1"/>
      </w:r>
      <w:r w:rsidR="001B7E09">
        <w:t xml:space="preserve">. </w:t>
      </w:r>
      <w:r w:rsidR="00EC1A29">
        <w:t>Even</w:t>
      </w:r>
      <w:r w:rsidR="000056BB">
        <w:t>zo is de mogelijkheid de premie te bepalen op een basis van een rekenrente die beduidend hoger is dan di</w:t>
      </w:r>
      <w:r w:rsidR="00E725A9">
        <w:t>e</w:t>
      </w:r>
      <w:r w:rsidR="000056BB">
        <w:t xml:space="preserve"> gebruikt wordt voor de balanswaardering van het toegezegde pensioen moeilijk uit te leggen. Het betekent dat veel pensioenfondsen jaar na jaar een verlies maken op hun nieuwe toezeggingen. Dat verlies leidt tot een lagere dekkingsgraad en in de huidige situatie nog verder uitstellen van indexatie</w:t>
      </w:r>
      <w:r w:rsidR="00EC1A29">
        <w:rPr>
          <w:rStyle w:val="EndnoteReference"/>
        </w:rPr>
        <w:endnoteReference w:id="2"/>
      </w:r>
      <w:r w:rsidR="000056BB">
        <w:t>.</w:t>
      </w:r>
    </w:p>
    <w:p w:rsidR="00622678" w:rsidP="00EC1A29" w:rsidRDefault="00280825" w14:paraId="0E0F5DED" w14:textId="77FC25B3">
      <w:pPr>
        <w:pStyle w:val="ListParagraph"/>
        <w:ind w:left="1080"/>
      </w:pPr>
      <w:r>
        <w:tab/>
      </w:r>
    </w:p>
    <w:p w:rsidR="00F33F3B" w:rsidP="000056BB" w:rsidRDefault="00263B14" w14:paraId="74E1A7F6" w14:textId="469F84BE">
      <w:r>
        <w:t xml:space="preserve">De vormgeving van risicospreiding </w:t>
      </w:r>
      <w:r w:rsidR="00EB65B0">
        <w:t xml:space="preserve">wordt in hoge mate gedicteerd door het </w:t>
      </w:r>
      <w:r w:rsidR="00F33F3B">
        <w:t>gekozen model</w:t>
      </w:r>
      <w:r w:rsidR="00EB65B0">
        <w:t>.</w:t>
      </w:r>
      <w:r w:rsidR="00F33F3B">
        <w:t xml:space="preserve"> Binnen het bestek van </w:t>
      </w:r>
      <w:r w:rsidR="000056BB">
        <w:t>deze notitie</w:t>
      </w:r>
      <w:r w:rsidR="00F33F3B">
        <w:t xml:space="preserve"> </w:t>
      </w:r>
      <w:r w:rsidR="000056BB">
        <w:t xml:space="preserve">is geen ruimte om in te gaan </w:t>
      </w:r>
      <w:r w:rsidR="00F33F3B">
        <w:t>op alternatieven voor het huidige collectieve stelsel</w:t>
      </w:r>
      <w:r w:rsidR="00E10B22">
        <w:t xml:space="preserve"> zoals het door de SER voorgestelde systeem van individuele pensioenpotten. De hamvraag is of dit nieuwe stelsel het nemen van beleggingsrisico’s niet juist ontmoedigt. </w:t>
      </w:r>
      <w:r w:rsidR="00280825">
        <w:t>Zie voor een kritische bespreking van de</w:t>
      </w:r>
      <w:r w:rsidR="00E10B22">
        <w:t>ze</w:t>
      </w:r>
      <w:r w:rsidR="00280825">
        <w:t xml:space="preserve"> SER voorstellen </w:t>
      </w:r>
      <w:r w:rsidR="00E10B22">
        <w:t>het artikel</w:t>
      </w:r>
      <w:r w:rsidR="00EC1A29">
        <w:t xml:space="preserve"> van H de Jo</w:t>
      </w:r>
      <w:r w:rsidR="00E10B22">
        <w:t>n</w:t>
      </w:r>
      <w:r w:rsidR="00280825">
        <w:t>g</w:t>
      </w:r>
      <w:r w:rsidR="00625BB7">
        <w:t>, “De hervormingen van een goed pensioenstelsel”,</w:t>
      </w:r>
      <w:r w:rsidR="00280825">
        <w:t xml:space="preserve"> in Me Judice. </w:t>
      </w:r>
    </w:p>
    <w:p w:rsidR="00F33F3B" w:rsidP="00F33F3B" w:rsidRDefault="00F33F3B" w14:paraId="32A3C7AC" w14:textId="77777777"/>
    <w:p w:rsidR="009E2704" w:rsidP="00F33F3B" w:rsidRDefault="00EC1A29" w14:paraId="2968F108" w14:textId="25DA14D4">
      <w:pPr>
        <w:pStyle w:val="ListParagraph"/>
        <w:numPr>
          <w:ilvl w:val="0"/>
          <w:numId w:val="1"/>
        </w:numPr>
      </w:pPr>
      <w:r>
        <w:t>Een steeds terugkerend punt in de kritiek op het FTK is keuze</w:t>
      </w:r>
      <w:r w:rsidR="009E2704">
        <w:t xml:space="preserve"> </w:t>
      </w:r>
      <w:r>
        <w:t>voor de risicovrije marktrente als</w:t>
      </w:r>
      <w:r w:rsidR="009E2704">
        <w:t xml:space="preserve"> </w:t>
      </w:r>
      <w:r>
        <w:t xml:space="preserve">rekenrente. Deze </w:t>
      </w:r>
      <w:r w:rsidR="001F73E4">
        <w:t xml:space="preserve">keuze </w:t>
      </w:r>
      <w:r>
        <w:t xml:space="preserve">is </w:t>
      </w:r>
      <w:r w:rsidR="001F73E4">
        <w:t xml:space="preserve">inderdaad </w:t>
      </w:r>
      <w:r w:rsidR="009E2704">
        <w:t>ongelukkig</w:t>
      </w:r>
      <w:r w:rsidRPr="00BF0F81" w:rsidR="00BF0F81">
        <w:t xml:space="preserve"> </w:t>
      </w:r>
    </w:p>
    <w:p w:rsidR="0099638F" w:rsidP="00BF0F81" w:rsidRDefault="00E10B22" w14:paraId="38336A83" w14:textId="62F80311">
      <w:pPr>
        <w:pStyle w:val="ListParagraph"/>
        <w:numPr>
          <w:ilvl w:val="1"/>
          <w:numId w:val="1"/>
        </w:numPr>
      </w:pPr>
      <w:r>
        <w:t>Te</w:t>
      </w:r>
      <w:r w:rsidR="005834FD">
        <w:t>n tijde van de introductie FTK ‘</w:t>
      </w:r>
      <w:r>
        <w:t xml:space="preserve">beet het </w:t>
      </w:r>
      <w:r w:rsidR="005834FD">
        <w:t>niet’</w:t>
      </w:r>
      <w:r>
        <w:t xml:space="preserve"> omdat het alleen streng was ten aanzien van het nominale deel. </w:t>
      </w:r>
      <w:r w:rsidR="005D3D47">
        <w:t xml:space="preserve">Het vermogen was ruimschoots hoger dan de nominale pensioenaanspraken. </w:t>
      </w:r>
      <w:r w:rsidR="0099638F">
        <w:t xml:space="preserve">Door </w:t>
      </w:r>
      <w:r>
        <w:t xml:space="preserve">de </w:t>
      </w:r>
      <w:r w:rsidR="00EB5278">
        <w:t xml:space="preserve">situatie van </w:t>
      </w:r>
      <w:r>
        <w:t>lage inflatie en de extreem lage rente</w:t>
      </w:r>
      <w:r w:rsidR="00EB5278">
        <w:t>s</w:t>
      </w:r>
      <w:r>
        <w:t xml:space="preserve"> is d</w:t>
      </w:r>
      <w:r w:rsidR="005D3D47">
        <w:t xml:space="preserve">e dekkingsgraad ondanks de forse stijging van het vermogen fors gedaald. De lage dekkingsgraad </w:t>
      </w:r>
      <w:r w:rsidR="00DE3D70">
        <w:t>ontmoedigt het nemen van beleggingsrisico</w:t>
      </w:r>
      <w:r w:rsidR="005D3D47">
        <w:t>’</w:t>
      </w:r>
      <w:r w:rsidR="00DE3D70">
        <w:t>s</w:t>
      </w:r>
      <w:r w:rsidR="001F73E4">
        <w:t xml:space="preserve">. </w:t>
      </w:r>
    </w:p>
    <w:p w:rsidR="00EB5278" w:rsidP="00EB5278" w:rsidRDefault="00E10B22" w14:paraId="11AFAA35" w14:textId="2403D7FE">
      <w:pPr>
        <w:pStyle w:val="ListParagraph"/>
        <w:numPr>
          <w:ilvl w:val="1"/>
          <w:numId w:val="1"/>
        </w:numPr>
      </w:pPr>
      <w:r>
        <w:t xml:space="preserve">De </w:t>
      </w:r>
      <w:r w:rsidR="00EB5278">
        <w:t xml:space="preserve">introductie van een vaste eindrente (UFR) </w:t>
      </w:r>
      <w:r w:rsidR="001F73E4">
        <w:t>door EIOPA was een stap in de g</w:t>
      </w:r>
      <w:r w:rsidR="00EB5278">
        <w:t>o</w:t>
      </w:r>
      <w:r w:rsidR="001F73E4">
        <w:t>e</w:t>
      </w:r>
      <w:r w:rsidR="00EB5278">
        <w:t xml:space="preserve">de richting. De keuze voor een eigen UFR-NL is in dit verband </w:t>
      </w:r>
      <w:r w:rsidR="005D3D47">
        <w:t>te betreuren</w:t>
      </w:r>
      <w:r w:rsidR="00EB5278">
        <w:rPr>
          <w:rStyle w:val="EndnoteReference"/>
        </w:rPr>
        <w:endnoteReference w:id="3"/>
      </w:r>
      <w:r w:rsidR="00EB5278">
        <w:t>.</w:t>
      </w:r>
      <w:r w:rsidRPr="00F1744D" w:rsidR="00EB5278">
        <w:t xml:space="preserve"> </w:t>
      </w:r>
      <w:r w:rsidR="00EB5278">
        <w:t xml:space="preserve">Deze UFR is afgeleid van de actuele rentecurve en betekent meer renterisico dan onder de UFR voorgesteld door EIOPA. </w:t>
      </w:r>
      <w:r w:rsidR="00E3711D">
        <w:t>Gelet op het mi</w:t>
      </w:r>
      <w:r w:rsidR="005D3D47">
        <w:t>n of meer vast liggen van het totale risicobudget berekent dat nog minder ruimte voor het nemen van beleggingsrisico’s.</w:t>
      </w:r>
    </w:p>
    <w:p w:rsidR="00E10B22" w:rsidP="00E10B22" w:rsidRDefault="00E10B22" w14:paraId="02595120" w14:textId="4F9AB13B">
      <w:pPr>
        <w:pStyle w:val="ListParagraph"/>
        <w:numPr>
          <w:ilvl w:val="1"/>
          <w:numId w:val="1"/>
        </w:numPr>
      </w:pPr>
      <w:r>
        <w:t>De rente is een relevant lange termijn risico; dat geldt zowel in opwaartse als in neerwaartse richting</w:t>
      </w:r>
      <w:r w:rsidR="005D3D47">
        <w:rPr>
          <w:rStyle w:val="EndnoteReference"/>
        </w:rPr>
        <w:endnoteReference w:id="4"/>
      </w:r>
      <w:r w:rsidR="005D3D47">
        <w:t>.</w:t>
      </w:r>
      <w:r>
        <w:t xml:space="preserve"> Het FTK stimuleert het vastleggen (insluiten) van de rente zeer ver vooruit op het actuele renteniveau. Bij de huidige zeer lage rente is dat niet verstandig</w:t>
      </w:r>
      <w:r w:rsidR="00EB5278">
        <w:t xml:space="preserve">: bij de overgang naar een ander regiem met hogere inflatie zitten pensioenfondsen nog lang vast aan laagrentende beleggingen en verdwijnt de mogelijkheid van indexatie. Nominale zekerheid eindigt dan in zeker koopkrachtverlies. </w:t>
      </w:r>
    </w:p>
    <w:p w:rsidRPr="00EC1A29" w:rsidR="00C91044" w:rsidP="00C91044" w:rsidRDefault="001F702E" w14:paraId="30BED8DA" w14:textId="7D45F934">
      <w:pPr>
        <w:pStyle w:val="ListParagraph"/>
        <w:numPr>
          <w:ilvl w:val="1"/>
          <w:numId w:val="1"/>
        </w:numPr>
      </w:pPr>
      <w:r>
        <w:t>D</w:t>
      </w:r>
      <w:r w:rsidR="00E10B22">
        <w:t xml:space="preserve">e door het FTK voorgeschreven </w:t>
      </w:r>
      <w:r w:rsidR="00C91044">
        <w:t xml:space="preserve">waardering van de toezeggingen </w:t>
      </w:r>
      <w:r w:rsidR="00E10B22">
        <w:t xml:space="preserve">tegen een risicovrije rente </w:t>
      </w:r>
      <w:r w:rsidRPr="00EC1A29" w:rsidR="00E10B22">
        <w:t>is een prudenti</w:t>
      </w:r>
      <w:r w:rsidRPr="00EC1A29" w:rsidR="00E10B22">
        <w:rPr>
          <w:rFonts w:ascii="Cambria" w:hAnsi="Cambria"/>
        </w:rPr>
        <w:t>ë</w:t>
      </w:r>
      <w:r w:rsidRPr="00EC1A29" w:rsidR="00E10B22">
        <w:t>le waardering</w:t>
      </w:r>
      <w:r w:rsidR="00E10B22">
        <w:t xml:space="preserve"> </w:t>
      </w:r>
      <w:r w:rsidR="00C91044">
        <w:t>en</w:t>
      </w:r>
      <w:r w:rsidR="00CE669B">
        <w:t xml:space="preserve"> heeft</w:t>
      </w:r>
      <w:r w:rsidR="00C91044">
        <w:t xml:space="preserve"> met waardering tegen marktwaarde niet van doen.</w:t>
      </w:r>
      <w:r w:rsidRPr="00EC1A29" w:rsidR="00EC1A29">
        <w:rPr>
          <w:sz w:val="20"/>
          <w:szCs w:val="20"/>
        </w:rPr>
        <w:t xml:space="preserve"> </w:t>
      </w:r>
      <w:r w:rsidRPr="00EC1A29" w:rsidR="00EC1A29">
        <w:t>Voor een marktwaardering van de pensioentoezeggingen zou je rekening moeten houden met opslagen voor risico en illiquiditeit.</w:t>
      </w:r>
      <w:r w:rsidR="00E10B22">
        <w:t xml:space="preserve"> De vraag </w:t>
      </w:r>
      <w:r w:rsidR="000056BB">
        <w:t>blijft</w:t>
      </w:r>
      <w:r w:rsidR="00E10B22">
        <w:t xml:space="preserve"> </w:t>
      </w:r>
      <w:r w:rsidR="00DE3D70">
        <w:lastRenderedPageBreak/>
        <w:t xml:space="preserve">wat de toegevoegde waarde van marktwaarde van de toezeggingen binnen de context van een eigen risicodragend pensioenfonds is en </w:t>
      </w:r>
      <w:r w:rsidR="00E10B22">
        <w:t xml:space="preserve">of </w:t>
      </w:r>
      <w:r w:rsidR="00EB5278">
        <w:t xml:space="preserve">je niet naar een meer stabiele rekenrente </w:t>
      </w:r>
      <w:r w:rsidR="00DE3D70">
        <w:t xml:space="preserve">afgeleid van het verwachte rendement </w:t>
      </w:r>
      <w:r w:rsidR="00EB5278">
        <w:t>moet streven</w:t>
      </w:r>
      <w:r w:rsidR="005D3D47">
        <w:t>?</w:t>
      </w:r>
      <w:r w:rsidR="00E10B22">
        <w:t xml:space="preserve"> </w:t>
      </w:r>
    </w:p>
    <w:p w:rsidR="00F1744D" w:rsidP="00EC1A29" w:rsidRDefault="00D93B01" w14:paraId="718D3780" w14:textId="00500360">
      <w:pPr>
        <w:pStyle w:val="ListParagraph"/>
        <w:ind w:left="360"/>
      </w:pPr>
      <w:r>
        <w:t>Vanuit de notie dat het pensioenfonds een lange termijn horizon heeft is een relevante prudenti</w:t>
      </w:r>
      <w:r w:rsidR="0095168B">
        <w:rPr>
          <w:rFonts w:ascii="Cambria" w:hAnsi="Cambria"/>
        </w:rPr>
        <w:t>ë</w:t>
      </w:r>
      <w:r>
        <w:t>le standaard</w:t>
      </w:r>
      <w:r w:rsidR="00C91044">
        <w:t xml:space="preserve"> </w:t>
      </w:r>
      <w:r w:rsidR="00EB5278">
        <w:t xml:space="preserve">dat </w:t>
      </w:r>
      <w:r w:rsidR="00C91044">
        <w:t>de rekenrente</w:t>
      </w:r>
      <w:r w:rsidR="00D00241">
        <w:t xml:space="preserve"> </w:t>
      </w:r>
      <w:r w:rsidR="00EB5278">
        <w:t xml:space="preserve">plus beoogde indexatie lager is dan het </w:t>
      </w:r>
      <w:r w:rsidR="00BF0F81">
        <w:t>lange termijn gemiddelde re</w:t>
      </w:r>
      <w:r w:rsidR="005C03EC">
        <w:t>ndement</w:t>
      </w:r>
      <w:r w:rsidR="00EB5278">
        <w:t xml:space="preserve">. </w:t>
      </w:r>
      <w:r w:rsidR="00BF0F81">
        <w:t xml:space="preserve">Dat laat </w:t>
      </w:r>
      <w:r w:rsidR="00065E96">
        <w:t>enige</w:t>
      </w:r>
      <w:r w:rsidR="00BF0F81">
        <w:t xml:space="preserve"> ruimte voor het kiezen van een </w:t>
      </w:r>
      <w:r w:rsidR="00EB5278">
        <w:t>meer stabiele</w:t>
      </w:r>
      <w:r w:rsidR="00BF0F81">
        <w:t xml:space="preserve"> rekenrente</w:t>
      </w:r>
      <w:r w:rsidR="00065E96">
        <w:t>, zij het dat deze nooit erg hoog kan zijn</w:t>
      </w:r>
      <w:r w:rsidR="00BF0F81">
        <w:t xml:space="preserve">. </w:t>
      </w:r>
      <w:r w:rsidR="00EB5278">
        <w:t xml:space="preserve">Bij het vaststellen van deze rekenrente dient voorts rekening te worden gehouden met de verwachte vergrijzing van het fonds. </w:t>
      </w:r>
    </w:p>
    <w:p w:rsidR="002E3F60" w:rsidP="002E3F60" w:rsidRDefault="002E3F60" w14:paraId="740962AA" w14:textId="77777777">
      <w:pPr>
        <w:pStyle w:val="ListParagraph"/>
        <w:ind w:left="1080"/>
      </w:pPr>
    </w:p>
    <w:p w:rsidR="0087570A" w:rsidP="0087570A" w:rsidRDefault="0087570A" w14:paraId="7CD863B0" w14:textId="77777777">
      <w:pPr>
        <w:pStyle w:val="ListParagraph"/>
        <w:ind w:left="1080"/>
      </w:pPr>
    </w:p>
    <w:p w:rsidR="00EC1A29" w:rsidRDefault="00EC1A29" w14:paraId="6972AF0D" w14:textId="77777777"/>
    <w:sectPr w:rsidR="00EC1A29" w:rsidSect="00352209">
      <w:footnotePr>
        <w:pos w:val="beneathText"/>
        <w:numFmt w:val="lowerRoman"/>
      </w:footnotePr>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7DE77" w14:textId="77777777" w:rsidR="005834FD" w:rsidRDefault="005834FD" w:rsidP="009E2704">
      <w:r>
        <w:separator/>
      </w:r>
    </w:p>
  </w:endnote>
  <w:endnote w:type="continuationSeparator" w:id="0">
    <w:p w14:paraId="00CBBD45" w14:textId="77777777" w:rsidR="005834FD" w:rsidRDefault="005834FD" w:rsidP="009E2704">
      <w:r>
        <w:continuationSeparator/>
      </w:r>
    </w:p>
  </w:endnote>
  <w:endnote w:id="1">
    <w:p w14:paraId="45563E5A" w14:textId="37B55758" w:rsidR="00E3711D" w:rsidRPr="00E3711D" w:rsidRDefault="00E3711D">
      <w:pPr>
        <w:pStyle w:val="EndnoteText"/>
        <w:rPr>
          <w:sz w:val="20"/>
          <w:szCs w:val="20"/>
        </w:rPr>
      </w:pPr>
      <w:r>
        <w:rPr>
          <w:rStyle w:val="EndnoteReference"/>
        </w:rPr>
        <w:endnoteRef/>
      </w:r>
      <w:r>
        <w:t xml:space="preserve"> </w:t>
      </w:r>
      <w:r>
        <w:rPr>
          <w:sz w:val="20"/>
          <w:szCs w:val="20"/>
        </w:rPr>
        <w:t>Een gevolg van deze eenzijdige buffervorming is dat ouderen meer belang hebben bij een laag risico dan jongeren. Vanuit de missie van het pensioenfonds bezien is dat geen goede zaak.</w:t>
      </w:r>
    </w:p>
  </w:endnote>
  <w:endnote w:id="2">
    <w:p w14:paraId="244C4F5C" w14:textId="77777777" w:rsidR="005834FD" w:rsidRPr="00790599" w:rsidRDefault="005834FD" w:rsidP="00EC1A29">
      <w:pPr>
        <w:pStyle w:val="EndnoteText"/>
        <w:rPr>
          <w:sz w:val="20"/>
          <w:szCs w:val="20"/>
        </w:rPr>
      </w:pPr>
      <w:r w:rsidRPr="00790599">
        <w:rPr>
          <w:rStyle w:val="EndnoteReference"/>
          <w:sz w:val="20"/>
          <w:szCs w:val="20"/>
        </w:rPr>
        <w:endnoteRef/>
      </w:r>
      <w:r w:rsidRPr="00790599">
        <w:rPr>
          <w:sz w:val="20"/>
          <w:szCs w:val="20"/>
        </w:rPr>
        <w:t xml:space="preserve"> Voor de goede orde: ik bepleit geen systeem waarbij de kostprijspremie dwingend moet worden bepaa</w:t>
      </w:r>
      <w:r>
        <w:rPr>
          <w:sz w:val="20"/>
          <w:szCs w:val="20"/>
        </w:rPr>
        <w:t>l</w:t>
      </w:r>
      <w:r w:rsidRPr="00790599">
        <w:rPr>
          <w:sz w:val="20"/>
          <w:szCs w:val="20"/>
        </w:rPr>
        <w:t>d op basis van de risicovrije rente. Even slecht is ook gelijk maar een typisch voorbeeld van een blind geworden systeem dat geen rec</w:t>
      </w:r>
      <w:r>
        <w:rPr>
          <w:sz w:val="20"/>
          <w:szCs w:val="20"/>
        </w:rPr>
        <w:t>h</w:t>
      </w:r>
      <w:r w:rsidRPr="00790599">
        <w:rPr>
          <w:sz w:val="20"/>
          <w:szCs w:val="20"/>
        </w:rPr>
        <w:t>t doet aan de missie van een pensioenfonds.</w:t>
      </w:r>
      <w:r w:rsidRPr="00CE669B">
        <w:t xml:space="preserve"> </w:t>
      </w:r>
    </w:p>
  </w:endnote>
  <w:endnote w:id="3">
    <w:p w14:paraId="1B217378" w14:textId="78512F44" w:rsidR="005834FD" w:rsidRPr="00790599" w:rsidRDefault="005834FD" w:rsidP="00EB5278">
      <w:pPr>
        <w:pStyle w:val="EndnoteText"/>
        <w:rPr>
          <w:sz w:val="20"/>
          <w:szCs w:val="20"/>
        </w:rPr>
      </w:pPr>
      <w:r w:rsidRPr="00790599">
        <w:rPr>
          <w:rStyle w:val="EndnoteReference"/>
          <w:sz w:val="20"/>
          <w:szCs w:val="20"/>
        </w:rPr>
        <w:endnoteRef/>
      </w:r>
      <w:r w:rsidRPr="00790599">
        <w:rPr>
          <w:sz w:val="20"/>
          <w:szCs w:val="20"/>
        </w:rPr>
        <w:t xml:space="preserve"> Zie hiervoor het artikel van Frijns en Mensonides, </w:t>
      </w:r>
      <w:r>
        <w:rPr>
          <w:sz w:val="20"/>
          <w:szCs w:val="20"/>
        </w:rPr>
        <w:t>“</w:t>
      </w:r>
      <w:r w:rsidR="00E31D49">
        <w:rPr>
          <w:sz w:val="20"/>
          <w:szCs w:val="20"/>
        </w:rPr>
        <w:t>Stabiele pensioenen vereisen vaste rente op lange termijn</w:t>
      </w:r>
      <w:r>
        <w:rPr>
          <w:sz w:val="20"/>
          <w:szCs w:val="20"/>
        </w:rPr>
        <w:t>”, te verschijnen in ESB</w:t>
      </w:r>
    </w:p>
  </w:endnote>
  <w:endnote w:id="4">
    <w:p w14:paraId="64639D2F" w14:textId="77777777" w:rsidR="005834FD" w:rsidRPr="0008028A" w:rsidRDefault="005834FD" w:rsidP="005D3D47">
      <w:pPr>
        <w:pStyle w:val="EndnoteText"/>
        <w:rPr>
          <w:sz w:val="20"/>
          <w:szCs w:val="20"/>
        </w:rPr>
      </w:pPr>
      <w:r>
        <w:rPr>
          <w:rStyle w:val="EndnoteReference"/>
        </w:rPr>
        <w:endnoteRef/>
      </w:r>
      <w:r>
        <w:t xml:space="preserve"> </w:t>
      </w:r>
      <w:r w:rsidRPr="00CE669B">
        <w:rPr>
          <w:sz w:val="20"/>
          <w:szCs w:val="20"/>
        </w:rPr>
        <w:t>Het FTK heeft moeite met langdurige schokken in het lange termijn groeitempo en in het niveau van de re</w:t>
      </w:r>
      <w:r w:rsidRPr="00CE669B">
        <w:rPr>
          <w:rFonts w:ascii="Cambria" w:hAnsi="Cambria"/>
          <w:sz w:val="20"/>
          <w:szCs w:val="20"/>
        </w:rPr>
        <w:t>ë</w:t>
      </w:r>
      <w:r w:rsidRPr="00CE669B">
        <w:rPr>
          <w:sz w:val="20"/>
          <w:szCs w:val="20"/>
        </w:rPr>
        <w:t>le rente. Idealiter zouden deze schokken opgevangen worden in een aanpassing van de jaarlijkse aangroei van de pensioentoezeggingen. In een nominaal stelsel is dat niet goed mogelijk</w:t>
      </w:r>
      <w:r>
        <w:rPr>
          <w:sz w:val="20"/>
          <w:szCs w:val="20"/>
        </w:rPr>
        <w:t xml:space="preserve">. </w:t>
      </w:r>
      <w:r w:rsidRPr="0008028A">
        <w:rPr>
          <w:sz w:val="20"/>
          <w:szCs w:val="20"/>
        </w:rPr>
        <w:t>Zie hiervoor ook het artikel van Frijns, van de Klundert</w:t>
      </w:r>
      <w:r>
        <w:rPr>
          <w:sz w:val="20"/>
          <w:szCs w:val="20"/>
        </w:rPr>
        <w:t xml:space="preserve"> en van Nunen, “Pensioenbeleggingen te defensief” in FTK keurslijf, ESB, juni 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68533" w14:textId="77777777" w:rsidR="005834FD" w:rsidRDefault="005834FD" w:rsidP="009E2704">
      <w:r>
        <w:separator/>
      </w:r>
    </w:p>
  </w:footnote>
  <w:footnote w:type="continuationSeparator" w:id="0">
    <w:p w14:paraId="25FD1598" w14:textId="77777777" w:rsidR="005834FD" w:rsidRDefault="005834FD" w:rsidP="009E270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B0D"/>
    <w:multiLevelType w:val="hybridMultilevel"/>
    <w:tmpl w:val="5F7EE9F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6901A2"/>
    <w:multiLevelType w:val="hybridMultilevel"/>
    <w:tmpl w:val="BE58DFC8"/>
    <w:lvl w:ilvl="0" w:tplc="04090013">
      <w:start w:val="1"/>
      <w:numFmt w:val="upperRoman"/>
      <w:lvlText w:val="%1."/>
      <w:lvlJc w:val="righ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433C2C"/>
    <w:multiLevelType w:val="hybridMultilevel"/>
    <w:tmpl w:val="4F223A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664ADC"/>
    <w:multiLevelType w:val="hybridMultilevel"/>
    <w:tmpl w:val="3968CDAA"/>
    <w:lvl w:ilvl="0" w:tplc="04090013">
      <w:start w:val="1"/>
      <w:numFmt w:val="upperRoman"/>
      <w:lvlText w:val="%1."/>
      <w:lvlJc w:val="right"/>
      <w:pPr>
        <w:ind w:left="360" w:hanging="360"/>
      </w:p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pos w:val="beneathText"/>
    <w:numFmt w:val="lowerRoman"/>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745"/>
    <w:rsid w:val="000056BB"/>
    <w:rsid w:val="00065E96"/>
    <w:rsid w:val="0008028A"/>
    <w:rsid w:val="000C6745"/>
    <w:rsid w:val="00114025"/>
    <w:rsid w:val="00151F22"/>
    <w:rsid w:val="001B7E09"/>
    <w:rsid w:val="001D24BA"/>
    <w:rsid w:val="001D76AC"/>
    <w:rsid w:val="001F702E"/>
    <w:rsid w:val="001F73E4"/>
    <w:rsid w:val="00203EE3"/>
    <w:rsid w:val="002579B3"/>
    <w:rsid w:val="00263B14"/>
    <w:rsid w:val="00280825"/>
    <w:rsid w:val="002E3F60"/>
    <w:rsid w:val="003075F0"/>
    <w:rsid w:val="00352209"/>
    <w:rsid w:val="00356F26"/>
    <w:rsid w:val="004F4412"/>
    <w:rsid w:val="005834FD"/>
    <w:rsid w:val="005C03EC"/>
    <w:rsid w:val="005D3D47"/>
    <w:rsid w:val="005D65DC"/>
    <w:rsid w:val="00622678"/>
    <w:rsid w:val="00625BB7"/>
    <w:rsid w:val="00632504"/>
    <w:rsid w:val="00632FE3"/>
    <w:rsid w:val="006976F5"/>
    <w:rsid w:val="0070391A"/>
    <w:rsid w:val="00790599"/>
    <w:rsid w:val="0083659C"/>
    <w:rsid w:val="0087570A"/>
    <w:rsid w:val="008D1FDB"/>
    <w:rsid w:val="00940515"/>
    <w:rsid w:val="0095168B"/>
    <w:rsid w:val="0099638F"/>
    <w:rsid w:val="009A4A84"/>
    <w:rsid w:val="009A560D"/>
    <w:rsid w:val="009B23D7"/>
    <w:rsid w:val="009E2704"/>
    <w:rsid w:val="009E6652"/>
    <w:rsid w:val="00A23A36"/>
    <w:rsid w:val="00AA3751"/>
    <w:rsid w:val="00B57E76"/>
    <w:rsid w:val="00BF0F81"/>
    <w:rsid w:val="00C16846"/>
    <w:rsid w:val="00C91044"/>
    <w:rsid w:val="00CE669B"/>
    <w:rsid w:val="00CF4674"/>
    <w:rsid w:val="00D00241"/>
    <w:rsid w:val="00D209B6"/>
    <w:rsid w:val="00D44CEC"/>
    <w:rsid w:val="00D93B01"/>
    <w:rsid w:val="00DE3D70"/>
    <w:rsid w:val="00E018AF"/>
    <w:rsid w:val="00E10B22"/>
    <w:rsid w:val="00E279BC"/>
    <w:rsid w:val="00E31D49"/>
    <w:rsid w:val="00E3711D"/>
    <w:rsid w:val="00E50A01"/>
    <w:rsid w:val="00E725A9"/>
    <w:rsid w:val="00E768E9"/>
    <w:rsid w:val="00EB5278"/>
    <w:rsid w:val="00EB65B0"/>
    <w:rsid w:val="00EC0D7F"/>
    <w:rsid w:val="00EC1A29"/>
    <w:rsid w:val="00EC5CC1"/>
    <w:rsid w:val="00F1744D"/>
    <w:rsid w:val="00F33F3B"/>
    <w:rsid w:val="00F5256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A5C8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04"/>
    <w:pPr>
      <w:ind w:left="720"/>
      <w:contextualSpacing/>
    </w:pPr>
  </w:style>
  <w:style w:type="paragraph" w:styleId="EndnoteText">
    <w:name w:val="endnote text"/>
    <w:basedOn w:val="Normal"/>
    <w:link w:val="EndnoteTextChar"/>
    <w:uiPriority w:val="99"/>
    <w:unhideWhenUsed/>
    <w:rsid w:val="009E2704"/>
  </w:style>
  <w:style w:type="character" w:customStyle="1" w:styleId="EndnoteTextChar">
    <w:name w:val="Endnote Text Char"/>
    <w:basedOn w:val="DefaultParagraphFont"/>
    <w:link w:val="EndnoteText"/>
    <w:uiPriority w:val="99"/>
    <w:rsid w:val="009E2704"/>
  </w:style>
  <w:style w:type="character" w:styleId="EndnoteReference">
    <w:name w:val="endnote reference"/>
    <w:basedOn w:val="DefaultParagraphFont"/>
    <w:uiPriority w:val="99"/>
    <w:unhideWhenUsed/>
    <w:rsid w:val="009E2704"/>
    <w:rPr>
      <w:vertAlign w:val="superscript"/>
    </w:rPr>
  </w:style>
  <w:style w:type="paragraph" w:styleId="BalloonText">
    <w:name w:val="Balloon Text"/>
    <w:basedOn w:val="Normal"/>
    <w:link w:val="BalloonTextChar"/>
    <w:uiPriority w:val="99"/>
    <w:semiHidden/>
    <w:unhideWhenUsed/>
    <w:rsid w:val="009405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515"/>
    <w:rPr>
      <w:rFonts w:ascii="Lucida Grande" w:hAnsi="Lucida Grande" w:cs="Lucida Grande"/>
      <w:sz w:val="18"/>
      <w:szCs w:val="18"/>
    </w:rPr>
  </w:style>
  <w:style w:type="paragraph" w:styleId="FootnoteText">
    <w:name w:val="footnote text"/>
    <w:basedOn w:val="Normal"/>
    <w:link w:val="FootnoteTextChar"/>
    <w:uiPriority w:val="99"/>
    <w:unhideWhenUsed/>
    <w:rsid w:val="00D209B6"/>
  </w:style>
  <w:style w:type="character" w:customStyle="1" w:styleId="FootnoteTextChar">
    <w:name w:val="Footnote Text Char"/>
    <w:basedOn w:val="DefaultParagraphFont"/>
    <w:link w:val="FootnoteText"/>
    <w:uiPriority w:val="99"/>
    <w:rsid w:val="00D209B6"/>
  </w:style>
  <w:style w:type="character" w:styleId="FootnoteReference">
    <w:name w:val="footnote reference"/>
    <w:basedOn w:val="DefaultParagraphFont"/>
    <w:uiPriority w:val="99"/>
    <w:unhideWhenUsed/>
    <w:rsid w:val="00D209B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04"/>
    <w:pPr>
      <w:ind w:left="720"/>
      <w:contextualSpacing/>
    </w:pPr>
  </w:style>
  <w:style w:type="paragraph" w:styleId="EndnoteText">
    <w:name w:val="endnote text"/>
    <w:basedOn w:val="Normal"/>
    <w:link w:val="EndnoteTextChar"/>
    <w:uiPriority w:val="99"/>
    <w:unhideWhenUsed/>
    <w:rsid w:val="009E2704"/>
  </w:style>
  <w:style w:type="character" w:customStyle="1" w:styleId="EndnoteTextChar">
    <w:name w:val="Endnote Text Char"/>
    <w:basedOn w:val="DefaultParagraphFont"/>
    <w:link w:val="EndnoteText"/>
    <w:uiPriority w:val="99"/>
    <w:rsid w:val="009E2704"/>
  </w:style>
  <w:style w:type="character" w:styleId="EndnoteReference">
    <w:name w:val="endnote reference"/>
    <w:basedOn w:val="DefaultParagraphFont"/>
    <w:uiPriority w:val="99"/>
    <w:unhideWhenUsed/>
    <w:rsid w:val="009E2704"/>
    <w:rPr>
      <w:vertAlign w:val="superscript"/>
    </w:rPr>
  </w:style>
  <w:style w:type="paragraph" w:styleId="BalloonText">
    <w:name w:val="Balloon Text"/>
    <w:basedOn w:val="Normal"/>
    <w:link w:val="BalloonTextChar"/>
    <w:uiPriority w:val="99"/>
    <w:semiHidden/>
    <w:unhideWhenUsed/>
    <w:rsid w:val="009405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515"/>
    <w:rPr>
      <w:rFonts w:ascii="Lucida Grande" w:hAnsi="Lucida Grande" w:cs="Lucida Grande"/>
      <w:sz w:val="18"/>
      <w:szCs w:val="18"/>
    </w:rPr>
  </w:style>
  <w:style w:type="paragraph" w:styleId="FootnoteText">
    <w:name w:val="footnote text"/>
    <w:basedOn w:val="Normal"/>
    <w:link w:val="FootnoteTextChar"/>
    <w:uiPriority w:val="99"/>
    <w:unhideWhenUsed/>
    <w:rsid w:val="00D209B6"/>
  </w:style>
  <w:style w:type="character" w:customStyle="1" w:styleId="FootnoteTextChar">
    <w:name w:val="Footnote Text Char"/>
    <w:basedOn w:val="DefaultParagraphFont"/>
    <w:link w:val="FootnoteText"/>
    <w:uiPriority w:val="99"/>
    <w:rsid w:val="00D209B6"/>
  </w:style>
  <w:style w:type="character" w:styleId="FootnoteReference">
    <w:name w:val="footnote reference"/>
    <w:basedOn w:val="DefaultParagraphFont"/>
    <w:uiPriority w:val="99"/>
    <w:unhideWhenUsed/>
    <w:rsid w:val="00D209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numbering" Target="numbering.xml" Id="rId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949</ap:Words>
  <ap:Characters>5400</ap:Characters>
  <ap:DocSecurity>0</ap:DocSecurity>
  <ap:Lines>81</ap:Lines>
  <ap:Paragraphs>12</ap:Paragraphs>
  <ap:ScaleCrop>false</ap:ScaleCrop>
  <ap:LinksUpToDate>false</ap:LinksUpToDate>
  <ap:CharactersWithSpaces>6337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2018-05-07T06:33:00.0000000Z</lastPrinted>
  <dcterms:created xsi:type="dcterms:W3CDTF">2018-05-03T08:34:00.0000000Z</dcterms:created>
  <dcterms:modified xsi:type="dcterms:W3CDTF">2018-05-07T07:50:00.0000000Z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0x0101001C4CB37A41D5BD43BA41453DC58586CB</vt:lpwstr>
  </property>
</Properties>
</file>