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A2" w:rsidP="005272A2" w:rsidRDefault="005272A2">
      <w:pPr>
        <w:ind w:left="5664" w:firstLine="708"/>
      </w:pPr>
      <w:bookmarkStart w:name="_GoBack" w:id="0"/>
      <w:bookmarkEnd w:id="0"/>
      <w:r>
        <w:rPr>
          <w:rFonts w:ascii="Helvetica" w:hAnsi="Helvetica" w:cs="Helvetica"/>
          <w:noProof/>
          <w:color w:val="000000"/>
          <w:lang w:eastAsia="nl-NL"/>
        </w:rPr>
        <w:drawing>
          <wp:inline distT="0" distB="0" distL="0" distR="0">
            <wp:extent cx="1808407" cy="515501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211" cy="5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A2" w:rsidP="005272A2" w:rsidRDefault="00C20E1C">
      <w:pPr>
        <w:ind w:left="5664" w:firstLine="708"/>
        <w:rPr>
          <w:rFonts w:ascii="Helvetica" w:hAnsi="Helvetica" w:eastAsia="Times New Roman" w:cs="Times New Roman"/>
          <w:color w:val="000000"/>
          <w:sz w:val="18"/>
          <w:szCs w:val="18"/>
          <w:lang w:eastAsia="nl-NL"/>
        </w:rPr>
      </w:pPr>
      <w:hyperlink w:history="1" r:id="rId7">
        <w:r w:rsidRPr="00AE3C50" w:rsidR="006D406D">
          <w:rPr>
            <w:rStyle w:val="Hyperlink"/>
            <w:rFonts w:ascii="Helvetica" w:hAnsi="Helvetica" w:eastAsia="Times New Roman" w:cs="Times New Roman"/>
            <w:sz w:val="18"/>
            <w:szCs w:val="18"/>
            <w:lang w:eastAsia="nl-NL"/>
          </w:rPr>
          <w:t>www.denormaalstezaak.nl</w:t>
        </w:r>
      </w:hyperlink>
    </w:p>
    <w:p w:rsidR="006D406D" w:rsidP="005272A2" w:rsidRDefault="006D406D">
      <w:pPr>
        <w:ind w:left="5664" w:firstLine="708"/>
      </w:pPr>
    </w:p>
    <w:p w:rsidR="00071866" w:rsidRDefault="00E74246">
      <w:r>
        <w:t>Bijdrage</w:t>
      </w:r>
      <w:r w:rsidR="00031B82">
        <w:t xml:space="preserve"> </w:t>
      </w:r>
      <w:r w:rsidR="003C2547">
        <w:t>De Normaalste Zaak (DNZ)</w:t>
      </w:r>
      <w:r w:rsidR="00031B82">
        <w:t xml:space="preserve"> </w:t>
      </w:r>
      <w:r>
        <w:t xml:space="preserve">aan </w:t>
      </w:r>
      <w:r w:rsidR="00031B82">
        <w:t>rondetafelgesprek loondispensatie 18-4</w:t>
      </w:r>
      <w:r w:rsidR="00EE0183">
        <w:t>-2018</w:t>
      </w:r>
    </w:p>
    <w:p w:rsidR="003C2547" w:rsidRDefault="003C2547"/>
    <w:p w:rsidR="003C2547" w:rsidP="00EE0183" w:rsidRDefault="003C2547">
      <w:pPr>
        <w:pStyle w:val="Lijstalinea"/>
        <w:numPr>
          <w:ilvl w:val="0"/>
          <w:numId w:val="1"/>
        </w:numPr>
        <w:ind w:left="426" w:hanging="426"/>
      </w:pPr>
      <w:r>
        <w:t>DNZ is een landelijk netwerk van 600 werkgevers (groot-MKB-sociale ondernemingen, in alle sectoren) die zich inzetten voor inclusief werkgeverschap</w:t>
      </w:r>
      <w:r w:rsidR="006A45D4">
        <w:t>. DN</w:t>
      </w:r>
      <w:r w:rsidR="00A85003">
        <w:t>Z is een Stichting die wordt bestuurd door VNO-NCW, Werkgeversvereniging AWVN en MVO Nederland</w:t>
      </w:r>
      <w:r w:rsidR="00EE0183">
        <w:t>.</w:t>
      </w:r>
    </w:p>
    <w:p w:rsidR="009C26FA" w:rsidP="00EE0183" w:rsidRDefault="009C26FA">
      <w:pPr>
        <w:pStyle w:val="Lijstalinea"/>
        <w:ind w:left="426" w:hanging="426"/>
      </w:pPr>
    </w:p>
    <w:p w:rsidR="003C2547" w:rsidP="00EE0183" w:rsidRDefault="00EE0183">
      <w:pPr>
        <w:pStyle w:val="Lijstalinea"/>
        <w:numPr>
          <w:ilvl w:val="0"/>
          <w:numId w:val="1"/>
        </w:numPr>
        <w:ind w:left="426" w:hanging="426"/>
      </w:pPr>
      <w:r>
        <w:t>Samen hebben DNZ-</w:t>
      </w:r>
      <w:r w:rsidR="003C2547">
        <w:t xml:space="preserve">werkgevers </w:t>
      </w:r>
      <w:r>
        <w:t>duizenden mensen vanuit de doelgroep ba</w:t>
      </w:r>
      <w:r w:rsidR="003C2547">
        <w:t>n</w:t>
      </w:r>
      <w:r>
        <w:t>en</w:t>
      </w:r>
      <w:r w:rsidR="003C2547">
        <w:t>afspraak in dienst.</w:t>
      </w:r>
      <w:r w:rsidR="009C26FA">
        <w:t xml:space="preserve"> </w:t>
      </w:r>
      <w:r>
        <w:br/>
      </w:r>
      <w:r w:rsidR="003C2547">
        <w:t>Motieven zijn: goed werkg</w:t>
      </w:r>
      <w:r>
        <w:t>everschap (MVO),</w:t>
      </w:r>
      <w:r w:rsidR="003C2547">
        <w:t xml:space="preserve"> diversiteit op de werkvloer, toegevoegde waarde van de doelgroep voor het bedrijf richting klanten</w:t>
      </w:r>
      <w:r>
        <w:t xml:space="preserve"> en/of</w:t>
      </w:r>
      <w:r w:rsidR="003C2547">
        <w:t xml:space="preserve"> medewerkers</w:t>
      </w:r>
      <w:r>
        <w:t xml:space="preserve"> </w:t>
      </w:r>
      <w:r w:rsidR="003C2547">
        <w:t>/</w:t>
      </w:r>
      <w:r>
        <w:t xml:space="preserve">en of </w:t>
      </w:r>
      <w:r w:rsidR="003C2547">
        <w:t>opdrachtgevers, compassie met de doelgroep (het zal je kind maar wezen…)</w:t>
      </w:r>
      <w:r>
        <w:t>.</w:t>
      </w:r>
    </w:p>
    <w:p w:rsidR="009C26FA" w:rsidP="00EE0183" w:rsidRDefault="009C26FA">
      <w:pPr>
        <w:ind w:left="426" w:hanging="426"/>
      </w:pPr>
    </w:p>
    <w:p w:rsidR="003C2547" w:rsidP="00EE0183" w:rsidRDefault="006C3ABA">
      <w:pPr>
        <w:pStyle w:val="Lijstalinea"/>
        <w:numPr>
          <w:ilvl w:val="0"/>
          <w:numId w:val="1"/>
        </w:numPr>
        <w:ind w:left="426" w:hanging="426"/>
      </w:pPr>
      <w:r>
        <w:t>Sinds de oprichting</w:t>
      </w:r>
      <w:r w:rsidR="00EE0183">
        <w:t xml:space="preserve"> in</w:t>
      </w:r>
      <w:r>
        <w:t xml:space="preserve"> </w:t>
      </w:r>
      <w:r w:rsidR="003C2547">
        <w:t xml:space="preserve">2011 pleit en strijdt DNZ voor vereenvoudiging van regelgeving rondom </w:t>
      </w:r>
      <w:r w:rsidR="00EE0183">
        <w:t>‘</w:t>
      </w:r>
      <w:r>
        <w:t>d</w:t>
      </w:r>
      <w:r w:rsidR="00EE0183">
        <w:t>e onderkant van de arbeidsmarkt’</w:t>
      </w:r>
      <w:r>
        <w:t>: definieer één doelgroep met een eenvoudige regeling om werkgevers te compenseren voor verminderde productiviteit, begeleidingskosten en risico’s.</w:t>
      </w:r>
    </w:p>
    <w:p w:rsidR="009C26FA" w:rsidP="00EE0183" w:rsidRDefault="009C26FA">
      <w:pPr>
        <w:ind w:left="426" w:hanging="426"/>
      </w:pPr>
    </w:p>
    <w:p w:rsidR="00AB5AAB" w:rsidP="00EE0183" w:rsidRDefault="006C3ABA">
      <w:pPr>
        <w:pStyle w:val="Lijstalinea"/>
        <w:numPr>
          <w:ilvl w:val="0"/>
          <w:numId w:val="1"/>
        </w:numPr>
        <w:ind w:left="426" w:hanging="426"/>
      </w:pPr>
      <w:r>
        <w:t xml:space="preserve">Maak bovendien een regeling die gebaseerd is op vertrouwen </w:t>
      </w:r>
      <w:r w:rsidR="00EE0183">
        <w:t xml:space="preserve">i.p.v. wantrouwen tussen UWV / </w:t>
      </w:r>
      <w:r>
        <w:t xml:space="preserve">gemeenten en werkgevers (in Zwolle is in 2014-2015 geëxperimenteerd met </w:t>
      </w:r>
      <w:hyperlink w:history="1" r:id="rId8">
        <w:r w:rsidRPr="00EE0183">
          <w:rPr>
            <w:rStyle w:val="Hyperlink"/>
          </w:rPr>
          <w:t>deze regelluwe manier van samenwerken</w:t>
        </w:r>
      </w:hyperlink>
      <w:r>
        <w:t>).</w:t>
      </w:r>
    </w:p>
    <w:p w:rsidR="000E6F4F" w:rsidP="00EE0183" w:rsidRDefault="000E6F4F">
      <w:pPr>
        <w:pStyle w:val="Lijstalinea"/>
        <w:ind w:left="426" w:hanging="426"/>
      </w:pPr>
    </w:p>
    <w:p w:rsidR="00AB5AAB" w:rsidP="00EE0183" w:rsidRDefault="00AB5AAB">
      <w:pPr>
        <w:pStyle w:val="Lijstalinea"/>
        <w:numPr>
          <w:ilvl w:val="0"/>
          <w:numId w:val="1"/>
        </w:numPr>
        <w:ind w:left="426" w:hanging="426"/>
      </w:pPr>
      <w:r>
        <w:t>Voor 2015 kwamen doelgroepkandidaten via UWV bij de werkgever. Voor deze groep golden en g</w:t>
      </w:r>
      <w:r w:rsidR="00EE0183">
        <w:t>elden vaste regels rond loondispensatie (in twee</w:t>
      </w:r>
      <w:r>
        <w:t xml:space="preserve"> varianten en beide verschillend van hetgeen het kabinet nu voorstelt), proefplaatsing</w:t>
      </w:r>
      <w:r w:rsidR="00EE0183">
        <w:t>,</w:t>
      </w:r>
      <w:r>
        <w:t xml:space="preserve"> (interne) jobcoaching en no-riskpolis. Bovendien gelden voor deze regelingen vaste administratieve procedures.</w:t>
      </w:r>
    </w:p>
    <w:p w:rsidR="009C26FA" w:rsidP="00EE0183" w:rsidRDefault="009C26FA">
      <w:pPr>
        <w:ind w:left="426" w:hanging="426"/>
      </w:pPr>
    </w:p>
    <w:p w:rsidR="00AB5AAB" w:rsidP="00EE0183" w:rsidRDefault="00AB5AAB">
      <w:pPr>
        <w:pStyle w:val="Lijstalinea"/>
        <w:numPr>
          <w:ilvl w:val="0"/>
          <w:numId w:val="1"/>
        </w:numPr>
        <w:ind w:left="426" w:hanging="426"/>
      </w:pPr>
      <w:r>
        <w:t>Sinds 2015 is de complexiteit voor werkgevers explosief t</w:t>
      </w:r>
      <w:r w:rsidR="00EE0183">
        <w:t>oegenomen. Elke gemeente bepaalt nu zelf het beleid rond proefplaatsing en</w:t>
      </w:r>
      <w:r>
        <w:t xml:space="preserve"> jobcoaching en elke arbeidsmarktregio kiest een eigen manier om loonwaarde vast te stellen. Elke gemeente kan eigen administratieve procedures vaststellen rondom de administratieve afwikkeling van o.a. de loonkostensubsidie.</w:t>
      </w:r>
    </w:p>
    <w:p w:rsidR="009C26FA" w:rsidP="00EE0183" w:rsidRDefault="009C26FA">
      <w:pPr>
        <w:ind w:left="426" w:hanging="426"/>
      </w:pPr>
    </w:p>
    <w:p w:rsidR="00483F35" w:rsidP="00EE0183" w:rsidRDefault="00483F35">
      <w:pPr>
        <w:pStyle w:val="Lijstalinea"/>
        <w:numPr>
          <w:ilvl w:val="0"/>
          <w:numId w:val="1"/>
        </w:numPr>
        <w:ind w:left="426" w:hanging="426"/>
      </w:pPr>
      <w:r>
        <w:t>Kortom, waar werkgevers enkele ja</w:t>
      </w:r>
      <w:r w:rsidR="00EE0183">
        <w:t>ren gelden te maken hadden met één</w:t>
      </w:r>
      <w:r>
        <w:t xml:space="preserve"> UWV, krijgen landelijke en regionaal werkende werkgevers nu te maken met de regelingen van max. 38</w:t>
      </w:r>
      <w:r w:rsidR="00EE0183">
        <w:t>0 gemeentes én één</w:t>
      </w:r>
      <w:r>
        <w:t xml:space="preserve"> UWV. De bureaucratische jungle is een feit. Reductie van complexiteit is essentieel.</w:t>
      </w:r>
      <w:r w:rsidR="009B6BBE">
        <w:t xml:space="preserve"> Nu </w:t>
      </w:r>
      <w:r w:rsidR="00EE0183">
        <w:t>dreigen werkgevers af te haken!</w:t>
      </w:r>
    </w:p>
    <w:p w:rsidR="00B52627" w:rsidP="00EE0183" w:rsidRDefault="00B52627">
      <w:pPr>
        <w:ind w:left="426" w:hanging="426"/>
      </w:pPr>
    </w:p>
    <w:p w:rsidR="00AA56FF" w:rsidP="00EE0183" w:rsidRDefault="00B52627">
      <w:pPr>
        <w:pStyle w:val="Lijstalinea"/>
        <w:numPr>
          <w:ilvl w:val="0"/>
          <w:numId w:val="1"/>
        </w:numPr>
        <w:ind w:left="426" w:hanging="426"/>
      </w:pPr>
      <w:r>
        <w:t xml:space="preserve">Loonkostensubsidie </w:t>
      </w:r>
      <w:r w:rsidR="00EE0183">
        <w:t>versus</w:t>
      </w:r>
      <w:r>
        <w:t xml:space="preserve"> </w:t>
      </w:r>
      <w:r w:rsidR="00EE0183">
        <w:t>loon</w:t>
      </w:r>
      <w:r>
        <w:t xml:space="preserve">dispensatie: binnen DNZ is een </w:t>
      </w:r>
      <w:r w:rsidR="00EE0183">
        <w:t>deel van werkgevers voorstander</w:t>
      </w:r>
      <w:r>
        <w:t xml:space="preserve"> van dispensatie</w:t>
      </w:r>
      <w:r w:rsidR="00EE0183">
        <w:t>,</w:t>
      </w:r>
      <w:r>
        <w:t xml:space="preserve"> omdat dit de enige route lijkt om direct zicht te hebben op de kosten van de betreffende medewerker en om verlost te raken van een dee</w:t>
      </w:r>
      <w:r w:rsidR="00EE0183">
        <w:t>l van de bureaucratie. Veel DNZ-</w:t>
      </w:r>
      <w:r>
        <w:t xml:space="preserve">werkgevers maken zich </w:t>
      </w:r>
      <w:r w:rsidR="000E6F4F">
        <w:t xml:space="preserve">echter </w:t>
      </w:r>
      <w:r>
        <w:t xml:space="preserve">zorgen over de </w:t>
      </w:r>
      <w:r w:rsidR="00495924">
        <w:t xml:space="preserve">gevolgen voor de </w:t>
      </w:r>
      <w:r>
        <w:lastRenderedPageBreak/>
        <w:t>positie van de werknemer</w:t>
      </w:r>
      <w:r w:rsidR="006739EF">
        <w:t xml:space="preserve"> </w:t>
      </w:r>
      <w:r w:rsidR="00EE0183">
        <w:t xml:space="preserve">– </w:t>
      </w:r>
      <w:r w:rsidR="006739EF">
        <w:t>zowel op de werkvlo</w:t>
      </w:r>
      <w:r w:rsidR="00EE0183">
        <w:t xml:space="preserve">er, financieel </w:t>
      </w:r>
      <w:r w:rsidR="006739EF">
        <w:t>als administratief</w:t>
      </w:r>
      <w:r w:rsidR="00F95C5C">
        <w:t xml:space="preserve"> </w:t>
      </w:r>
      <w:r>
        <w:t>in de voorgestelde</w:t>
      </w:r>
      <w:r w:rsidR="000E6F4F">
        <w:t xml:space="preserve"> regeling.</w:t>
      </w:r>
    </w:p>
    <w:p w:rsidR="00AA56FF" w:rsidP="00EE0183" w:rsidRDefault="00AA56FF">
      <w:pPr>
        <w:pStyle w:val="Lijstalinea"/>
        <w:ind w:left="426" w:hanging="426"/>
      </w:pPr>
    </w:p>
    <w:p w:rsidR="009B6BBE" w:rsidP="00EE0183" w:rsidRDefault="00AA56FF">
      <w:pPr>
        <w:pStyle w:val="Lijstalinea"/>
        <w:numPr>
          <w:ilvl w:val="0"/>
          <w:numId w:val="1"/>
        </w:numPr>
        <w:ind w:left="426" w:hanging="426"/>
      </w:pPr>
      <w:r>
        <w:t>Binnen een regeling zijn de volgende punten in ieder</w:t>
      </w:r>
      <w:r w:rsidR="006739EF">
        <w:t xml:space="preserve"> </w:t>
      </w:r>
      <w:r>
        <w:t>geval belangrijk:</w:t>
      </w:r>
    </w:p>
    <w:p w:rsidRPr="00AA56FF" w:rsidR="00AA56FF" w:rsidP="00EE0183" w:rsidRDefault="00AA56FF">
      <w:pPr>
        <w:pStyle w:val="Lijstalinea"/>
        <w:numPr>
          <w:ilvl w:val="1"/>
          <w:numId w:val="1"/>
        </w:numPr>
        <w:ind w:left="709" w:hanging="283"/>
      </w:pPr>
      <w:r w:rsidRPr="009B6BBE">
        <w:rPr>
          <w:rFonts w:ascii="Calibri" w:hAnsi="Calibri" w:eastAsia="Times New Roman" w:cs="Calibri"/>
          <w:color w:val="000000"/>
          <w:lang w:eastAsia="nl-NL"/>
        </w:rPr>
        <w:t>Elk uur (extra) gewerkt moet voor de medewerker financieel lonen</w:t>
      </w:r>
      <w:r w:rsidR="00EE0183">
        <w:rPr>
          <w:rFonts w:ascii="Calibri" w:hAnsi="Calibri" w:eastAsia="Times New Roman" w:cs="Calibri"/>
          <w:color w:val="000000"/>
          <w:lang w:eastAsia="nl-NL"/>
        </w:rPr>
        <w:t>.</w:t>
      </w:r>
    </w:p>
    <w:p w:rsidRPr="00AA56FF" w:rsidR="00AA56FF" w:rsidP="00EE0183" w:rsidRDefault="00AA56FF">
      <w:pPr>
        <w:numPr>
          <w:ilvl w:val="1"/>
          <w:numId w:val="1"/>
        </w:numPr>
        <w:ind w:left="709" w:hanging="283"/>
        <w:rPr>
          <w:rFonts w:ascii="Calibri" w:hAnsi="Calibri" w:eastAsia="Times New Roman" w:cs="Calibri"/>
          <w:color w:val="000000"/>
          <w:lang w:eastAsia="nl-NL"/>
        </w:rPr>
      </w:pPr>
      <w:r w:rsidRPr="00AA56FF">
        <w:rPr>
          <w:rFonts w:ascii="Calibri" w:hAnsi="Calibri" w:eastAsia="Times New Roman" w:cs="Calibri"/>
          <w:color w:val="000000"/>
          <w:lang w:eastAsia="nl-NL"/>
        </w:rPr>
        <w:t>De uren die mensen werken moeten ook in de oudedagsvoorziening meetellen gelijk aan collega’s met volwaardige loonwaarde</w:t>
      </w:r>
      <w:r w:rsidR="00EE0183">
        <w:rPr>
          <w:rFonts w:ascii="Calibri" w:hAnsi="Calibri" w:eastAsia="Times New Roman" w:cs="Calibri"/>
          <w:color w:val="000000"/>
          <w:lang w:eastAsia="nl-NL"/>
        </w:rPr>
        <w:t>.</w:t>
      </w:r>
    </w:p>
    <w:p w:rsidRPr="00AA56FF" w:rsidR="00AA56FF" w:rsidP="00EE0183" w:rsidRDefault="00AA56FF">
      <w:pPr>
        <w:numPr>
          <w:ilvl w:val="1"/>
          <w:numId w:val="1"/>
        </w:numPr>
        <w:ind w:left="709" w:hanging="283"/>
        <w:rPr>
          <w:rFonts w:ascii="Calibri" w:hAnsi="Calibri" w:eastAsia="Times New Roman" w:cs="Calibri"/>
          <w:color w:val="000000"/>
          <w:lang w:eastAsia="nl-NL"/>
        </w:rPr>
      </w:pPr>
      <w:r w:rsidRPr="00AA56FF">
        <w:rPr>
          <w:rFonts w:ascii="Calibri" w:hAnsi="Calibri" w:eastAsia="Times New Roman" w:cs="Calibri"/>
          <w:color w:val="000000"/>
          <w:lang w:eastAsia="nl-NL"/>
        </w:rPr>
        <w:t>De aanvulling op het uurloon moet de medewerker ontvangen onverkort de gezins- of vermogenssituatie van de medewerker.</w:t>
      </w:r>
    </w:p>
    <w:p w:rsidRPr="00AA56FF" w:rsidR="00AA56FF" w:rsidP="00EE0183" w:rsidRDefault="00AA56FF">
      <w:pPr>
        <w:numPr>
          <w:ilvl w:val="1"/>
          <w:numId w:val="1"/>
        </w:numPr>
        <w:ind w:left="709" w:hanging="283"/>
        <w:rPr>
          <w:rFonts w:ascii="Calibri" w:hAnsi="Calibri" w:eastAsia="Times New Roman" w:cs="Calibri"/>
          <w:color w:val="000000"/>
          <w:lang w:eastAsia="nl-NL"/>
        </w:rPr>
      </w:pPr>
      <w:r w:rsidRPr="00AA56FF">
        <w:rPr>
          <w:rFonts w:ascii="Calibri" w:hAnsi="Calibri" w:eastAsia="Times New Roman" w:cs="Calibri"/>
          <w:color w:val="000000"/>
          <w:lang w:eastAsia="nl-NL"/>
        </w:rPr>
        <w:t>Bovenstaande punten zijn van belang omdat alle medewerkers volledig gemotiveerd moeten zijn en volwaardig moeten meetellen, er zijn geen eersteklas en tweedeklas collega’s</w:t>
      </w:r>
      <w:r w:rsidR="00EE0183">
        <w:rPr>
          <w:rFonts w:ascii="Calibri" w:hAnsi="Calibri" w:eastAsia="Times New Roman" w:cs="Calibri"/>
          <w:color w:val="000000"/>
          <w:lang w:eastAsia="nl-NL"/>
        </w:rPr>
        <w:t>.</w:t>
      </w:r>
    </w:p>
    <w:p w:rsidR="00B52627" w:rsidP="00EE0183" w:rsidRDefault="00B52627">
      <w:pPr>
        <w:pStyle w:val="Lijstalinea"/>
        <w:ind w:left="426" w:hanging="426"/>
      </w:pPr>
    </w:p>
    <w:p w:rsidR="00B52627" w:rsidP="00EE0183" w:rsidRDefault="00B52627">
      <w:pPr>
        <w:pStyle w:val="Lijstalinea"/>
        <w:numPr>
          <w:ilvl w:val="0"/>
          <w:numId w:val="1"/>
        </w:numPr>
        <w:ind w:left="426" w:hanging="426"/>
      </w:pPr>
      <w:r>
        <w:t>Wat DNZ betreft komt er een landelijke kaderregeling</w:t>
      </w:r>
      <w:r w:rsidR="009B6BBE">
        <w:t xml:space="preserve"> (voor de hele basis van de arbeidsmarkt)</w:t>
      </w:r>
      <w:r w:rsidR="00EE0183">
        <w:t>,</w:t>
      </w:r>
      <w:r w:rsidR="009B6BBE">
        <w:t xml:space="preserve"> waarin </w:t>
      </w:r>
      <w:r w:rsidR="00EE0183">
        <w:t>afspraken staan rond</w:t>
      </w:r>
      <w:r>
        <w:t xml:space="preserve"> pr</w:t>
      </w:r>
      <w:r w:rsidR="000E6F4F">
        <w:t>oefplaatsing, loonkostencompens</w:t>
      </w:r>
      <w:r w:rsidR="00EE0183">
        <w:t>atie, (interne) jobcoaching en dergelijke</w:t>
      </w:r>
      <w:r>
        <w:t>. Inclusief v</w:t>
      </w:r>
      <w:r w:rsidR="00EE0183">
        <w:t>aste, met werkgevers afgestemde</w:t>
      </w:r>
      <w:r>
        <w:t xml:space="preserve"> administratieve procedures. Alle betrokken partijen conformeren zich hieraan (DNZ heeft hier, samen met het Schakelpunt landelijke werkgevers en </w:t>
      </w:r>
      <w:r w:rsidR="000E6F4F">
        <w:t>een aantal arbeidsmarktregio’s voorstellen voor gedaan).</w:t>
      </w:r>
    </w:p>
    <w:p w:rsidR="000E6F4F" w:rsidP="00EE0183" w:rsidRDefault="000E6F4F">
      <w:pPr>
        <w:pStyle w:val="Lijstalinea"/>
        <w:ind w:left="426" w:hanging="426"/>
      </w:pPr>
    </w:p>
    <w:p w:rsidR="000E6F4F" w:rsidP="00EE0183" w:rsidRDefault="00495924">
      <w:pPr>
        <w:pStyle w:val="Lijstalinea"/>
        <w:numPr>
          <w:ilvl w:val="0"/>
          <w:numId w:val="1"/>
        </w:numPr>
        <w:ind w:left="426" w:hanging="426"/>
      </w:pPr>
      <w:r>
        <w:t>E</w:t>
      </w:r>
      <w:r w:rsidR="00EE0183">
        <w:t>en groep werkgevers uit het DNZ-</w:t>
      </w:r>
      <w:r>
        <w:t>netwerk</w:t>
      </w:r>
      <w:r w:rsidR="00EE0183">
        <w:t xml:space="preserve"> gaat graag met gemeenten, het M</w:t>
      </w:r>
      <w:r>
        <w:t>inister</w:t>
      </w:r>
      <w:r w:rsidR="00EE0183">
        <w:t xml:space="preserve">ie en de doelgroep om tafel om </w:t>
      </w:r>
      <w:r>
        <w:t>vanuit de dagelijkse praktijk</w:t>
      </w:r>
      <w:r w:rsidR="009B6BBE">
        <w:t>*</w:t>
      </w:r>
      <w:r w:rsidR="00EE0183">
        <w:t>,</w:t>
      </w:r>
      <w:r w:rsidR="009B6BBE">
        <w:t>de hoofdlijnen verder uit te werken</w:t>
      </w:r>
      <w:r>
        <w:t xml:space="preserve">. Volgens ons is in deze </w:t>
      </w:r>
      <w:r w:rsidR="009C26FA">
        <w:t xml:space="preserve">(helaas) </w:t>
      </w:r>
      <w:r>
        <w:t>gepolariseerde discussie een derde weg vindbaar.</w:t>
      </w:r>
    </w:p>
    <w:p w:rsidR="009B6BBE" w:rsidP="009B6BBE" w:rsidRDefault="009B6BBE">
      <w:pPr>
        <w:pStyle w:val="Lijstalinea"/>
      </w:pPr>
    </w:p>
    <w:p w:rsidR="009B6BBE" w:rsidP="009B6BBE" w:rsidRDefault="009B6BBE">
      <w:r>
        <w:t xml:space="preserve">*DNZ heeft goede ervaringen met </w:t>
      </w:r>
      <w:r w:rsidR="00EE0183">
        <w:t>zogenoemde</w:t>
      </w:r>
      <w:r>
        <w:t xml:space="preserve"> praktijktafels. Werkg</w:t>
      </w:r>
      <w:r w:rsidR="00EE0183">
        <w:t>evers die dagelijks werken met ‘de doelgroep’</w:t>
      </w:r>
      <w:r>
        <w:t xml:space="preserve"> brengen hun praktijkervaring in om aldus tot werkend beleid te komen.</w:t>
      </w:r>
    </w:p>
    <w:p w:rsidR="005272A2" w:rsidP="009B6BBE" w:rsidRDefault="005272A2"/>
    <w:p w:rsidR="005272A2" w:rsidP="009B6BBE" w:rsidRDefault="005272A2"/>
    <w:p w:rsidR="00B52627" w:rsidP="00B52627" w:rsidRDefault="00B52627">
      <w:pPr>
        <w:ind w:left="360"/>
      </w:pPr>
    </w:p>
    <w:p w:rsidR="00B52627" w:rsidP="00B52627" w:rsidRDefault="00B52627">
      <w:pPr>
        <w:ind w:left="360"/>
      </w:pPr>
    </w:p>
    <w:p w:rsidR="00AB5AAB" w:rsidP="00AB5AAB" w:rsidRDefault="00AB5AAB"/>
    <w:p w:rsidR="003C2547" w:rsidRDefault="003C2547"/>
    <w:p w:rsidR="003C2547" w:rsidRDefault="003C2547"/>
    <w:sectPr w:rsidR="003C2547" w:rsidSect="000F6F36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71B4"/>
    <w:multiLevelType w:val="hybridMultilevel"/>
    <w:tmpl w:val="E9DAEC00"/>
    <w:lvl w:ilvl="0" w:tplc="618CC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05F1F"/>
    <w:multiLevelType w:val="multilevel"/>
    <w:tmpl w:val="C562B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47"/>
    <w:rsid w:val="00031B82"/>
    <w:rsid w:val="000E6F4F"/>
    <w:rsid w:val="000F6F36"/>
    <w:rsid w:val="001F60ED"/>
    <w:rsid w:val="003216E8"/>
    <w:rsid w:val="003C2547"/>
    <w:rsid w:val="00483F35"/>
    <w:rsid w:val="00495924"/>
    <w:rsid w:val="004C56C1"/>
    <w:rsid w:val="005272A2"/>
    <w:rsid w:val="006739EF"/>
    <w:rsid w:val="006A45D4"/>
    <w:rsid w:val="006C3ABA"/>
    <w:rsid w:val="006D406D"/>
    <w:rsid w:val="00775256"/>
    <w:rsid w:val="008F7D41"/>
    <w:rsid w:val="009B6BBE"/>
    <w:rsid w:val="009C26FA"/>
    <w:rsid w:val="00A85003"/>
    <w:rsid w:val="00AA56FF"/>
    <w:rsid w:val="00AB5AAB"/>
    <w:rsid w:val="00B52627"/>
    <w:rsid w:val="00C20E1C"/>
    <w:rsid w:val="00C658D0"/>
    <w:rsid w:val="00E74246"/>
    <w:rsid w:val="00EC6FC0"/>
    <w:rsid w:val="00EE0183"/>
    <w:rsid w:val="00F152A7"/>
    <w:rsid w:val="00F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5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40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6D406D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01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018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01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01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018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E0183"/>
  </w:style>
  <w:style w:type="paragraph" w:styleId="Ballontekst">
    <w:name w:val="Balloon Text"/>
    <w:basedOn w:val="Standaard"/>
    <w:link w:val="BallontekstChar"/>
    <w:uiPriority w:val="99"/>
    <w:semiHidden/>
    <w:unhideWhenUsed/>
    <w:rsid w:val="00EE018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01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5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40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6D406D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01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018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01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01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018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E0183"/>
  </w:style>
  <w:style w:type="paragraph" w:styleId="Ballontekst">
    <w:name w:val="Balloon Text"/>
    <w:basedOn w:val="Standaard"/>
    <w:link w:val="BallontekstChar"/>
    <w:uiPriority w:val="99"/>
    <w:semiHidden/>
    <w:unhideWhenUsed/>
    <w:rsid w:val="00EE018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0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normaalstezaak.nl/wp-content/uploads/2016/04/AWVN-Brochure-Regelluwe-aanpak-in-arbeidsmarktregio-Digitale-versie-260416.pdf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://www.denormaalstezaak.n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655</ap:Words>
  <ap:Characters>3608</ap:Characters>
  <ap:DocSecurity>4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2018-04-17T09:17:00.0000000Z</dcterms:created>
  <dcterms:modified xsi:type="dcterms:W3CDTF">2018-04-17T09:17:00.0000000Z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0x0101008B9E8E91D383B245910974C7C8115801</vt:lpwstr>
  </property>
</Properties>
</file>