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674" w:rsidP="00576674" w:rsidRDefault="00F50A0B">
      <w:pPr>
        <w:rPr>
          <w:rFonts w:asciiTheme="minorHAnsi" w:hAnsiTheme="minorHAnsi"/>
          <w:b/>
          <w:sz w:val="22"/>
          <w:szCs w:val="22"/>
        </w:rPr>
      </w:pPr>
      <w:r>
        <w:rPr>
          <w:rFonts w:asciiTheme="minorHAnsi" w:hAnsiTheme="minorHAnsi"/>
          <w:b/>
          <w:sz w:val="22"/>
          <w:szCs w:val="22"/>
        </w:rPr>
        <w:t>Overzicht nieuw gepubliceerde EU-voorstellen</w:t>
      </w:r>
      <w:r w:rsidRPr="00F67F5B" w:rsidR="00576674">
        <w:rPr>
          <w:rFonts w:asciiTheme="minorHAnsi" w:hAnsiTheme="minorHAnsi"/>
          <w:b/>
          <w:sz w:val="22"/>
          <w:szCs w:val="22"/>
        </w:rPr>
        <w:t xml:space="preserve"> </w:t>
      </w:r>
      <w:r w:rsidR="00B422B1">
        <w:rPr>
          <w:rFonts w:asciiTheme="minorHAnsi" w:hAnsiTheme="minorHAnsi"/>
          <w:b/>
          <w:sz w:val="22"/>
          <w:szCs w:val="22"/>
        </w:rPr>
        <w:t xml:space="preserve">op het terrein van Defensie </w:t>
      </w:r>
    </w:p>
    <w:p w:rsidRPr="00F67F5B" w:rsidR="00F50A0B" w:rsidP="00576674" w:rsidRDefault="00F50A0B">
      <w:pPr>
        <w:rPr>
          <w:rFonts w:asciiTheme="minorHAnsi" w:hAnsiTheme="minorHAnsi"/>
          <w:sz w:val="22"/>
          <w:szCs w:val="22"/>
        </w:rPr>
      </w:pPr>
    </w:p>
    <w:p w:rsidRPr="00BF35EE" w:rsidR="00576674" w:rsidP="00576674" w:rsidRDefault="00576674">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0098120E">
        <w:rPr>
          <w:rFonts w:asciiTheme="minorHAnsi" w:hAnsiTheme="minorHAnsi"/>
          <w:sz w:val="22"/>
          <w:szCs w:val="22"/>
          <w:u w:val="single"/>
        </w:rPr>
        <w:t>van 28 maart 2018 tot 12 april 2018 – d.d. 12 april 2018</w:t>
      </w:r>
    </w:p>
    <w:p w:rsidRPr="00F67F5B" w:rsidR="00576674" w:rsidP="00576674" w:rsidRDefault="00576674">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149"/>
        <w:gridCol w:w="1034"/>
        <w:gridCol w:w="1254"/>
        <w:gridCol w:w="4683"/>
        <w:gridCol w:w="1245"/>
        <w:gridCol w:w="715"/>
        <w:gridCol w:w="4575"/>
      </w:tblGrid>
      <w:tr w:rsidRPr="00F67F5B" w:rsidR="00576674" w:rsidTr="002A6C83">
        <w:trPr>
          <w:trHeight w:val="1550"/>
        </w:trPr>
        <w:tc>
          <w:tcPr>
            <w:tcW w:w="1149" w:type="dxa"/>
            <w:shd w:val="clear" w:color="auto" w:fill="auto"/>
            <w:textDirection w:val="btLr"/>
            <w:vAlign w:val="bottom"/>
            <w:hideMark/>
          </w:tcPr>
          <w:p w:rsidRPr="00F50A0B" w:rsidR="00454C0B" w:rsidP="00651515"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576674" w:rsidP="00651515" w:rsidRDefault="00576674">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034" w:type="dxa"/>
            <w:shd w:val="clear" w:color="auto" w:fill="auto"/>
            <w:textDirection w:val="btLr"/>
            <w:vAlign w:val="bottom"/>
            <w:hideMark/>
          </w:tcPr>
          <w:p w:rsidRPr="00F67F5B" w:rsidR="00576674" w:rsidP="00E512BF"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683"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1245" w:type="dxa"/>
            <w:shd w:val="clear" w:color="auto" w:fill="auto"/>
            <w:textDirection w:val="btLr"/>
            <w:vAlign w:val="bottom"/>
            <w:hideMark/>
          </w:tcPr>
          <w:p w:rsidRPr="00F67F5B" w:rsidR="00576674" w:rsidP="00827F2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sidR="00827F25">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715" w:type="dxa"/>
            <w:textDirection w:val="btLr"/>
          </w:tcPr>
          <w:p w:rsidR="00454C0B" w:rsidP="00651515" w:rsidRDefault="00454C0B">
            <w:pPr>
              <w:jc w:val="center"/>
              <w:rPr>
                <w:rFonts w:asciiTheme="minorHAnsi" w:hAnsiTheme="minorHAnsi"/>
                <w:b/>
                <w:bCs/>
                <w:color w:val="000000"/>
                <w:sz w:val="22"/>
                <w:szCs w:val="22"/>
              </w:rPr>
            </w:pPr>
          </w:p>
          <w:p w:rsidRPr="00F50A0B" w:rsidR="00576674" w:rsidP="00651515"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454C0B" w:rsidP="00454C0B" w:rsidRDefault="00454C0B">
            <w:pPr>
              <w:jc w:val="center"/>
              <w:rPr>
                <w:rFonts w:asciiTheme="minorHAnsi" w:hAnsiTheme="minorHAnsi"/>
                <w:b/>
                <w:bCs/>
                <w:color w:val="000000"/>
                <w:sz w:val="22"/>
                <w:szCs w:val="22"/>
              </w:rPr>
            </w:pPr>
          </w:p>
        </w:tc>
        <w:tc>
          <w:tcPr>
            <w:tcW w:w="4575"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576674" w:rsidTr="002A6C83">
        <w:trPr>
          <w:trHeight w:val="300"/>
        </w:trPr>
        <w:tc>
          <w:tcPr>
            <w:tcW w:w="1149"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4"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576674" w:rsidP="00651515" w:rsidRDefault="00576674">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683"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45"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15" w:type="dxa"/>
            <w:tcBorders>
              <w:bottom w:val="single" w:color="auto" w:sz="4" w:space="0"/>
            </w:tcBorders>
            <w:shd w:val="clear" w:color="000000" w:fill="538DD5"/>
          </w:tcPr>
          <w:p w:rsidRPr="00F67F5B" w:rsidR="00576674" w:rsidP="00651515" w:rsidRDefault="00576674">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576674" w:rsidP="00651515" w:rsidRDefault="00576674">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F67F5B" w:rsidR="00575472" w:rsidTr="002A6C83">
        <w:trPr>
          <w:trHeight w:val="884"/>
        </w:trPr>
        <w:tc>
          <w:tcPr>
            <w:tcW w:w="1149" w:type="dxa"/>
            <w:shd w:val="clear" w:color="auto" w:fill="auto"/>
            <w:noWrap/>
          </w:tcPr>
          <w:p w:rsidR="00575472" w:rsidP="00E7302E" w:rsidRDefault="009A3B9C">
            <w:pPr>
              <w:rPr>
                <w:rFonts w:asciiTheme="minorHAnsi" w:hAnsiTheme="minorHAnsi"/>
                <w:color w:val="000000"/>
                <w:sz w:val="22"/>
                <w:szCs w:val="22"/>
              </w:rPr>
            </w:pPr>
            <w:r>
              <w:rPr>
                <w:rFonts w:asciiTheme="minorHAnsi" w:hAnsiTheme="minorHAnsi"/>
                <w:color w:val="000000"/>
                <w:sz w:val="22"/>
                <w:szCs w:val="22"/>
              </w:rPr>
              <w:t>28-mrt-</w:t>
            </w:r>
            <w:r w:rsidR="00575472">
              <w:rPr>
                <w:rFonts w:asciiTheme="minorHAnsi" w:hAnsiTheme="minorHAnsi"/>
                <w:color w:val="000000"/>
                <w:sz w:val="22"/>
                <w:szCs w:val="22"/>
              </w:rPr>
              <w:t>18</w:t>
            </w:r>
          </w:p>
          <w:p w:rsidRPr="00F67F5B" w:rsidR="00575472" w:rsidP="00E7302E" w:rsidRDefault="00575472">
            <w:pPr>
              <w:rPr>
                <w:rFonts w:asciiTheme="minorHAnsi" w:hAnsiTheme="minorHAnsi"/>
                <w:color w:val="000000"/>
                <w:sz w:val="22"/>
                <w:szCs w:val="22"/>
              </w:rPr>
            </w:pPr>
          </w:p>
        </w:tc>
        <w:tc>
          <w:tcPr>
            <w:tcW w:w="1034" w:type="dxa"/>
            <w:shd w:val="clear" w:color="auto" w:fill="auto"/>
            <w:noWrap/>
          </w:tcPr>
          <w:p w:rsidRPr="00F67F5B" w:rsidR="00575472" w:rsidP="00651515" w:rsidRDefault="009A3B9C">
            <w:pPr>
              <w:jc w:val="center"/>
              <w:rPr>
                <w:rFonts w:asciiTheme="minorHAnsi" w:hAnsiTheme="minorHAnsi"/>
                <w:color w:val="000000"/>
                <w:sz w:val="22"/>
                <w:szCs w:val="22"/>
              </w:rPr>
            </w:pPr>
            <w:r>
              <w:rPr>
                <w:rFonts w:asciiTheme="minorHAnsi" w:hAnsiTheme="minorHAnsi"/>
                <w:color w:val="000000"/>
                <w:sz w:val="22"/>
                <w:szCs w:val="22"/>
              </w:rPr>
              <w:t>Defensie</w:t>
            </w:r>
          </w:p>
        </w:tc>
        <w:tc>
          <w:tcPr>
            <w:tcW w:w="1254" w:type="dxa"/>
            <w:shd w:val="clear" w:color="auto" w:fill="auto"/>
            <w:noWrap/>
          </w:tcPr>
          <w:p w:rsidRPr="00F67F5B" w:rsidR="00575472" w:rsidP="00575D2D" w:rsidRDefault="009A3B9C">
            <w:pPr>
              <w:rPr>
                <w:rFonts w:asciiTheme="minorHAnsi" w:hAnsiTheme="minorHAnsi"/>
                <w:color w:val="000000"/>
                <w:sz w:val="22"/>
                <w:szCs w:val="22"/>
              </w:rPr>
            </w:pPr>
            <w:r>
              <w:rPr>
                <w:rFonts w:asciiTheme="minorHAnsi" w:hAnsiTheme="minorHAnsi"/>
                <w:color w:val="000000"/>
                <w:sz w:val="22"/>
                <w:szCs w:val="22"/>
              </w:rPr>
              <w:t>Mededeling</w:t>
            </w:r>
          </w:p>
        </w:tc>
        <w:tc>
          <w:tcPr>
            <w:tcW w:w="4683" w:type="dxa"/>
            <w:shd w:val="clear" w:color="auto" w:fill="auto"/>
          </w:tcPr>
          <w:p w:rsidRPr="006C7E1C" w:rsidR="00575472" w:rsidP="009A3B9C" w:rsidRDefault="009A3B9C">
            <w:pPr>
              <w:rPr>
                <w:rFonts w:asciiTheme="minorHAnsi" w:hAnsiTheme="minorHAnsi"/>
                <w:color w:val="000000"/>
                <w:sz w:val="22"/>
                <w:szCs w:val="22"/>
              </w:rPr>
            </w:pPr>
            <w:r>
              <w:rPr>
                <w:rFonts w:ascii="Calibri" w:hAnsi="Calibri"/>
                <w:color w:val="000000"/>
                <w:sz w:val="22"/>
                <w:szCs w:val="22"/>
              </w:rPr>
              <w:t>Gezamenlijke Mededeling aan het Europees Parlement en de Raad over het actieplan militaire mobiliteit</w:t>
            </w:r>
          </w:p>
        </w:tc>
        <w:tc>
          <w:tcPr>
            <w:tcW w:w="1245" w:type="dxa"/>
            <w:shd w:val="clear" w:color="auto" w:fill="auto"/>
            <w:noWrap/>
          </w:tcPr>
          <w:p w:rsidRPr="009A3B9C" w:rsidR="00575472" w:rsidP="009A3B9C" w:rsidRDefault="00920730">
            <w:pPr>
              <w:rPr>
                <w:rFonts w:ascii="Calibri" w:hAnsi="Calibri"/>
                <w:color w:val="000000"/>
                <w:sz w:val="22"/>
                <w:szCs w:val="22"/>
              </w:rPr>
            </w:pPr>
            <w:hyperlink w:history="1" r:id="rId8">
              <w:r w:rsidRPr="00625AFA" w:rsidR="009A3B9C">
                <w:rPr>
                  <w:rStyle w:val="Hyperlink"/>
                  <w:rFonts w:ascii="Calibri" w:hAnsi="Calibri"/>
                  <w:sz w:val="22"/>
                  <w:szCs w:val="22"/>
                </w:rPr>
                <w:t>JOIN(2018)5</w:t>
              </w:r>
            </w:hyperlink>
          </w:p>
        </w:tc>
        <w:tc>
          <w:tcPr>
            <w:tcW w:w="715" w:type="dxa"/>
          </w:tcPr>
          <w:p w:rsidRPr="009A3B9C" w:rsidR="00575472" w:rsidP="009A3B9C" w:rsidRDefault="009A3B9C">
            <w:pPr>
              <w:rPr>
                <w:rFonts w:ascii="Calibri" w:hAnsi="Calibri"/>
                <w:color w:val="000000"/>
                <w:sz w:val="22"/>
                <w:szCs w:val="22"/>
              </w:rPr>
            </w:pPr>
            <w:r>
              <w:rPr>
                <w:rFonts w:ascii="Calibri" w:hAnsi="Calibri"/>
                <w:color w:val="000000"/>
                <w:sz w:val="22"/>
                <w:szCs w:val="22"/>
              </w:rPr>
              <w:t>n.v.t.</w:t>
            </w:r>
          </w:p>
        </w:tc>
        <w:tc>
          <w:tcPr>
            <w:tcW w:w="4575" w:type="dxa"/>
            <w:shd w:val="clear" w:color="auto" w:fill="auto"/>
          </w:tcPr>
          <w:p w:rsidR="00F852E4" w:rsidP="009A3B9C" w:rsidRDefault="00575472">
            <w:pPr>
              <w:rPr>
                <w:rFonts w:ascii="Calibri" w:hAnsi="Calibri"/>
                <w:color w:val="000000"/>
                <w:sz w:val="22"/>
                <w:szCs w:val="22"/>
              </w:rPr>
            </w:pPr>
            <w:r w:rsidRPr="00E839B7">
              <w:rPr>
                <w:rFonts w:ascii="Calibri" w:hAnsi="Calibri"/>
                <w:color w:val="000000"/>
                <w:sz w:val="22"/>
                <w:szCs w:val="22"/>
                <w:u w:val="single"/>
              </w:rPr>
              <w:t>Behandelvoorstel:</w:t>
            </w:r>
            <w:r w:rsidRPr="009A3B9C">
              <w:rPr>
                <w:rFonts w:ascii="Calibri" w:hAnsi="Calibri"/>
                <w:color w:val="000000"/>
                <w:sz w:val="22"/>
                <w:szCs w:val="22"/>
              </w:rPr>
              <w:t xml:space="preserve"> </w:t>
            </w:r>
            <w:r w:rsidRPr="009A3B9C" w:rsidR="009A3B9C">
              <w:rPr>
                <w:rFonts w:ascii="Calibri" w:hAnsi="Calibri"/>
                <w:color w:val="000000"/>
                <w:sz w:val="22"/>
                <w:szCs w:val="22"/>
              </w:rPr>
              <w:t>desgewenst b</w:t>
            </w:r>
            <w:r w:rsidR="0098120E">
              <w:rPr>
                <w:rFonts w:ascii="Calibri" w:hAnsi="Calibri"/>
                <w:color w:val="000000"/>
                <w:sz w:val="22"/>
                <w:szCs w:val="22"/>
              </w:rPr>
              <w:t>etrekken bij het eerst</w:t>
            </w:r>
            <w:r w:rsidR="00E02472">
              <w:rPr>
                <w:rFonts w:ascii="Calibri" w:hAnsi="Calibri"/>
                <w:color w:val="000000"/>
                <w:sz w:val="22"/>
                <w:szCs w:val="22"/>
              </w:rPr>
              <w:t>volgend algemeen overleg op 25</w:t>
            </w:r>
            <w:r w:rsidRPr="009A3B9C" w:rsidR="009A3B9C">
              <w:rPr>
                <w:rFonts w:ascii="Calibri" w:hAnsi="Calibri"/>
                <w:color w:val="000000"/>
                <w:sz w:val="22"/>
                <w:szCs w:val="22"/>
              </w:rPr>
              <w:t xml:space="preserve"> april 2018 over de informele Defensieraad van 4-5 mei 2018.</w:t>
            </w:r>
          </w:p>
          <w:p w:rsidR="00F852E4" w:rsidP="009A3B9C" w:rsidRDefault="00F852E4">
            <w:pPr>
              <w:rPr>
                <w:rFonts w:ascii="Calibri" w:hAnsi="Calibri"/>
                <w:color w:val="000000"/>
                <w:sz w:val="22"/>
                <w:szCs w:val="22"/>
              </w:rPr>
            </w:pPr>
          </w:p>
          <w:p w:rsidR="00143B93" w:rsidP="009A3B9C" w:rsidRDefault="00F852E4">
            <w:pPr>
              <w:rPr>
                <w:rFonts w:ascii="Calibri" w:hAnsi="Calibri"/>
                <w:i/>
                <w:color w:val="000000"/>
                <w:sz w:val="22"/>
                <w:szCs w:val="22"/>
              </w:rPr>
            </w:pPr>
            <w:r>
              <w:rPr>
                <w:rFonts w:ascii="Calibri" w:hAnsi="Calibri"/>
                <w:i/>
                <w:color w:val="000000"/>
                <w:sz w:val="22"/>
                <w:szCs w:val="22"/>
              </w:rPr>
              <w:t xml:space="preserve">Dit actieplan is een vervolg op de </w:t>
            </w:r>
            <w:hyperlink w:history="1" r:id="rId9">
              <w:r w:rsidRPr="00920730">
                <w:rPr>
                  <w:rStyle w:val="Hyperlink"/>
                  <w:rFonts w:ascii="Calibri" w:hAnsi="Calibri"/>
                  <w:i/>
                  <w:sz w:val="22"/>
                  <w:szCs w:val="22"/>
                </w:rPr>
                <w:t>gezamenlijke mededeling</w:t>
              </w:r>
            </w:hyperlink>
            <w:r>
              <w:rPr>
                <w:rFonts w:ascii="Calibri" w:hAnsi="Calibri"/>
                <w:i/>
                <w:color w:val="000000"/>
                <w:sz w:val="22"/>
                <w:szCs w:val="22"/>
              </w:rPr>
              <w:t xml:space="preserve"> van november 2017 over de ve</w:t>
            </w:r>
            <w:r w:rsidR="00A74437">
              <w:rPr>
                <w:rFonts w:ascii="Calibri" w:hAnsi="Calibri"/>
                <w:i/>
                <w:color w:val="000000"/>
                <w:sz w:val="22"/>
                <w:szCs w:val="22"/>
              </w:rPr>
              <w:t>rbetering van militaire</w:t>
            </w:r>
            <w:r>
              <w:rPr>
                <w:rFonts w:ascii="Calibri" w:hAnsi="Calibri"/>
                <w:i/>
                <w:color w:val="000000"/>
                <w:sz w:val="22"/>
                <w:szCs w:val="22"/>
              </w:rPr>
              <w:t xml:space="preserve"> mobiliteit en is gebaseerd op</w:t>
            </w:r>
            <w:r w:rsidR="007D1ED6">
              <w:rPr>
                <w:rFonts w:ascii="Calibri" w:hAnsi="Calibri"/>
                <w:i/>
                <w:color w:val="000000"/>
                <w:sz w:val="22"/>
                <w:szCs w:val="22"/>
              </w:rPr>
              <w:t xml:space="preserve"> </w:t>
            </w:r>
            <w:r>
              <w:rPr>
                <w:rFonts w:ascii="Calibri" w:hAnsi="Calibri"/>
                <w:i/>
                <w:color w:val="000000"/>
                <w:sz w:val="22"/>
                <w:szCs w:val="22"/>
              </w:rPr>
              <w:t>een stappen</w:t>
            </w:r>
            <w:r w:rsidR="007D1ED6">
              <w:rPr>
                <w:rFonts w:ascii="Calibri" w:hAnsi="Calibri"/>
                <w:i/>
                <w:color w:val="000000"/>
                <w:sz w:val="22"/>
                <w:szCs w:val="22"/>
              </w:rPr>
              <w:t>plan</w:t>
            </w:r>
            <w:r w:rsidR="00A74437">
              <w:rPr>
                <w:rFonts w:ascii="Calibri" w:hAnsi="Calibri"/>
                <w:i/>
                <w:color w:val="000000"/>
                <w:sz w:val="22"/>
                <w:szCs w:val="22"/>
              </w:rPr>
              <w:t xml:space="preserve"> </w:t>
            </w:r>
            <w:r>
              <w:rPr>
                <w:rFonts w:ascii="Calibri" w:hAnsi="Calibri"/>
                <w:i/>
                <w:color w:val="000000"/>
                <w:sz w:val="22"/>
                <w:szCs w:val="22"/>
              </w:rPr>
              <w:t>van een ad-</w:t>
            </w:r>
            <w:proofErr w:type="spellStart"/>
            <w:r>
              <w:rPr>
                <w:rFonts w:ascii="Calibri" w:hAnsi="Calibri"/>
                <w:i/>
                <w:color w:val="000000"/>
                <w:sz w:val="22"/>
                <w:szCs w:val="22"/>
              </w:rPr>
              <w:t>hocwer</w:t>
            </w:r>
            <w:r w:rsidR="007D1ED6">
              <w:rPr>
                <w:rFonts w:ascii="Calibri" w:hAnsi="Calibri"/>
                <w:i/>
                <w:color w:val="000000"/>
                <w:sz w:val="22"/>
                <w:szCs w:val="22"/>
              </w:rPr>
              <w:t>kgroep</w:t>
            </w:r>
            <w:proofErr w:type="spellEnd"/>
            <w:r w:rsidR="007D1ED6">
              <w:rPr>
                <w:rFonts w:ascii="Calibri" w:hAnsi="Calibri"/>
                <w:i/>
                <w:color w:val="000000"/>
                <w:sz w:val="22"/>
                <w:szCs w:val="22"/>
              </w:rPr>
              <w:t xml:space="preserve"> van </w:t>
            </w:r>
            <w:r>
              <w:rPr>
                <w:rFonts w:ascii="Calibri" w:hAnsi="Calibri"/>
                <w:i/>
                <w:color w:val="000000"/>
                <w:sz w:val="22"/>
                <w:szCs w:val="22"/>
              </w:rPr>
              <w:t xml:space="preserve">het EDA. In het actieplan worden </w:t>
            </w:r>
            <w:r w:rsidR="007D1ED6">
              <w:rPr>
                <w:rFonts w:ascii="Calibri" w:hAnsi="Calibri"/>
                <w:i/>
                <w:color w:val="000000"/>
                <w:sz w:val="22"/>
                <w:szCs w:val="22"/>
              </w:rPr>
              <w:t>op de volgende vlakken concrete maatregelen voorgesteld</w:t>
            </w:r>
            <w:r w:rsidR="00A74437">
              <w:rPr>
                <w:rFonts w:ascii="Calibri" w:hAnsi="Calibri"/>
                <w:i/>
                <w:color w:val="000000"/>
                <w:sz w:val="22"/>
                <w:szCs w:val="22"/>
              </w:rPr>
              <w:t xml:space="preserve"> die -  na goedkeuring door de lidstaten - </w:t>
            </w:r>
            <w:r w:rsidR="00143B93">
              <w:rPr>
                <w:rFonts w:ascii="Calibri" w:hAnsi="Calibri"/>
                <w:i/>
                <w:color w:val="000000"/>
                <w:sz w:val="22"/>
                <w:szCs w:val="22"/>
              </w:rPr>
              <w:t>in 2018-2020</w:t>
            </w:r>
            <w:r w:rsidR="00A74437">
              <w:rPr>
                <w:rFonts w:ascii="Calibri" w:hAnsi="Calibri"/>
                <w:i/>
                <w:color w:val="000000"/>
                <w:sz w:val="22"/>
                <w:szCs w:val="22"/>
              </w:rPr>
              <w:t xml:space="preserve"> zullen worden genomen </w:t>
            </w:r>
            <w:r w:rsidR="007D1ED6">
              <w:rPr>
                <w:rFonts w:ascii="Calibri" w:hAnsi="Calibri"/>
                <w:i/>
                <w:color w:val="000000"/>
                <w:sz w:val="22"/>
                <w:szCs w:val="22"/>
              </w:rPr>
              <w:t xml:space="preserve">om de militaire mobiliteit binnen en buiten de EU te verbeteren: </w:t>
            </w:r>
            <w:bookmarkStart w:name="_GoBack" w:id="0"/>
            <w:bookmarkEnd w:id="0"/>
            <w:r w:rsidR="007D1ED6">
              <w:rPr>
                <w:rFonts w:ascii="Calibri" w:hAnsi="Calibri"/>
                <w:i/>
                <w:color w:val="000000"/>
                <w:sz w:val="22"/>
                <w:szCs w:val="22"/>
              </w:rPr>
              <w:t xml:space="preserve">militaire voorschriften, vervoersinfrastructuur en regel- en procedurekwesties. </w:t>
            </w:r>
          </w:p>
          <w:p w:rsidR="00143B93" w:rsidP="009A3B9C" w:rsidRDefault="00143B93">
            <w:pPr>
              <w:rPr>
                <w:rFonts w:ascii="Calibri" w:hAnsi="Calibri"/>
                <w:i/>
                <w:color w:val="000000"/>
                <w:sz w:val="22"/>
                <w:szCs w:val="22"/>
              </w:rPr>
            </w:pPr>
          </w:p>
          <w:p w:rsidRPr="00E839B7" w:rsidR="009A3B9C" w:rsidP="00E839B7" w:rsidRDefault="00143B93">
            <w:pPr>
              <w:rPr>
                <w:rFonts w:ascii="Calibri" w:hAnsi="Calibri"/>
                <w:i/>
                <w:color w:val="000000"/>
                <w:sz w:val="22"/>
                <w:szCs w:val="22"/>
              </w:rPr>
            </w:pPr>
            <w:r>
              <w:rPr>
                <w:rFonts w:ascii="Calibri" w:hAnsi="Calibri"/>
                <w:i/>
                <w:color w:val="000000"/>
                <w:sz w:val="22"/>
                <w:szCs w:val="22"/>
              </w:rPr>
              <w:t xml:space="preserve">Het BNC-fiche zal </w:t>
            </w:r>
            <w:r w:rsidRPr="00625AFA" w:rsidR="009A3B9C">
              <w:rPr>
                <w:rFonts w:ascii="Calibri" w:hAnsi="Calibri"/>
                <w:i/>
                <w:color w:val="000000"/>
                <w:sz w:val="22"/>
                <w:szCs w:val="22"/>
              </w:rPr>
              <w:t>naar verwachtin</w:t>
            </w:r>
            <w:r w:rsidR="009C7DE9">
              <w:rPr>
                <w:rFonts w:ascii="Calibri" w:hAnsi="Calibri"/>
                <w:i/>
                <w:color w:val="000000"/>
                <w:sz w:val="22"/>
                <w:szCs w:val="22"/>
              </w:rPr>
              <w:t>g in de eerste week van mei aan</w:t>
            </w:r>
            <w:r w:rsidRPr="00625AFA" w:rsidR="009A3B9C">
              <w:rPr>
                <w:rFonts w:ascii="Calibri" w:hAnsi="Calibri"/>
                <w:i/>
                <w:color w:val="000000"/>
                <w:sz w:val="22"/>
                <w:szCs w:val="22"/>
              </w:rPr>
              <w:t xml:space="preserve"> de Kamer worden verzonden.</w:t>
            </w:r>
            <w:r>
              <w:rPr>
                <w:rFonts w:ascii="Calibri" w:hAnsi="Calibri"/>
                <w:i/>
                <w:color w:val="000000"/>
                <w:sz w:val="22"/>
                <w:szCs w:val="22"/>
              </w:rPr>
              <w:t xml:space="preserve"> </w:t>
            </w:r>
            <w:r w:rsidR="002A6C83">
              <w:rPr>
                <w:rFonts w:ascii="Calibri" w:hAnsi="Calibri"/>
                <w:i/>
                <w:color w:val="000000"/>
                <w:sz w:val="22"/>
                <w:szCs w:val="22"/>
              </w:rPr>
              <w:t>Naar verwachting zullen tijdens de Europese Raad op 28-29 juni en tijdens de NAVO</w:t>
            </w:r>
            <w:r w:rsidR="00825CF8">
              <w:rPr>
                <w:rFonts w:ascii="Calibri" w:hAnsi="Calibri"/>
                <w:i/>
                <w:color w:val="000000"/>
                <w:sz w:val="22"/>
                <w:szCs w:val="22"/>
              </w:rPr>
              <w:t>-top op 11-12</w:t>
            </w:r>
            <w:r w:rsidR="002A6C83">
              <w:rPr>
                <w:rFonts w:ascii="Calibri" w:hAnsi="Calibri"/>
                <w:i/>
                <w:color w:val="000000"/>
                <w:sz w:val="22"/>
                <w:szCs w:val="22"/>
              </w:rPr>
              <w:t xml:space="preserve"> juli concrete afspraken worden gemaakt over militaire mobiliteit.</w:t>
            </w:r>
          </w:p>
        </w:tc>
      </w:tr>
    </w:tbl>
    <w:p w:rsidRPr="00A923E5" w:rsidR="0098120E" w:rsidP="0098120E" w:rsidRDefault="0098120E">
      <w:pPr>
        <w:pStyle w:val="Voetnoottekst"/>
        <w:rPr>
          <w:rFonts w:ascii="Verdana" w:hAnsi="Verdana"/>
          <w:b/>
        </w:rPr>
      </w:pPr>
      <w:r w:rsidRPr="00A923E5">
        <w:rPr>
          <w:rFonts w:ascii="Verdana" w:hAnsi="Verdana"/>
          <w:b/>
        </w:rPr>
        <w:lastRenderedPageBreak/>
        <w:t>Bijlage: behandelmogelijkheden EU-voorstellen</w:t>
      </w:r>
    </w:p>
    <w:p w:rsidRPr="00A923E5" w:rsidR="0098120E" w:rsidP="0098120E" w:rsidRDefault="0098120E">
      <w:pPr>
        <w:pStyle w:val="Voetnoottekst"/>
        <w:rPr>
          <w:rFonts w:ascii="Verdana" w:hAnsi="Verdana"/>
          <w:sz w:val="18"/>
          <w:szCs w:val="18"/>
        </w:rPr>
      </w:pPr>
    </w:p>
    <w:p w:rsidRPr="00A923E5" w:rsidR="0098120E" w:rsidP="0098120E" w:rsidRDefault="0098120E">
      <w:pPr>
        <w:rPr>
          <w:rFonts w:ascii="Verdana" w:hAnsi="Verdana"/>
          <w:sz w:val="18"/>
          <w:szCs w:val="18"/>
        </w:rPr>
      </w:pPr>
      <w:r w:rsidRPr="00A923E5">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923E5" w:rsidR="0098120E" w:rsidP="0098120E" w:rsidRDefault="0098120E">
      <w:pPr>
        <w:rPr>
          <w:rFonts w:ascii="Verdana" w:hAnsi="Verdana"/>
          <w:sz w:val="18"/>
          <w:szCs w:val="18"/>
        </w:rPr>
      </w:pPr>
      <w:r w:rsidRPr="00A923E5">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923E5" w:rsidR="0098120E" w:rsidP="0098120E" w:rsidRDefault="0098120E">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A923E5" w:rsidR="0098120E" w:rsidTr="009874A7">
        <w:tc>
          <w:tcPr>
            <w:tcW w:w="2093" w:type="dxa"/>
          </w:tcPr>
          <w:p w:rsidRPr="00A923E5" w:rsidR="0098120E" w:rsidP="009874A7" w:rsidRDefault="0098120E">
            <w:pPr>
              <w:pStyle w:val="Voetnoottekst"/>
              <w:rPr>
                <w:rFonts w:ascii="Verdana" w:hAnsi="Verdana"/>
                <w:b/>
                <w:sz w:val="18"/>
                <w:szCs w:val="18"/>
              </w:rPr>
            </w:pPr>
            <w:r w:rsidRPr="00A923E5">
              <w:rPr>
                <w:rFonts w:ascii="Verdana" w:hAnsi="Verdana"/>
                <w:b/>
                <w:sz w:val="18"/>
                <w:szCs w:val="18"/>
              </w:rPr>
              <w:t>Soort Instrument</w:t>
            </w:r>
          </w:p>
        </w:tc>
        <w:tc>
          <w:tcPr>
            <w:tcW w:w="6946" w:type="dxa"/>
          </w:tcPr>
          <w:p w:rsidRPr="00A923E5" w:rsidR="0098120E" w:rsidP="009874A7" w:rsidRDefault="0098120E">
            <w:pPr>
              <w:pStyle w:val="Voetnoottekst"/>
              <w:rPr>
                <w:rFonts w:ascii="Verdana" w:hAnsi="Verdana"/>
                <w:b/>
                <w:sz w:val="18"/>
                <w:szCs w:val="18"/>
              </w:rPr>
            </w:pPr>
            <w:r w:rsidRPr="00A923E5">
              <w:rPr>
                <w:rFonts w:ascii="Verdana" w:hAnsi="Verdana"/>
                <w:b/>
                <w:sz w:val="18"/>
                <w:szCs w:val="18"/>
              </w:rPr>
              <w:t>Toelichting</w:t>
            </w:r>
          </w:p>
        </w:tc>
        <w:tc>
          <w:tcPr>
            <w:tcW w:w="5103" w:type="dxa"/>
          </w:tcPr>
          <w:p w:rsidRPr="00A923E5" w:rsidR="0098120E" w:rsidP="009874A7" w:rsidRDefault="0098120E">
            <w:pPr>
              <w:pStyle w:val="Voetnoottekst"/>
              <w:rPr>
                <w:rFonts w:ascii="Verdana" w:hAnsi="Verdana"/>
                <w:b/>
                <w:sz w:val="18"/>
                <w:szCs w:val="18"/>
              </w:rPr>
            </w:pPr>
            <w:r w:rsidRPr="00A923E5">
              <w:rPr>
                <w:rFonts w:ascii="Verdana" w:hAnsi="Verdana"/>
                <w:b/>
                <w:sz w:val="18"/>
                <w:szCs w:val="18"/>
              </w:rPr>
              <w:t xml:space="preserve">Mogelijke beïnvloedingsmomenten </w:t>
            </w:r>
          </w:p>
        </w:tc>
      </w:tr>
      <w:tr w:rsidRPr="00A923E5" w:rsidR="0098120E" w:rsidTr="009874A7">
        <w:tc>
          <w:tcPr>
            <w:tcW w:w="14142" w:type="dxa"/>
            <w:gridSpan w:val="3"/>
          </w:tcPr>
          <w:p w:rsidRPr="00A923E5" w:rsidR="0098120E" w:rsidP="009874A7" w:rsidRDefault="0098120E">
            <w:pPr>
              <w:pStyle w:val="Voetnoottekst"/>
              <w:rPr>
                <w:rFonts w:ascii="Verdana" w:hAnsi="Verdana"/>
                <w:i/>
                <w:sz w:val="18"/>
                <w:szCs w:val="18"/>
              </w:rPr>
            </w:pPr>
          </w:p>
          <w:p w:rsidRPr="00A923E5" w:rsidR="0098120E" w:rsidP="009874A7" w:rsidRDefault="0098120E">
            <w:pPr>
              <w:pStyle w:val="Voetnoottekst"/>
              <w:rPr>
                <w:rFonts w:ascii="Verdana" w:hAnsi="Verdana"/>
                <w:i/>
                <w:sz w:val="18"/>
                <w:szCs w:val="18"/>
              </w:rPr>
            </w:pPr>
            <w:r w:rsidRPr="00A923E5">
              <w:rPr>
                <w:rFonts w:ascii="Verdana" w:hAnsi="Verdana"/>
                <w:i/>
                <w:sz w:val="18"/>
                <w:szCs w:val="18"/>
              </w:rPr>
              <w:t>Wetgevende, bindende rechtshandelingen</w:t>
            </w:r>
            <w:r w:rsidRPr="00A923E5">
              <w:rPr>
                <w:rStyle w:val="Voetnootmarkering"/>
                <w:rFonts w:ascii="Verdana" w:hAnsi="Verdana"/>
                <w:i/>
                <w:sz w:val="18"/>
                <w:szCs w:val="18"/>
              </w:rPr>
              <w:footnoteReference w:id="1"/>
            </w:r>
            <w:r w:rsidRPr="00A923E5">
              <w:rPr>
                <w:rFonts w:ascii="Verdana" w:hAnsi="Verdana"/>
                <w:i/>
                <w:sz w:val="18"/>
                <w:szCs w:val="18"/>
              </w:rPr>
              <w:t xml:space="preserve"> </w:t>
            </w: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Verordening</w:t>
            </w:r>
          </w:p>
        </w:tc>
        <w:tc>
          <w:tcPr>
            <w:tcW w:w="6946"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ambtenaren of Commissaris Europese Commissie (de ‘auteurs’) uitnodigen voor briefing/gesprek, evt. via videoconferentie.</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subsidiariteitstoets overwegen: let op termijn (zie hieronder).</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behandelvoorbehoud overwegen: let op termijn (zie hieronder).</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ad-hoc rapporteur(s) binnen de commissie(s) benoemen.</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tijdens overleg met kabinet NL onderhandelingsinzet aan de orde stellen, evt. aan de hand van het “BNC-fiche”.</w:t>
            </w:r>
            <w:r w:rsidRPr="00A923E5">
              <w:rPr>
                <w:rStyle w:val="Voetnootmarkering"/>
                <w:rFonts w:ascii="Verdana" w:hAnsi="Verdana"/>
                <w:sz w:val="18"/>
                <w:szCs w:val="18"/>
              </w:rPr>
              <w:footnoteReference w:id="2"/>
            </w:r>
            <w:r w:rsidRPr="00A923E5">
              <w:rPr>
                <w:rFonts w:ascii="Verdana" w:hAnsi="Verdana"/>
                <w:sz w:val="18"/>
                <w:szCs w:val="18"/>
              </w:rPr>
              <w:t xml:space="preserve"> </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EP-rapporteur uitnodigen, evt. via videoconferentie.</w:t>
            </w:r>
            <w:r w:rsidRPr="00A923E5">
              <w:rPr>
                <w:rFonts w:ascii="Verdana" w:hAnsi="Verdana"/>
                <w:sz w:val="18"/>
                <w:szCs w:val="18"/>
              </w:rPr>
              <w:br/>
            </w:r>
            <w:r w:rsidRPr="00A923E5">
              <w:rPr>
                <w:rFonts w:ascii="Verdana" w:hAnsi="Verdana"/>
                <w:sz w:val="18"/>
                <w:szCs w:val="18"/>
              </w:rPr>
              <w:br/>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NB: Pas na afronding van het onderhandelingstraject: nationale wetgevingstraject monitoren (</w:t>
            </w:r>
            <w:proofErr w:type="spellStart"/>
            <w:r w:rsidRPr="00A923E5">
              <w:rPr>
                <w:rFonts w:ascii="Verdana" w:hAnsi="Verdana"/>
                <w:sz w:val="18"/>
                <w:szCs w:val="18"/>
              </w:rPr>
              <w:t>i.h.k.v</w:t>
            </w:r>
            <w:proofErr w:type="spellEnd"/>
            <w:r w:rsidRPr="00A923E5">
              <w:rPr>
                <w:rFonts w:ascii="Verdana" w:hAnsi="Verdana"/>
                <w:sz w:val="18"/>
                <w:szCs w:val="18"/>
              </w:rPr>
              <w:t>. omzetting naar nationale wetgeving).</w:t>
            </w: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 xml:space="preserve">Richtlijn </w:t>
            </w:r>
          </w:p>
        </w:tc>
        <w:tc>
          <w:tcPr>
            <w:tcW w:w="6946"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923E5" w:rsidR="0098120E" w:rsidP="009874A7" w:rsidRDefault="0098120E">
            <w:pPr>
              <w:pStyle w:val="Voetnoottekst"/>
              <w:numPr>
                <w:ilvl w:val="0"/>
                <w:numId w:val="2"/>
              </w:numPr>
              <w:ind w:left="317" w:hanging="283"/>
              <w:rPr>
                <w:rFonts w:ascii="Verdana" w:hAnsi="Verdana"/>
                <w:sz w:val="18"/>
                <w:szCs w:val="18"/>
              </w:rPr>
            </w:pP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(Besluit)</w:t>
            </w:r>
          </w:p>
        </w:tc>
        <w:tc>
          <w:tcPr>
            <w:tcW w:w="6946"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t>
            </w:r>
            <w:r w:rsidRPr="00A923E5">
              <w:rPr>
                <w:rFonts w:ascii="Verdana" w:hAnsi="Verdana"/>
                <w:sz w:val="18"/>
                <w:szCs w:val="18"/>
              </w:rPr>
              <w:lastRenderedPageBreak/>
              <w:t xml:space="preserve">wetgevende handeling, in dat eerste geval niet. </w:t>
            </w:r>
            <w:r w:rsidRPr="00A923E5">
              <w:rPr>
                <w:rFonts w:ascii="Verdana" w:hAnsi="Verdana"/>
                <w:sz w:val="18"/>
                <w:szCs w:val="18"/>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A923E5" w:rsidR="0098120E" w:rsidP="009874A7" w:rsidRDefault="0098120E">
            <w:pPr>
              <w:pStyle w:val="Voetnoottekst"/>
              <w:numPr>
                <w:ilvl w:val="0"/>
                <w:numId w:val="2"/>
              </w:numPr>
              <w:ind w:left="317" w:hanging="283"/>
              <w:rPr>
                <w:rFonts w:ascii="Verdana" w:hAnsi="Verdana"/>
                <w:sz w:val="18"/>
                <w:szCs w:val="18"/>
              </w:rPr>
            </w:pPr>
          </w:p>
        </w:tc>
      </w:tr>
      <w:tr w:rsidRPr="00A923E5" w:rsidR="0098120E" w:rsidTr="009874A7">
        <w:tc>
          <w:tcPr>
            <w:tcW w:w="14142" w:type="dxa"/>
            <w:gridSpan w:val="3"/>
          </w:tcPr>
          <w:p w:rsidRPr="00A923E5" w:rsidR="0098120E" w:rsidP="009874A7" w:rsidRDefault="0098120E">
            <w:pPr>
              <w:pStyle w:val="Voetnoottekst"/>
              <w:rPr>
                <w:rFonts w:ascii="Verdana" w:hAnsi="Verdana"/>
                <w:i/>
                <w:sz w:val="18"/>
                <w:szCs w:val="18"/>
              </w:rPr>
            </w:pPr>
            <w:r w:rsidRPr="00A923E5">
              <w:rPr>
                <w:rFonts w:ascii="Verdana" w:hAnsi="Verdana"/>
                <w:i/>
                <w:sz w:val="18"/>
                <w:szCs w:val="18"/>
              </w:rPr>
              <w:lastRenderedPageBreak/>
              <w:t>Niet-wetgevende bindende rechtshandelingen</w:t>
            </w: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Gedelegeerde handeling</w:t>
            </w:r>
          </w:p>
        </w:tc>
        <w:tc>
          <w:tcPr>
            <w:tcW w:w="6946"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A923E5" w:rsidR="0098120E" w:rsidP="009874A7" w:rsidRDefault="0098120E">
            <w:pPr>
              <w:pStyle w:val="Voetnoottekst"/>
              <w:ind w:left="360"/>
              <w:rPr>
                <w:rFonts w:ascii="Verdana" w:hAnsi="Verdana"/>
                <w:sz w:val="18"/>
                <w:szCs w:val="18"/>
              </w:rPr>
            </w:pP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proofErr w:type="spellStart"/>
            <w:r w:rsidRPr="00A923E5">
              <w:rPr>
                <w:rFonts w:ascii="Verdana" w:hAnsi="Verdana"/>
                <w:sz w:val="18"/>
                <w:szCs w:val="18"/>
              </w:rPr>
              <w:t>Uitvoerings-handeling</w:t>
            </w:r>
            <w:proofErr w:type="spellEnd"/>
          </w:p>
        </w:tc>
        <w:tc>
          <w:tcPr>
            <w:tcW w:w="6946"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kabinet per brief of tijdens algemeen overleg/debat bevragen over stand van zaken en appreciatie EU onderhandelingen en NL inzet.</w:t>
            </w:r>
          </w:p>
          <w:p w:rsidRPr="00A923E5" w:rsidR="0098120E" w:rsidP="009874A7" w:rsidRDefault="0098120E">
            <w:pPr>
              <w:numPr>
                <w:ilvl w:val="0"/>
                <w:numId w:val="1"/>
              </w:numPr>
              <w:rPr>
                <w:rFonts w:ascii="Verdana" w:hAnsi="Verdana"/>
                <w:sz w:val="18"/>
                <w:szCs w:val="18"/>
              </w:rPr>
            </w:pPr>
            <w:r w:rsidRPr="00A923E5">
              <w:rPr>
                <w:rFonts w:ascii="Verdana" w:hAnsi="Verdana"/>
                <w:color w:val="000000"/>
                <w:sz w:val="18"/>
                <w:szCs w:val="18"/>
              </w:rPr>
              <w:t xml:space="preserve">op basis van </w:t>
            </w:r>
            <w:r w:rsidRPr="00A923E5">
              <w:rPr>
                <w:rFonts w:ascii="Verdana" w:hAnsi="Verdana"/>
                <w:sz w:val="18"/>
                <w:szCs w:val="18"/>
              </w:rPr>
              <w:t xml:space="preserve">de </w:t>
            </w:r>
            <w:hyperlink w:history="1" r:id="rId10">
              <w:r w:rsidRPr="00A923E5">
                <w:rPr>
                  <w:rFonts w:ascii="Verdana" w:hAnsi="Verdana"/>
                  <w:sz w:val="18"/>
                  <w:szCs w:val="18"/>
                  <w:u w:val="single"/>
                </w:rPr>
                <w:t>(gewijzigde) motie Van Gent</w:t>
              </w:r>
            </w:hyperlink>
            <w:r w:rsidRPr="00A923E5">
              <w:rPr>
                <w:rFonts w:ascii="Verdana" w:hAnsi="Verdana"/>
                <w:color w:val="000000"/>
                <w:sz w:val="18"/>
                <w:szCs w:val="18"/>
              </w:rPr>
              <w:t xml:space="preserve"> dient het kabinet de Kamer afschriften te sturen van zijn correspondentie met de Europese Commissie over de uitvoering van Europese regelgeving.</w:t>
            </w: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Handelingen vastgesteld volgens de regelgevingsprocedure met toetsing</w:t>
            </w:r>
          </w:p>
        </w:tc>
        <w:tc>
          <w:tcPr>
            <w:tcW w:w="6946" w:type="dxa"/>
          </w:tcPr>
          <w:p w:rsidRPr="00A923E5" w:rsidR="0098120E" w:rsidP="009874A7" w:rsidRDefault="0098120E">
            <w:pPr>
              <w:rPr>
                <w:rFonts w:ascii="Verdana" w:hAnsi="Verdana"/>
                <w:sz w:val="18"/>
                <w:szCs w:val="18"/>
              </w:rPr>
            </w:pPr>
            <w:r w:rsidRPr="00A923E5">
              <w:rPr>
                <w:rFonts w:ascii="Verdana" w:hAnsi="Verdana"/>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w:t>
            </w:r>
          </w:p>
          <w:p w:rsidRPr="00A923E5" w:rsidR="0098120E" w:rsidP="009874A7" w:rsidRDefault="0098120E">
            <w:pPr>
              <w:pStyle w:val="Voetnoottekst"/>
              <w:numPr>
                <w:ilvl w:val="0"/>
                <w:numId w:val="1"/>
              </w:numPr>
              <w:rPr>
                <w:rFonts w:ascii="Verdana" w:hAnsi="Verdana"/>
                <w:sz w:val="18"/>
                <w:szCs w:val="18"/>
              </w:rPr>
            </w:pP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Bijzondere rechtshandelingen</w:t>
            </w:r>
          </w:p>
        </w:tc>
        <w:tc>
          <w:tcPr>
            <w:tcW w:w="6946"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 xml:space="preserve">Er bestaan nog andere typen niet-wetgevende rechtshandelingen waarvan op voorhand niet te zeggen zijn of zij bindend zijn of niet. </w:t>
            </w:r>
            <w:r w:rsidRPr="00A923E5">
              <w:rPr>
                <w:rFonts w:ascii="Verdana" w:hAnsi="Verdana"/>
                <w:sz w:val="18"/>
                <w:szCs w:val="18"/>
              </w:rPr>
              <w:lastRenderedPageBreak/>
              <w:t>Bijvoorbeeld meerjarige kaderprogramma’s of actieprogramma’s. Deze programma’s worden vastgesteld volgens dezelfde wetgevingsprocedures als richtlijnen en verordeningen. Het is zaak goed in de teksten te bezien wat de voorgestelde rechtskracht is.</w:t>
            </w:r>
          </w:p>
          <w:p w:rsidRPr="00A923E5" w:rsidR="0098120E" w:rsidP="009874A7" w:rsidRDefault="0098120E">
            <w:pPr>
              <w:pStyle w:val="Voetnoottekst"/>
              <w:rPr>
                <w:rFonts w:ascii="Verdana" w:hAnsi="Verdana"/>
                <w:sz w:val="18"/>
                <w:szCs w:val="18"/>
              </w:rPr>
            </w:pPr>
          </w:p>
        </w:tc>
        <w:tc>
          <w:tcPr>
            <w:tcW w:w="5103" w:type="dxa"/>
          </w:tcPr>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lastRenderedPageBreak/>
              <w:t>kabinetsappreciatie (‘BNC-fiche’) vragen, bespreken.</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lastRenderedPageBreak/>
              <w:t>ambtenaren of Commissaris van Europese Commissie (de ‘auteurs’) uitnodigen voor briefing/gesprek, evt. via videoconferentie</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indien het Europees Parlement een rapporteur heeft aangesteld kan deze desgewenst worden uitgenodigd voor een gesprek.</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uw commissie kan op dit onderwerp een ad-hoc rapporteur benoemen</w:t>
            </w:r>
          </w:p>
          <w:p w:rsidRPr="00A923E5" w:rsidR="0098120E" w:rsidP="009874A7" w:rsidRDefault="0098120E">
            <w:pPr>
              <w:pStyle w:val="Voetnoottekst"/>
              <w:ind w:left="360"/>
              <w:rPr>
                <w:rFonts w:ascii="Verdana" w:hAnsi="Verdana"/>
                <w:sz w:val="18"/>
                <w:szCs w:val="18"/>
              </w:rPr>
            </w:pPr>
            <w:r w:rsidRPr="00A923E5">
              <w:rPr>
                <w:rFonts w:ascii="Verdana" w:hAnsi="Verdana"/>
                <w:sz w:val="18"/>
                <w:szCs w:val="18"/>
              </w:rPr>
              <w:t>nationale wetgevingstraject (</w:t>
            </w:r>
            <w:proofErr w:type="spellStart"/>
            <w:r w:rsidRPr="00A923E5">
              <w:rPr>
                <w:rFonts w:ascii="Verdana" w:hAnsi="Verdana"/>
                <w:sz w:val="18"/>
                <w:szCs w:val="18"/>
              </w:rPr>
              <w:t>i.h.k.v</w:t>
            </w:r>
            <w:proofErr w:type="spellEnd"/>
            <w:r w:rsidRPr="00A923E5">
              <w:rPr>
                <w:rFonts w:ascii="Verdana" w:hAnsi="Verdana"/>
                <w:sz w:val="18"/>
                <w:szCs w:val="18"/>
              </w:rPr>
              <w:t>. omzetting van richtlijn naar nationale wetgeving).</w:t>
            </w:r>
          </w:p>
        </w:tc>
      </w:tr>
      <w:tr w:rsidRPr="00A923E5" w:rsidR="0098120E" w:rsidTr="009874A7">
        <w:tc>
          <w:tcPr>
            <w:tcW w:w="14142" w:type="dxa"/>
            <w:gridSpan w:val="3"/>
          </w:tcPr>
          <w:p w:rsidRPr="00A923E5" w:rsidR="0098120E" w:rsidP="009874A7" w:rsidRDefault="0098120E">
            <w:pPr>
              <w:pStyle w:val="Voetnoottekst"/>
              <w:rPr>
                <w:rFonts w:ascii="Verdana" w:hAnsi="Verdana"/>
                <w:i/>
                <w:sz w:val="18"/>
                <w:szCs w:val="18"/>
              </w:rPr>
            </w:pPr>
            <w:r w:rsidRPr="00A923E5">
              <w:rPr>
                <w:rFonts w:ascii="Verdana" w:hAnsi="Verdana"/>
                <w:i/>
                <w:sz w:val="18"/>
                <w:szCs w:val="18"/>
              </w:rPr>
              <w:lastRenderedPageBreak/>
              <w:t>Niet-bindende handelingen (soft-</w:t>
            </w:r>
            <w:proofErr w:type="spellStart"/>
            <w:r w:rsidRPr="00A923E5">
              <w:rPr>
                <w:rFonts w:ascii="Verdana" w:hAnsi="Verdana"/>
                <w:i/>
                <w:sz w:val="18"/>
                <w:szCs w:val="18"/>
              </w:rPr>
              <w:t>law</w:t>
            </w:r>
            <w:proofErr w:type="spellEnd"/>
            <w:r w:rsidRPr="00A923E5">
              <w:rPr>
                <w:rFonts w:ascii="Verdana" w:hAnsi="Verdana"/>
                <w:i/>
                <w:sz w:val="18"/>
                <w:szCs w:val="18"/>
              </w:rPr>
              <w:t>)</w:t>
            </w: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Advies, aanbeveling, mededeling</w:t>
            </w:r>
          </w:p>
          <w:p w:rsidRPr="00A923E5" w:rsidR="0098120E" w:rsidP="009874A7" w:rsidRDefault="0098120E">
            <w:pPr>
              <w:jc w:val="right"/>
              <w:rPr>
                <w:rFonts w:ascii="Verdana" w:hAnsi="Verdana"/>
              </w:rPr>
            </w:pPr>
          </w:p>
          <w:p w:rsidRPr="00A923E5" w:rsidR="0098120E" w:rsidP="009874A7" w:rsidRDefault="0098120E">
            <w:pPr>
              <w:jc w:val="right"/>
              <w:rPr>
                <w:rFonts w:ascii="Verdana" w:hAnsi="Verdana"/>
              </w:rPr>
            </w:pPr>
          </w:p>
          <w:p w:rsidRPr="00A923E5" w:rsidR="0098120E" w:rsidP="009874A7" w:rsidRDefault="0098120E">
            <w:pPr>
              <w:jc w:val="right"/>
              <w:rPr>
                <w:rFonts w:ascii="Verdana" w:hAnsi="Verdana"/>
              </w:rPr>
            </w:pPr>
          </w:p>
          <w:p w:rsidRPr="00A923E5" w:rsidR="0098120E" w:rsidP="009874A7" w:rsidRDefault="0098120E">
            <w:pPr>
              <w:jc w:val="right"/>
              <w:rPr>
                <w:rFonts w:ascii="Verdana" w:hAnsi="Verdana"/>
              </w:rPr>
            </w:pPr>
          </w:p>
          <w:p w:rsidRPr="00A923E5" w:rsidR="0098120E" w:rsidP="009874A7" w:rsidRDefault="0098120E">
            <w:pPr>
              <w:jc w:val="right"/>
              <w:rPr>
                <w:rFonts w:ascii="Verdana" w:hAnsi="Verdana"/>
              </w:rPr>
            </w:pPr>
          </w:p>
        </w:tc>
        <w:tc>
          <w:tcPr>
            <w:tcW w:w="6946" w:type="dxa"/>
          </w:tcPr>
          <w:p w:rsidRPr="00A923E5" w:rsidR="0098120E" w:rsidP="009874A7" w:rsidRDefault="0098120E">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De EU kent een grote hoeveelheid uiteenlopende typen beleid (‘soft </w:t>
            </w:r>
            <w:proofErr w:type="spellStart"/>
            <w:r w:rsidRPr="00A923E5">
              <w:rPr>
                <w:rFonts w:ascii="Verdana" w:hAnsi="Verdana"/>
                <w:sz w:val="18"/>
                <w:szCs w:val="18"/>
              </w:rPr>
              <w:t>law</w:t>
            </w:r>
            <w:proofErr w:type="spellEnd"/>
            <w:r w:rsidRPr="00A923E5">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923E5">
              <w:rPr>
                <w:rFonts w:ascii="Verdana" w:hAnsi="Verdana"/>
                <w:sz w:val="18"/>
                <w:szCs w:val="18"/>
              </w:rPr>
              <w:t>law</w:t>
            </w:r>
            <w:proofErr w:type="spellEnd"/>
            <w:r w:rsidRPr="00A923E5">
              <w:rPr>
                <w:rFonts w:ascii="Verdana" w:hAnsi="Verdana"/>
                <w:sz w:val="18"/>
                <w:szCs w:val="18"/>
              </w:rPr>
              <w:t xml:space="preserve">. </w:t>
            </w:r>
          </w:p>
        </w:tc>
        <w:tc>
          <w:tcPr>
            <w:tcW w:w="5103" w:type="dxa"/>
          </w:tcPr>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98120E" w:rsidP="009874A7" w:rsidRDefault="0098120E">
            <w:pPr>
              <w:pStyle w:val="Voetnoottekst"/>
              <w:rPr>
                <w:rFonts w:ascii="Verdana" w:hAnsi="Verdana"/>
                <w:sz w:val="18"/>
                <w:szCs w:val="18"/>
              </w:rPr>
            </w:pPr>
          </w:p>
          <w:p w:rsidRPr="00A923E5" w:rsidR="0098120E" w:rsidP="009874A7" w:rsidRDefault="0098120E">
            <w:pPr>
              <w:pStyle w:val="Voetnoottekst"/>
              <w:rPr>
                <w:rFonts w:ascii="Verdana" w:hAnsi="Verdana"/>
                <w:sz w:val="18"/>
                <w:szCs w:val="18"/>
              </w:rPr>
            </w:pPr>
          </w:p>
          <w:p w:rsidRPr="00A923E5" w:rsidR="0098120E" w:rsidP="009874A7" w:rsidRDefault="0098120E">
            <w:pPr>
              <w:pStyle w:val="Voetnoottekst"/>
              <w:rPr>
                <w:rFonts w:ascii="Verdana" w:hAnsi="Verdana"/>
                <w:sz w:val="18"/>
                <w:szCs w:val="18"/>
              </w:rPr>
            </w:pPr>
          </w:p>
          <w:p w:rsidRPr="00A923E5" w:rsidR="0098120E" w:rsidP="009874A7" w:rsidRDefault="0098120E">
            <w:pPr>
              <w:pStyle w:val="Voetnoottekst"/>
              <w:rPr>
                <w:rFonts w:ascii="Verdana" w:hAnsi="Verdana"/>
                <w:sz w:val="18"/>
                <w:szCs w:val="18"/>
              </w:rPr>
            </w:pPr>
          </w:p>
          <w:p w:rsidRPr="00A923E5" w:rsidR="0098120E" w:rsidP="009874A7" w:rsidRDefault="0098120E">
            <w:pPr>
              <w:pStyle w:val="Voetnoottekst"/>
              <w:rPr>
                <w:rFonts w:ascii="Verdana" w:hAnsi="Verdana"/>
                <w:sz w:val="18"/>
                <w:szCs w:val="18"/>
              </w:rPr>
            </w:pPr>
          </w:p>
        </w:tc>
      </w:tr>
      <w:tr w:rsidRPr="00A923E5" w:rsidR="0098120E" w:rsidTr="009874A7">
        <w:tc>
          <w:tcPr>
            <w:tcW w:w="14142" w:type="dxa"/>
            <w:gridSpan w:val="3"/>
          </w:tcPr>
          <w:p w:rsidRPr="00A923E5" w:rsidR="0098120E" w:rsidP="009874A7" w:rsidRDefault="0098120E">
            <w:pPr>
              <w:pStyle w:val="Voetnoottekst"/>
              <w:rPr>
                <w:rFonts w:ascii="Verdana" w:hAnsi="Verdana"/>
                <w:i/>
                <w:sz w:val="18"/>
                <w:szCs w:val="18"/>
              </w:rPr>
            </w:pPr>
            <w:r w:rsidRPr="00A923E5">
              <w:rPr>
                <w:rFonts w:ascii="Verdana" w:hAnsi="Verdana"/>
                <w:i/>
                <w:sz w:val="18"/>
                <w:szCs w:val="18"/>
              </w:rPr>
              <w:t xml:space="preserve">Overige handelingen en instrumenten </w:t>
            </w: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 xml:space="preserve">Routekaart, actieplannen, strategie, agenda </w:t>
            </w:r>
          </w:p>
        </w:tc>
        <w:tc>
          <w:tcPr>
            <w:tcW w:w="6946" w:type="dxa"/>
          </w:tcPr>
          <w:p w:rsidRPr="00A923E5" w:rsidR="0098120E" w:rsidP="009874A7" w:rsidRDefault="0098120E">
            <w:pPr>
              <w:pStyle w:val="Voetnoottekst"/>
              <w:rPr>
                <w:rFonts w:ascii="Verdana" w:hAnsi="Verdana"/>
                <w:sz w:val="18"/>
                <w:szCs w:val="18"/>
              </w:rPr>
            </w:pPr>
            <w:r w:rsidRPr="00A923E5">
              <w:rPr>
                <w:rFonts w:ascii="Verdana" w:hAnsi="Verdana" w:cs="Arial"/>
                <w:sz w:val="18"/>
                <w:szCs w:val="18"/>
              </w:rPr>
              <w:t xml:space="preserve">Via routekaarten, actieplannen, strategieën en agenda’s informeert de Europese Commissie belanghebbenden en burgers over nieuwe initiatieven, evaluaties en geschiktheidscontroles. In deze documenten </w:t>
            </w:r>
            <w:r w:rsidRPr="00A923E5">
              <w:rPr>
                <w:rStyle w:val="Zwaar"/>
                <w:rFonts w:ascii="Verdana" w:hAnsi="Verdana" w:cs="Arial"/>
                <w:sz w:val="18"/>
                <w:szCs w:val="18"/>
              </w:rPr>
              <w:t>voor nieuwe initiatieven</w:t>
            </w:r>
            <w:r w:rsidRPr="00A923E5">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923E5">
              <w:rPr>
                <w:rStyle w:val="Zwaar"/>
                <w:rFonts w:ascii="Verdana" w:hAnsi="Verdana" w:cs="Arial"/>
                <w:sz w:val="18"/>
                <w:szCs w:val="18"/>
              </w:rPr>
              <w:t xml:space="preserve"> voor evaluaties en geschiktheidscontroles</w:t>
            </w:r>
            <w:r w:rsidRPr="00A923E5">
              <w:rPr>
                <w:rFonts w:ascii="Verdana" w:hAnsi="Verdana" w:cs="Arial"/>
                <w:sz w:val="18"/>
                <w:szCs w:val="18"/>
              </w:rPr>
              <w:t xml:space="preserve"> wordt bepaald wat er geëvalueerd moet worden en welke aspecten moeten worden onderzocht. </w:t>
            </w:r>
          </w:p>
        </w:tc>
        <w:tc>
          <w:tcPr>
            <w:tcW w:w="5103" w:type="dxa"/>
          </w:tcPr>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en/of kabinet vragen om NL inzet (per commissiebrief of tijdens algemeen overleg/debat).</w:t>
            </w: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Groen- en witboek</w:t>
            </w:r>
          </w:p>
        </w:tc>
        <w:tc>
          <w:tcPr>
            <w:tcW w:w="6946"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 xml:space="preserve">Groenboek: een discussiestuk, waarmee de Europese Commissie de stand van zaken inventariseert omtrent een onderwerp. Ook doet ze aanbevelingen voor nieuw beleid. </w:t>
            </w:r>
          </w:p>
          <w:p w:rsidRPr="00A923E5" w:rsidR="0098120E" w:rsidP="009874A7" w:rsidRDefault="0098120E">
            <w:pPr>
              <w:pStyle w:val="Voetnoottekst"/>
              <w:rPr>
                <w:rFonts w:ascii="Verdana" w:hAnsi="Verdana"/>
                <w:sz w:val="18"/>
                <w:szCs w:val="18"/>
              </w:rPr>
            </w:pPr>
          </w:p>
          <w:p w:rsidRPr="00A923E5" w:rsidR="0098120E" w:rsidP="009874A7" w:rsidRDefault="0098120E">
            <w:pPr>
              <w:pStyle w:val="Voetnoottekst"/>
              <w:rPr>
                <w:rFonts w:ascii="Verdana" w:hAnsi="Verdana"/>
                <w:sz w:val="18"/>
                <w:szCs w:val="18"/>
              </w:rPr>
            </w:pPr>
            <w:r w:rsidRPr="00A923E5">
              <w:rPr>
                <w:rFonts w:ascii="Verdana" w:hAnsi="Verdana"/>
                <w:sz w:val="18"/>
                <w:szCs w:val="18"/>
              </w:rPr>
              <w:t>Witboek: hierin zet de Europese Commissie uiteen hoe zij bepaalde doelen wil bereiken. Vaak worden in een witboek al concrete voorstellen uitgewerkt en toegelicht.</w:t>
            </w:r>
          </w:p>
          <w:p w:rsidRPr="00A923E5" w:rsidR="0098120E" w:rsidP="009874A7" w:rsidRDefault="0098120E">
            <w:pPr>
              <w:pStyle w:val="Voetnoottekst"/>
              <w:rPr>
                <w:rFonts w:ascii="Verdana" w:hAnsi="Verdana"/>
                <w:sz w:val="18"/>
                <w:szCs w:val="18"/>
              </w:rPr>
            </w:pPr>
            <w:r w:rsidRPr="00A923E5">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desgewenst ambtenaren EC of Europees Commissaris uitnodigen voor een toelichting.</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in commissieverband (via schriftelijke inbreng in de vorm van een politieke dialoog) of als lid, burger of via fracties een reactie sturen aan de Europese Commissie.</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 xml:space="preserve">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w:t>
            </w:r>
            <w:r w:rsidRPr="00A923E5">
              <w:rPr>
                <w:rFonts w:ascii="Verdana" w:hAnsi="Verdana"/>
                <w:sz w:val="18"/>
                <w:szCs w:val="18"/>
              </w:rPr>
              <w:lastRenderedPageBreak/>
              <w:t>een algemeen overleg/debat.</w:t>
            </w: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lastRenderedPageBreak/>
              <w:t>Openbare raadpleging (consultatie)</w:t>
            </w:r>
          </w:p>
        </w:tc>
        <w:tc>
          <w:tcPr>
            <w:tcW w:w="6946" w:type="dxa"/>
          </w:tcPr>
          <w:p w:rsidRPr="00A923E5" w:rsidR="0098120E" w:rsidP="009874A7" w:rsidRDefault="0098120E">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A923E5">
                <w:rPr>
                  <w:rStyle w:val="Hyperlink"/>
                  <w:rFonts w:ascii="Verdana" w:hAnsi="Verdana"/>
                  <w:sz w:val="18"/>
                  <w:szCs w:val="18"/>
                </w:rPr>
                <w:t>Bekijk alle openbare raadplegingen op "Uw stem in Europa"</w:t>
              </w:r>
            </w:hyperlink>
            <w:r w:rsidRPr="00A923E5">
              <w:rPr>
                <w:rFonts w:ascii="Verdana" w:hAnsi="Verdana"/>
                <w:sz w:val="18"/>
                <w:szCs w:val="18"/>
              </w:rPr>
              <w:t xml:space="preserve"> . </w:t>
            </w:r>
          </w:p>
        </w:tc>
        <w:tc>
          <w:tcPr>
            <w:tcW w:w="5103" w:type="dxa"/>
          </w:tcPr>
          <w:p w:rsidRPr="00A923E5" w:rsidR="0098120E" w:rsidP="009874A7" w:rsidRDefault="0098120E">
            <w:pPr>
              <w:pStyle w:val="Voetnoottekst"/>
              <w:numPr>
                <w:ilvl w:val="0"/>
                <w:numId w:val="1"/>
              </w:numPr>
              <w:autoSpaceDE w:val="0"/>
              <w:autoSpaceDN w:val="0"/>
              <w:rPr>
                <w:rFonts w:ascii="Verdana" w:hAnsi="Verdana"/>
                <w:sz w:val="18"/>
                <w:szCs w:val="18"/>
              </w:rPr>
            </w:pPr>
            <w:r w:rsidRPr="00A923E5">
              <w:rPr>
                <w:rFonts w:ascii="Verdana" w:hAnsi="Verdana"/>
                <w:sz w:val="18"/>
                <w:szCs w:val="18"/>
              </w:rPr>
              <w:t>als burger, lid, fractie of in commissieverband (via schriftelijke inbreng in de vorm van een politieke dialoog). meedoen aan de openbare raadpleging.</w:t>
            </w:r>
          </w:p>
          <w:p w:rsidRPr="00A923E5" w:rsidR="0098120E" w:rsidP="009874A7" w:rsidRDefault="0098120E">
            <w:pPr>
              <w:pStyle w:val="Voetnoottekst"/>
              <w:numPr>
                <w:ilvl w:val="0"/>
                <w:numId w:val="1"/>
              </w:numPr>
              <w:autoSpaceDE w:val="0"/>
              <w:autoSpaceDN w:val="0"/>
              <w:rPr>
                <w:rFonts w:ascii="Verdana" w:hAnsi="Verdana"/>
                <w:sz w:val="18"/>
                <w:szCs w:val="18"/>
              </w:rPr>
            </w:pPr>
            <w:r w:rsidRPr="00A923E5">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923E5" w:rsidR="0098120E" w:rsidP="009874A7" w:rsidRDefault="0098120E">
            <w:pPr>
              <w:pStyle w:val="Voetnoottekst"/>
              <w:numPr>
                <w:ilvl w:val="0"/>
                <w:numId w:val="1"/>
              </w:numPr>
              <w:autoSpaceDE w:val="0"/>
              <w:autoSpaceDN w:val="0"/>
              <w:rPr>
                <w:rFonts w:ascii="Verdana" w:hAnsi="Verdana"/>
                <w:sz w:val="18"/>
                <w:szCs w:val="18"/>
              </w:rPr>
            </w:pPr>
            <w:r w:rsidRPr="00A923E5">
              <w:rPr>
                <w:rFonts w:ascii="Verdana" w:hAnsi="Verdana"/>
                <w:sz w:val="18"/>
                <w:szCs w:val="18"/>
              </w:rPr>
              <w:t>de Kamer ontvangt krachtens de standaard-informatieafspraken de definitieve kabinetsreactie op alle consultaties van de Europese Commissie waarop het kabinet reageert.</w:t>
            </w:r>
          </w:p>
        </w:tc>
      </w:tr>
      <w:tr w:rsidRPr="00A923E5" w:rsidR="0098120E" w:rsidTr="009874A7">
        <w:tc>
          <w:tcPr>
            <w:tcW w:w="14142" w:type="dxa"/>
            <w:gridSpan w:val="3"/>
          </w:tcPr>
          <w:p w:rsidRPr="00A923E5" w:rsidR="0098120E" w:rsidP="009874A7" w:rsidRDefault="0098120E">
            <w:pPr>
              <w:pStyle w:val="Voetnoottekst"/>
              <w:rPr>
                <w:rFonts w:ascii="Verdana" w:hAnsi="Verdana"/>
                <w:i/>
                <w:sz w:val="18"/>
                <w:szCs w:val="18"/>
              </w:rPr>
            </w:pPr>
            <w:r w:rsidRPr="00A923E5">
              <w:rPr>
                <w:rFonts w:ascii="Verdana" w:hAnsi="Verdana"/>
                <w:i/>
                <w:sz w:val="18"/>
                <w:szCs w:val="18"/>
              </w:rPr>
              <w:t>Uitgelicht: twee specifieke parlementaire instrumenten bij nieuw gepubliceerde EU-voorstellen</w:t>
            </w: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 xml:space="preserve">Subsidiariteitstoets </w:t>
            </w:r>
          </w:p>
          <w:p w:rsidRPr="00A923E5" w:rsidR="0098120E" w:rsidP="009874A7" w:rsidRDefault="0098120E">
            <w:pPr>
              <w:pStyle w:val="Voetnoottekst"/>
              <w:rPr>
                <w:rFonts w:ascii="Verdana" w:hAnsi="Verdana"/>
                <w:sz w:val="18"/>
                <w:szCs w:val="18"/>
              </w:rPr>
            </w:pPr>
            <w:r w:rsidRPr="00A923E5">
              <w:rPr>
                <w:rFonts w:ascii="Verdana" w:hAnsi="Verdana"/>
                <w:sz w:val="18"/>
                <w:szCs w:val="18"/>
              </w:rPr>
              <w:t>(richting EU)</w:t>
            </w:r>
          </w:p>
        </w:tc>
        <w:tc>
          <w:tcPr>
            <w:tcW w:w="6946" w:type="dxa"/>
          </w:tcPr>
          <w:p w:rsidRPr="00A923E5" w:rsidR="0098120E" w:rsidP="009874A7" w:rsidRDefault="0098120E">
            <w:pPr>
              <w:pStyle w:val="Lijstalinea"/>
              <w:ind w:left="0"/>
              <w:rPr>
                <w:rFonts w:ascii="Verdana" w:hAnsi="Verdana"/>
                <w:sz w:val="18"/>
                <w:szCs w:val="18"/>
              </w:rPr>
            </w:pPr>
            <w:r w:rsidRPr="00A923E5">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A923E5">
              <w:rPr>
                <w:rFonts w:ascii="Verdana" w:hAnsi="Verdana" w:cstheme="minorHAnsi"/>
                <w:color w:val="000000" w:themeColor="text1"/>
                <w:sz w:val="22"/>
              </w:rPr>
              <w:t xml:space="preserve">Elk parlement krijgt 2 stemmen, maar bij een </w:t>
            </w:r>
            <w:proofErr w:type="spellStart"/>
            <w:r w:rsidRPr="00A923E5">
              <w:rPr>
                <w:rFonts w:ascii="Verdana" w:hAnsi="Verdana" w:cstheme="minorHAnsi"/>
                <w:color w:val="000000" w:themeColor="text1"/>
                <w:sz w:val="22"/>
              </w:rPr>
              <w:t>bicameraal</w:t>
            </w:r>
            <w:proofErr w:type="spellEnd"/>
            <w:r w:rsidRPr="00A923E5">
              <w:rPr>
                <w:rFonts w:ascii="Verdana" w:hAnsi="Verdana" w:cstheme="minorHAnsi"/>
                <w:color w:val="000000" w:themeColor="text1"/>
                <w:sz w:val="22"/>
              </w:rPr>
              <w:t xml:space="preserve"> stelsel, zoals in Nederland, krijgt elke kamer 1 stem</w:t>
            </w:r>
            <w:r w:rsidRPr="00A923E5">
              <w:rPr>
                <w:rFonts w:ascii="Verdana" w:hAnsi="Verdana"/>
                <w:sz w:val="18"/>
                <w:szCs w:val="18"/>
              </w:rPr>
              <w:t>.</w:t>
            </w:r>
            <w:r w:rsidRPr="00A923E5">
              <w:rPr>
                <w:rFonts w:ascii="Verdana" w:hAnsi="Verdana" w:cstheme="minorHAnsi"/>
                <w:color w:val="000000" w:themeColor="text1"/>
                <w:sz w:val="22"/>
              </w:rPr>
              <w:t xml:space="preserve"> Om een gele kaart te trekken moeten er 19 stemmen worden gehaald.</w:t>
            </w:r>
          </w:p>
        </w:tc>
        <w:tc>
          <w:tcPr>
            <w:tcW w:w="5103" w:type="dxa"/>
          </w:tcPr>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bij wetgevende EU-voorstellen kan een Kamercommissie besluiten tot het uitvoeren van een subsidiariteitstoets. Let op: dit moet binnen acht weken na het uitkomen van alle taalversies van het voorstel.</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kabinetsappreciatie (‘BNC-fiche’) komt voor aangekondigde subsidiariteitstoetsen binnen drie weken t.b.v. een snelle behandeling.</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 xml:space="preserve">met andere parlementen in overleg treden t.b.v. behalen meerderheid voor ’gele kaart’ (1/3 stemmen) via parlementaire vertegenwoordiging en/of fractielijnen. </w:t>
            </w:r>
          </w:p>
        </w:tc>
      </w:tr>
      <w:tr w:rsidRPr="00A923E5" w:rsidR="0098120E" w:rsidTr="009874A7">
        <w:tc>
          <w:tcPr>
            <w:tcW w:w="2093" w:type="dxa"/>
          </w:tcPr>
          <w:p w:rsidRPr="00A923E5" w:rsidR="0098120E" w:rsidP="009874A7" w:rsidRDefault="0098120E">
            <w:pPr>
              <w:pStyle w:val="Voetnoottekst"/>
              <w:rPr>
                <w:rFonts w:ascii="Verdana" w:hAnsi="Verdana"/>
                <w:sz w:val="18"/>
                <w:szCs w:val="18"/>
              </w:rPr>
            </w:pPr>
            <w:r w:rsidRPr="00A923E5">
              <w:rPr>
                <w:rFonts w:ascii="Verdana" w:hAnsi="Verdana"/>
                <w:sz w:val="18"/>
                <w:szCs w:val="18"/>
              </w:rPr>
              <w:t>Behandel-voorbehoud (richting regering)</w:t>
            </w:r>
          </w:p>
        </w:tc>
        <w:tc>
          <w:tcPr>
            <w:tcW w:w="6946" w:type="dxa"/>
          </w:tcPr>
          <w:p w:rsidRPr="00A923E5" w:rsidR="0098120E" w:rsidP="009874A7" w:rsidRDefault="0098120E">
            <w:pPr>
              <w:pStyle w:val="Lijstalinea"/>
              <w:ind w:left="34"/>
              <w:rPr>
                <w:rFonts w:ascii="Verdana" w:hAnsi="Verdana"/>
                <w:sz w:val="18"/>
                <w:szCs w:val="18"/>
              </w:rPr>
            </w:pPr>
            <w:r w:rsidRPr="00A923E5">
              <w:rPr>
                <w:rFonts w:ascii="Verdana" w:hAnsi="Verdana"/>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w:t>
            </w:r>
            <w:r w:rsidRPr="00A923E5">
              <w:rPr>
                <w:rFonts w:ascii="Verdana" w:hAnsi="Verdana"/>
                <w:sz w:val="18"/>
                <w:szCs w:val="18"/>
              </w:rPr>
              <w:lastRenderedPageBreak/>
              <w:t xml:space="preserve">Deze afspraken worden in een brief aan het kabinet vastgelegd. Zodra het nadere overleg heeft plaatsgevonden, wordt het behandelvoorbehoud opgeheven. </w:t>
            </w:r>
          </w:p>
        </w:tc>
        <w:tc>
          <w:tcPr>
            <w:tcW w:w="5103" w:type="dxa"/>
          </w:tcPr>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lastRenderedPageBreak/>
              <w:t>bij wetgevende EU-voorstellen kan een commissie besluiten tot het uitvoeren van een zgn. ‘behandelvoorbehoud’. Over deze brief moet plenair gestemd worden (let op de termijnen).</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tijdens een speciaal overleg kan de commissie afspraken maken over informatieverstrekking (bv. in kwartaalrapportages) zolang het desbetreffende dossier in onderhandeling is.</w:t>
            </w:r>
          </w:p>
          <w:p w:rsidRPr="00A923E5" w:rsidR="0098120E" w:rsidP="009874A7" w:rsidRDefault="0098120E">
            <w:pPr>
              <w:pStyle w:val="Voetnoottekst"/>
              <w:numPr>
                <w:ilvl w:val="0"/>
                <w:numId w:val="1"/>
              </w:numPr>
              <w:rPr>
                <w:rFonts w:ascii="Verdana" w:hAnsi="Verdana"/>
                <w:sz w:val="18"/>
                <w:szCs w:val="18"/>
              </w:rPr>
            </w:pPr>
            <w:r w:rsidRPr="00A923E5">
              <w:rPr>
                <w:rFonts w:ascii="Verdana" w:hAnsi="Verdana"/>
                <w:sz w:val="18"/>
                <w:szCs w:val="18"/>
              </w:rPr>
              <w:t xml:space="preserve">kabinetsappreciatie (‘BNC-fiche’) komt voor aangekondigde </w:t>
            </w:r>
            <w:proofErr w:type="spellStart"/>
            <w:r w:rsidRPr="00A923E5">
              <w:rPr>
                <w:rFonts w:ascii="Verdana" w:hAnsi="Verdana"/>
                <w:sz w:val="18"/>
                <w:szCs w:val="18"/>
              </w:rPr>
              <w:t>behandelvoorbehouden</w:t>
            </w:r>
            <w:proofErr w:type="spellEnd"/>
            <w:r w:rsidRPr="00A923E5">
              <w:rPr>
                <w:rFonts w:ascii="Verdana" w:hAnsi="Verdana"/>
                <w:sz w:val="18"/>
                <w:szCs w:val="18"/>
              </w:rPr>
              <w:t xml:space="preserve"> binnen drie weken t.b.v. een snelle behandeling.</w:t>
            </w:r>
          </w:p>
          <w:p w:rsidRPr="00A923E5" w:rsidR="0098120E" w:rsidP="009874A7" w:rsidRDefault="0098120E">
            <w:pPr>
              <w:pStyle w:val="Voetnoottekst"/>
              <w:rPr>
                <w:rFonts w:ascii="Verdana" w:hAnsi="Verdana"/>
                <w:sz w:val="18"/>
                <w:szCs w:val="18"/>
              </w:rPr>
            </w:pPr>
          </w:p>
        </w:tc>
      </w:tr>
    </w:tbl>
    <w:p w:rsidRPr="00A923E5" w:rsidR="0098120E" w:rsidP="0098120E" w:rsidRDefault="0098120E">
      <w:pPr>
        <w:rPr>
          <w:rFonts w:ascii="Verdana" w:hAnsi="Verdana"/>
          <w:sz w:val="18"/>
          <w:szCs w:val="18"/>
        </w:rPr>
      </w:pPr>
    </w:p>
    <w:p w:rsidRPr="00A923E5" w:rsidR="0098120E" w:rsidP="0098120E" w:rsidRDefault="0098120E">
      <w:pPr>
        <w:rPr>
          <w:rFonts w:ascii="Verdana" w:hAnsi="Verdana"/>
        </w:rPr>
      </w:pPr>
    </w:p>
    <w:p w:rsidRPr="00A923E5" w:rsidR="0098120E" w:rsidP="0098120E" w:rsidRDefault="0098120E">
      <w:pPr>
        <w:rPr>
          <w:rFonts w:ascii="Verdana" w:hAnsi="Verdana"/>
        </w:rPr>
      </w:pPr>
    </w:p>
    <w:p w:rsidRPr="00A923E5" w:rsidR="0098120E" w:rsidP="0098120E" w:rsidRDefault="0098120E">
      <w:pPr>
        <w:pStyle w:val="Voetnoottekst"/>
        <w:rPr>
          <w:rFonts w:ascii="Verdana" w:hAnsi="Verdana"/>
        </w:rPr>
      </w:pPr>
    </w:p>
    <w:p w:rsidRPr="00D76AEE" w:rsidR="0098120E" w:rsidP="001F5DC2" w:rsidRDefault="0098120E"/>
    <w:sectPr w:rsidRPr="00D76AEE" w:rsidR="0098120E" w:rsidSect="00BF35EE">
      <w:footerReference w:type="default" r:id="rId12"/>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A8B" w:rsidRDefault="00F73A8B">
      <w:r>
        <w:separator/>
      </w:r>
    </w:p>
  </w:endnote>
  <w:endnote w:type="continuationSeparator" w:id="0">
    <w:p w:rsidR="00F73A8B" w:rsidRDefault="00F73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920730">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92073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A8B" w:rsidRDefault="00F73A8B">
      <w:r>
        <w:separator/>
      </w:r>
    </w:p>
  </w:footnote>
  <w:footnote w:type="continuationSeparator" w:id="0">
    <w:p w:rsidR="00F73A8B" w:rsidRDefault="00F73A8B">
      <w:r>
        <w:continuationSeparator/>
      </w:r>
    </w:p>
  </w:footnote>
  <w:footnote w:id="1">
    <w:p w:rsidR="0098120E" w:rsidRDefault="0098120E" w:rsidP="0098120E">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98120E" w:rsidRPr="00B45904" w:rsidRDefault="0098120E" w:rsidP="0098120E">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170F8"/>
    <w:rsid w:val="000354FF"/>
    <w:rsid w:val="000441AB"/>
    <w:rsid w:val="00053E3A"/>
    <w:rsid w:val="00073A38"/>
    <w:rsid w:val="000B7B3D"/>
    <w:rsid w:val="00143B93"/>
    <w:rsid w:val="0014628A"/>
    <w:rsid w:val="001544E9"/>
    <w:rsid w:val="001662DC"/>
    <w:rsid w:val="00183694"/>
    <w:rsid w:val="00183EFD"/>
    <w:rsid w:val="00191421"/>
    <w:rsid w:val="001F5DC2"/>
    <w:rsid w:val="00207E0A"/>
    <w:rsid w:val="00220EED"/>
    <w:rsid w:val="00221D64"/>
    <w:rsid w:val="002341C3"/>
    <w:rsid w:val="00270661"/>
    <w:rsid w:val="00274896"/>
    <w:rsid w:val="002A6C83"/>
    <w:rsid w:val="002E1447"/>
    <w:rsid w:val="002E5201"/>
    <w:rsid w:val="002F6156"/>
    <w:rsid w:val="0030144C"/>
    <w:rsid w:val="00393358"/>
    <w:rsid w:val="003C35BA"/>
    <w:rsid w:val="003E6633"/>
    <w:rsid w:val="00406E35"/>
    <w:rsid w:val="00454C0B"/>
    <w:rsid w:val="004C7A6A"/>
    <w:rsid w:val="00506219"/>
    <w:rsid w:val="00516474"/>
    <w:rsid w:val="00575472"/>
    <w:rsid w:val="00575D2D"/>
    <w:rsid w:val="00576674"/>
    <w:rsid w:val="00582DB1"/>
    <w:rsid w:val="00605823"/>
    <w:rsid w:val="00625AFA"/>
    <w:rsid w:val="00641F6A"/>
    <w:rsid w:val="00642934"/>
    <w:rsid w:val="00693109"/>
    <w:rsid w:val="006B0088"/>
    <w:rsid w:val="006C7E1C"/>
    <w:rsid w:val="006D1F70"/>
    <w:rsid w:val="0071340D"/>
    <w:rsid w:val="007529D4"/>
    <w:rsid w:val="0077637D"/>
    <w:rsid w:val="007D1ED6"/>
    <w:rsid w:val="007E6EE7"/>
    <w:rsid w:val="00811A22"/>
    <w:rsid w:val="00825CF8"/>
    <w:rsid w:val="00827831"/>
    <w:rsid w:val="00827F25"/>
    <w:rsid w:val="00920730"/>
    <w:rsid w:val="00967BD4"/>
    <w:rsid w:val="0098120E"/>
    <w:rsid w:val="0099016B"/>
    <w:rsid w:val="009A3B9C"/>
    <w:rsid w:val="009C7DE9"/>
    <w:rsid w:val="009D2B40"/>
    <w:rsid w:val="00A04982"/>
    <w:rsid w:val="00A22B5D"/>
    <w:rsid w:val="00A32824"/>
    <w:rsid w:val="00A74437"/>
    <w:rsid w:val="00A762AC"/>
    <w:rsid w:val="00A7766A"/>
    <w:rsid w:val="00A84063"/>
    <w:rsid w:val="00A91CAE"/>
    <w:rsid w:val="00AB7F45"/>
    <w:rsid w:val="00AF6F60"/>
    <w:rsid w:val="00B30C96"/>
    <w:rsid w:val="00B36C03"/>
    <w:rsid w:val="00B422B1"/>
    <w:rsid w:val="00B823EF"/>
    <w:rsid w:val="00C33F38"/>
    <w:rsid w:val="00CB3F59"/>
    <w:rsid w:val="00CD1A2C"/>
    <w:rsid w:val="00CE1C77"/>
    <w:rsid w:val="00CE5408"/>
    <w:rsid w:val="00D22A8E"/>
    <w:rsid w:val="00D51B60"/>
    <w:rsid w:val="00D66EED"/>
    <w:rsid w:val="00D76AEE"/>
    <w:rsid w:val="00DB6BE1"/>
    <w:rsid w:val="00DD5B86"/>
    <w:rsid w:val="00DF3FBF"/>
    <w:rsid w:val="00E02472"/>
    <w:rsid w:val="00E132FF"/>
    <w:rsid w:val="00E22175"/>
    <w:rsid w:val="00E32EA8"/>
    <w:rsid w:val="00E37641"/>
    <w:rsid w:val="00E512BF"/>
    <w:rsid w:val="00E7302E"/>
    <w:rsid w:val="00E770E7"/>
    <w:rsid w:val="00E839B7"/>
    <w:rsid w:val="00EA2272"/>
    <w:rsid w:val="00EA5DDF"/>
    <w:rsid w:val="00F41C79"/>
    <w:rsid w:val="00F50A0B"/>
    <w:rsid w:val="00F537C4"/>
    <w:rsid w:val="00F739E8"/>
    <w:rsid w:val="00F73A8B"/>
    <w:rsid w:val="00F76A90"/>
    <w:rsid w:val="00F852E4"/>
    <w:rsid w:val="00FA74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667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character" w:styleId="GevolgdeHyperlink">
    <w:name w:val="FollowedHyperlink"/>
    <w:basedOn w:val="Standaardalinea-lettertype"/>
    <w:rsid w:val="00693109"/>
    <w:rPr>
      <w:color w:val="800080" w:themeColor="followedHyperlink"/>
      <w:u w:val="single"/>
    </w:rPr>
  </w:style>
  <w:style w:type="character" w:styleId="Zwaar">
    <w:name w:val="Strong"/>
    <w:basedOn w:val="Standaardalinea-lettertype"/>
    <w:uiPriority w:val="22"/>
    <w:qFormat/>
    <w:rsid w:val="00605823"/>
    <w:rPr>
      <w:b/>
      <w:bCs/>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605823"/>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rsid w:val="00605823"/>
  </w:style>
  <w:style w:type="table" w:styleId="Tabelraster">
    <w:name w:val="Table Grid"/>
    <w:basedOn w:val="Standaardtabel"/>
    <w:rsid w:val="006058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605823"/>
    <w:pPr>
      <w:ind w:left="720"/>
    </w:pPr>
    <w:rPr>
      <w:rFonts w:eastAsiaTheme="minorHAnsi"/>
    </w:rPr>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605823"/>
    <w:rPr>
      <w:vertAlign w:val="superscript"/>
    </w:rPr>
  </w:style>
  <w:style w:type="character" w:styleId="Nadruk">
    <w:name w:val="Emphasis"/>
    <w:basedOn w:val="Standaardalinea-lettertype"/>
    <w:uiPriority w:val="20"/>
    <w:qFormat/>
    <w:rsid w:val="00625AFA"/>
    <w:rPr>
      <w:i/>
      <w:i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98120E"/>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98120E"/>
    <w:rPr>
      <w:rFonts w:eastAsia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667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character" w:styleId="GevolgdeHyperlink">
    <w:name w:val="FollowedHyperlink"/>
    <w:basedOn w:val="Standaardalinea-lettertype"/>
    <w:rsid w:val="00693109"/>
    <w:rPr>
      <w:color w:val="800080" w:themeColor="followedHyperlink"/>
      <w:u w:val="single"/>
    </w:rPr>
  </w:style>
  <w:style w:type="character" w:styleId="Zwaar">
    <w:name w:val="Strong"/>
    <w:basedOn w:val="Standaardalinea-lettertype"/>
    <w:uiPriority w:val="22"/>
    <w:qFormat/>
    <w:rsid w:val="00605823"/>
    <w:rPr>
      <w:b/>
      <w:bCs/>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605823"/>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rsid w:val="00605823"/>
  </w:style>
  <w:style w:type="table" w:styleId="Tabelraster">
    <w:name w:val="Table Grid"/>
    <w:basedOn w:val="Standaardtabel"/>
    <w:rsid w:val="006058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605823"/>
    <w:pPr>
      <w:ind w:left="720"/>
    </w:pPr>
    <w:rPr>
      <w:rFonts w:eastAsiaTheme="minorHAnsi"/>
    </w:rPr>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605823"/>
    <w:rPr>
      <w:vertAlign w:val="superscript"/>
    </w:rPr>
  </w:style>
  <w:style w:type="character" w:styleId="Nadruk">
    <w:name w:val="Emphasis"/>
    <w:basedOn w:val="Standaardalinea-lettertype"/>
    <w:uiPriority w:val="20"/>
    <w:qFormat/>
    <w:rsid w:val="00625AFA"/>
    <w:rPr>
      <w:i/>
      <w:i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98120E"/>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98120E"/>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11700397">
      <w:bodyDiv w:val="1"/>
      <w:marLeft w:val="0"/>
      <w:marRight w:val="0"/>
      <w:marTop w:val="0"/>
      <w:marBottom w:val="0"/>
      <w:divBdr>
        <w:top w:val="none" w:sz="0" w:space="0" w:color="auto"/>
        <w:left w:val="none" w:sz="0" w:space="0" w:color="auto"/>
        <w:bottom w:val="none" w:sz="0" w:space="0" w:color="auto"/>
        <w:right w:val="none" w:sz="0" w:space="0" w:color="auto"/>
      </w:divBdr>
      <w:divsChild>
        <w:div w:id="992677899">
          <w:marLeft w:val="0"/>
          <w:marRight w:val="0"/>
          <w:marTop w:val="0"/>
          <w:marBottom w:val="0"/>
          <w:divBdr>
            <w:top w:val="none" w:sz="0" w:space="0" w:color="auto"/>
            <w:left w:val="none" w:sz="0" w:space="0" w:color="auto"/>
            <w:bottom w:val="none" w:sz="0" w:space="0" w:color="auto"/>
            <w:right w:val="none" w:sz="0" w:space="0" w:color="auto"/>
          </w:divBdr>
          <w:divsChild>
            <w:div w:id="1652784745">
              <w:marLeft w:val="0"/>
              <w:marRight w:val="0"/>
              <w:marTop w:val="0"/>
              <w:marBottom w:val="0"/>
              <w:divBdr>
                <w:top w:val="none" w:sz="0" w:space="0" w:color="auto"/>
                <w:left w:val="none" w:sz="0" w:space="0" w:color="auto"/>
                <w:bottom w:val="none" w:sz="0" w:space="0" w:color="auto"/>
                <w:right w:val="none" w:sz="0" w:space="0" w:color="auto"/>
              </w:divBdr>
              <w:divsChild>
                <w:div w:id="1902323420">
                  <w:marLeft w:val="0"/>
                  <w:marRight w:val="0"/>
                  <w:marTop w:val="0"/>
                  <w:marBottom w:val="0"/>
                  <w:divBdr>
                    <w:top w:val="none" w:sz="0" w:space="0" w:color="auto"/>
                    <w:left w:val="none" w:sz="0" w:space="0" w:color="auto"/>
                    <w:bottom w:val="none" w:sz="0" w:space="0" w:color="auto"/>
                    <w:right w:val="none" w:sz="0" w:space="0" w:color="auto"/>
                  </w:divBdr>
                  <w:divsChild>
                    <w:div w:id="1531407050">
                      <w:marLeft w:val="0"/>
                      <w:marRight w:val="0"/>
                      <w:marTop w:val="0"/>
                      <w:marBottom w:val="0"/>
                      <w:divBdr>
                        <w:top w:val="none" w:sz="0" w:space="0" w:color="auto"/>
                        <w:left w:val="none" w:sz="0" w:space="0" w:color="auto"/>
                        <w:bottom w:val="none" w:sz="0" w:space="0" w:color="auto"/>
                        <w:right w:val="none" w:sz="0" w:space="0" w:color="auto"/>
                      </w:divBdr>
                      <w:divsChild>
                        <w:div w:id="1081103258">
                          <w:marLeft w:val="0"/>
                          <w:marRight w:val="0"/>
                          <w:marTop w:val="0"/>
                          <w:marBottom w:val="0"/>
                          <w:divBdr>
                            <w:top w:val="none" w:sz="0" w:space="0" w:color="auto"/>
                            <w:left w:val="none" w:sz="0" w:space="0" w:color="auto"/>
                            <w:bottom w:val="none" w:sz="0" w:space="0" w:color="auto"/>
                            <w:right w:val="none" w:sz="0" w:space="0" w:color="auto"/>
                          </w:divBdr>
                          <w:divsChild>
                            <w:div w:id="363554181">
                              <w:marLeft w:val="-225"/>
                              <w:marRight w:val="-225"/>
                              <w:marTop w:val="0"/>
                              <w:marBottom w:val="0"/>
                              <w:divBdr>
                                <w:top w:val="none" w:sz="0" w:space="0" w:color="auto"/>
                                <w:left w:val="none" w:sz="0" w:space="0" w:color="auto"/>
                                <w:bottom w:val="none" w:sz="0" w:space="0" w:color="auto"/>
                                <w:right w:val="none" w:sz="0" w:space="0" w:color="auto"/>
                              </w:divBdr>
                              <w:divsChild>
                                <w:div w:id="1541210700">
                                  <w:marLeft w:val="0"/>
                                  <w:marRight w:val="0"/>
                                  <w:marTop w:val="0"/>
                                  <w:marBottom w:val="0"/>
                                  <w:divBdr>
                                    <w:top w:val="none" w:sz="0" w:space="0" w:color="auto"/>
                                    <w:left w:val="none" w:sz="0" w:space="0" w:color="auto"/>
                                    <w:bottom w:val="none" w:sz="0" w:space="0" w:color="auto"/>
                                    <w:right w:val="none" w:sz="0" w:space="0" w:color="auto"/>
                                  </w:divBdr>
                                  <w:divsChild>
                                    <w:div w:id="1519201359">
                                      <w:marLeft w:val="0"/>
                                      <w:marRight w:val="0"/>
                                      <w:marTop w:val="0"/>
                                      <w:marBottom w:val="133"/>
                                      <w:divBdr>
                                        <w:top w:val="none" w:sz="0" w:space="0" w:color="auto"/>
                                        <w:left w:val="none" w:sz="0" w:space="0" w:color="auto"/>
                                        <w:bottom w:val="none" w:sz="0" w:space="0" w:color="auto"/>
                                        <w:right w:val="none" w:sz="0" w:space="0" w:color="auto"/>
                                      </w:divBdr>
                                      <w:divsChild>
                                        <w:div w:id="214272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626737169">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1010714905">
      <w:bodyDiv w:val="1"/>
      <w:marLeft w:val="0"/>
      <w:marRight w:val="0"/>
      <w:marTop w:val="0"/>
      <w:marBottom w:val="0"/>
      <w:divBdr>
        <w:top w:val="none" w:sz="0" w:space="0" w:color="auto"/>
        <w:left w:val="none" w:sz="0" w:space="0" w:color="auto"/>
        <w:bottom w:val="none" w:sz="0" w:space="0" w:color="auto"/>
        <w:right w:val="none" w:sz="0" w:space="0" w:color="auto"/>
      </w:divBdr>
      <w:divsChild>
        <w:div w:id="1017581764">
          <w:marLeft w:val="0"/>
          <w:marRight w:val="0"/>
          <w:marTop w:val="0"/>
          <w:marBottom w:val="0"/>
          <w:divBdr>
            <w:top w:val="none" w:sz="0" w:space="0" w:color="auto"/>
            <w:left w:val="none" w:sz="0" w:space="0" w:color="auto"/>
            <w:bottom w:val="none" w:sz="0" w:space="0" w:color="auto"/>
            <w:right w:val="none" w:sz="0" w:space="0" w:color="auto"/>
          </w:divBdr>
          <w:divsChild>
            <w:div w:id="815295017">
              <w:marLeft w:val="0"/>
              <w:marRight w:val="0"/>
              <w:marTop w:val="0"/>
              <w:marBottom w:val="0"/>
              <w:divBdr>
                <w:top w:val="none" w:sz="0" w:space="0" w:color="auto"/>
                <w:left w:val="none" w:sz="0" w:space="0" w:color="auto"/>
                <w:bottom w:val="none" w:sz="0" w:space="0" w:color="auto"/>
                <w:right w:val="none" w:sz="0" w:space="0" w:color="auto"/>
              </w:divBdr>
              <w:divsChild>
                <w:div w:id="1217934981">
                  <w:marLeft w:val="0"/>
                  <w:marRight w:val="0"/>
                  <w:marTop w:val="0"/>
                  <w:marBottom w:val="0"/>
                  <w:divBdr>
                    <w:top w:val="none" w:sz="0" w:space="0" w:color="auto"/>
                    <w:left w:val="none" w:sz="0" w:space="0" w:color="auto"/>
                    <w:bottom w:val="none" w:sz="0" w:space="0" w:color="auto"/>
                    <w:right w:val="none" w:sz="0" w:space="0" w:color="auto"/>
                  </w:divBdr>
                  <w:divsChild>
                    <w:div w:id="1303543028">
                      <w:marLeft w:val="0"/>
                      <w:marRight w:val="0"/>
                      <w:marTop w:val="0"/>
                      <w:marBottom w:val="0"/>
                      <w:divBdr>
                        <w:top w:val="none" w:sz="0" w:space="0" w:color="auto"/>
                        <w:left w:val="none" w:sz="0" w:space="0" w:color="auto"/>
                        <w:bottom w:val="none" w:sz="0" w:space="0" w:color="auto"/>
                        <w:right w:val="none" w:sz="0" w:space="0" w:color="auto"/>
                      </w:divBdr>
                      <w:divsChild>
                        <w:div w:id="767241715">
                          <w:marLeft w:val="0"/>
                          <w:marRight w:val="0"/>
                          <w:marTop w:val="0"/>
                          <w:marBottom w:val="0"/>
                          <w:divBdr>
                            <w:top w:val="none" w:sz="0" w:space="0" w:color="auto"/>
                            <w:left w:val="none" w:sz="0" w:space="0" w:color="auto"/>
                            <w:bottom w:val="none" w:sz="0" w:space="0" w:color="auto"/>
                            <w:right w:val="none" w:sz="0" w:space="0" w:color="auto"/>
                          </w:divBdr>
                          <w:divsChild>
                            <w:div w:id="1986858153">
                              <w:marLeft w:val="-225"/>
                              <w:marRight w:val="-225"/>
                              <w:marTop w:val="0"/>
                              <w:marBottom w:val="0"/>
                              <w:divBdr>
                                <w:top w:val="none" w:sz="0" w:space="0" w:color="auto"/>
                                <w:left w:val="none" w:sz="0" w:space="0" w:color="auto"/>
                                <w:bottom w:val="none" w:sz="0" w:space="0" w:color="auto"/>
                                <w:right w:val="none" w:sz="0" w:space="0" w:color="auto"/>
                              </w:divBdr>
                              <w:divsChild>
                                <w:div w:id="1961112339">
                                  <w:marLeft w:val="0"/>
                                  <w:marRight w:val="0"/>
                                  <w:marTop w:val="0"/>
                                  <w:marBottom w:val="0"/>
                                  <w:divBdr>
                                    <w:top w:val="none" w:sz="0" w:space="0" w:color="auto"/>
                                    <w:left w:val="none" w:sz="0" w:space="0" w:color="auto"/>
                                    <w:bottom w:val="none" w:sz="0" w:space="0" w:color="auto"/>
                                    <w:right w:val="none" w:sz="0" w:space="0" w:color="auto"/>
                                  </w:divBdr>
                                  <w:divsChild>
                                    <w:div w:id="593975208">
                                      <w:marLeft w:val="0"/>
                                      <w:marRight w:val="0"/>
                                      <w:marTop w:val="0"/>
                                      <w:marBottom w:val="133"/>
                                      <w:divBdr>
                                        <w:top w:val="none" w:sz="0" w:space="0" w:color="auto"/>
                                        <w:left w:val="none" w:sz="0" w:space="0" w:color="auto"/>
                                        <w:bottom w:val="none" w:sz="0" w:space="0" w:color="auto"/>
                                        <w:right w:val="none" w:sz="0" w:space="0" w:color="auto"/>
                                      </w:divBdr>
                                      <w:divsChild>
                                        <w:div w:id="17388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6207422">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32784285">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201661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files/download/082dbcc562a77e0e0162ab5a5e900354.do" TargetMode="External"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ec.europa.eu/yourvoice/consultations/index_nl.htm" TargetMode="External" Id="rId11" /><Relationship Type="http://schemas.openxmlformats.org/officeDocument/2006/relationships/webSettings" Target="web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0" /><Relationship Type="http://schemas.openxmlformats.org/officeDocument/2006/relationships/settings" Target="settings.xml" Id="rId4" /><Relationship Type="http://schemas.openxmlformats.org/officeDocument/2006/relationships/hyperlink" Target="http://www.ipex.eu/IPEXL-WEB/dossier/files/download/082dbcc55fd6baa4015fd9bb07410198.do"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2125</ap:Words>
  <ap:Characters>14094</ap:Characters>
  <ap:DocSecurity>0</ap:DocSecurity>
  <ap:Lines>117</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2018-03-05T09:57:00.0000000Z</lastPrinted>
  <dcterms:created xsi:type="dcterms:W3CDTF">2018-04-13T08:17:00.0000000Z</dcterms:created>
  <dcterms:modified xsi:type="dcterms:W3CDTF">2018-04-13T08:17:00.0000000Z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0x010100ECAA36B1B1D74B4B95E8D92380298BC5</vt:lpwstr>
  </property>
</Properties>
</file>