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923E5" w:rsidR="008775C9" w:rsidP="008775C9" w:rsidRDefault="008775C9">
      <w:pPr>
        <w:rPr>
          <w:rFonts w:ascii="Verdana" w:hAnsi="Verdana"/>
          <w:b/>
          <w:szCs w:val="22"/>
        </w:rPr>
      </w:pPr>
      <w:r>
        <w:rPr>
          <w:rFonts w:ascii="Verdana" w:hAnsi="Verdana"/>
          <w:b/>
          <w:sz w:val="22"/>
          <w:szCs w:val="22"/>
        </w:rPr>
        <w:t xml:space="preserve">Vaste commissie voor </w:t>
      </w:r>
      <w:r w:rsidRPr="00A923E5">
        <w:rPr>
          <w:rFonts w:ascii="Verdana" w:hAnsi="Verdana"/>
          <w:b/>
          <w:sz w:val="22"/>
          <w:szCs w:val="22"/>
        </w:rPr>
        <w:t>Justitie</w:t>
      </w:r>
      <w:r>
        <w:rPr>
          <w:rFonts w:ascii="Verdana" w:hAnsi="Verdana"/>
          <w:b/>
          <w:sz w:val="22"/>
          <w:szCs w:val="22"/>
        </w:rPr>
        <w:t xml:space="preserve"> en Veiligheid</w:t>
      </w:r>
      <w:r w:rsidRPr="00A923E5">
        <w:rPr>
          <w:rFonts w:ascii="Verdana" w:hAnsi="Verdana"/>
          <w:b/>
          <w:sz w:val="22"/>
          <w:szCs w:val="22"/>
        </w:rPr>
        <w:br/>
      </w:r>
      <w:r w:rsidRPr="00A923E5">
        <w:rPr>
          <w:rFonts w:ascii="Verdana" w:hAnsi="Verdana"/>
          <w:b/>
          <w:sz w:val="20"/>
          <w:szCs w:val="22"/>
        </w:rPr>
        <w:t>Overzicht nieuw gepubliceerde EU-voorstellen</w:t>
      </w:r>
      <w:bookmarkStart w:name="_GoBack" w:id="0"/>
      <w:bookmarkEnd w:id="0"/>
    </w:p>
    <w:p w:rsidRPr="00A923E5" w:rsidR="008775C9" w:rsidP="008775C9" w:rsidRDefault="008775C9">
      <w:pPr>
        <w:rPr>
          <w:rFonts w:ascii="Verdana" w:hAnsi="Verdana"/>
          <w:sz w:val="20"/>
          <w:szCs w:val="22"/>
        </w:rPr>
      </w:pPr>
      <w:r w:rsidRPr="00A923E5">
        <w:rPr>
          <w:rFonts w:ascii="Verdana" w:hAnsi="Verdana"/>
          <w:sz w:val="20"/>
          <w:szCs w:val="22"/>
        </w:rPr>
        <w:t xml:space="preserve">Datum: </w:t>
      </w:r>
      <w:r>
        <w:rPr>
          <w:rFonts w:ascii="Verdana" w:hAnsi="Verdana"/>
          <w:sz w:val="20"/>
          <w:szCs w:val="22"/>
        </w:rPr>
        <w:t xml:space="preserve">22 – 03 </w:t>
      </w:r>
      <w:r w:rsidRPr="00A923E5">
        <w:rPr>
          <w:rFonts w:ascii="Verdana" w:hAnsi="Verdana"/>
          <w:sz w:val="20"/>
          <w:szCs w:val="22"/>
        </w:rPr>
        <w:t>-</w:t>
      </w:r>
      <w:r>
        <w:rPr>
          <w:rFonts w:ascii="Verdana" w:hAnsi="Verdana"/>
          <w:sz w:val="20"/>
          <w:szCs w:val="22"/>
        </w:rPr>
        <w:t xml:space="preserve"> </w:t>
      </w:r>
      <w:r w:rsidRPr="00A923E5">
        <w:rPr>
          <w:rFonts w:ascii="Verdana" w:hAnsi="Verdana"/>
          <w:sz w:val="20"/>
          <w:szCs w:val="22"/>
        </w:rPr>
        <w:t>201</w:t>
      </w:r>
      <w:r>
        <w:rPr>
          <w:rFonts w:ascii="Verdana" w:hAnsi="Verdana"/>
          <w:sz w:val="20"/>
          <w:szCs w:val="22"/>
        </w:rPr>
        <w:t>8</w:t>
      </w:r>
    </w:p>
    <w:p w:rsidRPr="00A923E5" w:rsidR="008775C9" w:rsidP="008775C9" w:rsidRDefault="008775C9">
      <w:pPr>
        <w:rPr>
          <w:rFonts w:ascii="Verdana" w:hAnsi="Verdana"/>
          <w:sz w:val="20"/>
          <w:szCs w:val="22"/>
        </w:rPr>
      </w:pPr>
    </w:p>
    <w:p w:rsidRPr="00A923E5" w:rsidR="008775C9" w:rsidP="008775C9" w:rsidRDefault="008775C9">
      <w:pPr>
        <w:rPr>
          <w:rFonts w:ascii="Verdana" w:hAnsi="Verdana"/>
          <w:b/>
          <w:sz w:val="20"/>
          <w:szCs w:val="22"/>
          <w:u w:val="single"/>
        </w:rPr>
      </w:pPr>
      <w:r w:rsidRPr="00A923E5">
        <w:rPr>
          <w:rFonts w:ascii="Verdana" w:hAnsi="Verdana"/>
          <w:b/>
          <w:sz w:val="20"/>
          <w:szCs w:val="22"/>
          <w:u w:val="single"/>
        </w:rPr>
        <w:t xml:space="preserve">Voorstellen verschenen in de periode </w:t>
      </w:r>
      <w:r>
        <w:rPr>
          <w:rFonts w:ascii="Verdana" w:hAnsi="Verdana"/>
          <w:b/>
          <w:sz w:val="20"/>
          <w:szCs w:val="22"/>
          <w:u w:val="single"/>
        </w:rPr>
        <w:t xml:space="preserve">9 maart 2018 – </w:t>
      </w:r>
      <w:r w:rsidR="00A01596">
        <w:rPr>
          <w:rFonts w:ascii="Verdana" w:hAnsi="Verdana"/>
          <w:b/>
          <w:sz w:val="20"/>
          <w:szCs w:val="22"/>
          <w:u w:val="single"/>
        </w:rPr>
        <w:t>21</w:t>
      </w:r>
      <w:r>
        <w:rPr>
          <w:rFonts w:ascii="Verdana" w:hAnsi="Verdana"/>
          <w:b/>
          <w:sz w:val="20"/>
          <w:szCs w:val="22"/>
          <w:u w:val="single"/>
        </w:rPr>
        <w:t xml:space="preserve"> maart 2018</w:t>
      </w:r>
    </w:p>
    <w:p w:rsidRPr="00A923E5" w:rsidR="008775C9" w:rsidP="008775C9" w:rsidRDefault="008775C9">
      <w:pPr>
        <w:rPr>
          <w:rFonts w:ascii="Verdana" w:hAnsi="Verdana"/>
          <w:b/>
          <w:sz w:val="22"/>
          <w:szCs w:val="22"/>
          <w:u w:val="single"/>
        </w:rPr>
      </w:pPr>
    </w:p>
    <w:p w:rsidRPr="00A923E5" w:rsidR="008775C9" w:rsidP="008775C9" w:rsidRDefault="008775C9">
      <w:pPr>
        <w:rPr>
          <w:rFonts w:ascii="Verdana" w:hAnsi="Verdana"/>
          <w:sz w:val="18"/>
          <w:szCs w:val="18"/>
        </w:rPr>
      </w:pPr>
      <w:r w:rsidRPr="00A923E5">
        <w:rPr>
          <w:rFonts w:ascii="Verdana" w:hAnsi="Verdana"/>
          <w:sz w:val="18"/>
          <w:szCs w:val="18"/>
        </w:rPr>
        <w:t>Naar aanleiding van het vastgestelde rapport ‘Voorop in Europa’ (Kamerstuk 33936, nr. 2) wordt standaard op de procedurevergadering een overzicht geagendeerd van nieuwe ontwerp-EU-verordeningen en richtlijnen, Groen- en Witboeken, mededelingen en openbare raadplegingen op het terrein van V&amp;J die sinds de vorige procedurevergadering zijn verschenen. Dit geldt ook voor voorstellen voor (</w:t>
      </w:r>
      <w:proofErr w:type="spellStart"/>
      <w:r w:rsidRPr="00A923E5">
        <w:rPr>
          <w:rFonts w:ascii="Verdana" w:hAnsi="Verdana"/>
          <w:sz w:val="18"/>
          <w:szCs w:val="18"/>
        </w:rPr>
        <w:t>Raads</w:t>
      </w:r>
      <w:proofErr w:type="spellEnd"/>
      <w:r w:rsidRPr="00A923E5">
        <w:rPr>
          <w:rFonts w:ascii="Verdana" w:hAnsi="Verdana"/>
          <w:sz w:val="18"/>
          <w:szCs w:val="18"/>
        </w:rPr>
        <w:t>)besluiten en verslagen die niet uitsluitend technisch van aard zijn. Naar aanleiding van dit overzicht kan de commissie besluiten een of meer vermelde EU-voorstellen die van belang worden geacht in behandeling te nemen. Daartoe worden in de kolom ‘Opmerking’ behandelvoorstellen gedaan. Los hiervan wordt u door de regering geïnformeerd via BNC-fiches, geannoteerde agenda’s en de voortgang in EU-dossiers zoals vastgelegd in informatieafspraken met de Kamer (Kamerstuk 22112, nr. 1985).</w:t>
      </w:r>
    </w:p>
    <w:p w:rsidRPr="00A923E5" w:rsidR="008775C9" w:rsidP="008775C9" w:rsidRDefault="008775C9">
      <w:pPr>
        <w:ind w:firstLine="708"/>
        <w:rPr>
          <w:rFonts w:ascii="Verdana" w:hAnsi="Verdana"/>
          <w:sz w:val="18"/>
          <w:szCs w:val="18"/>
        </w:rPr>
      </w:pPr>
    </w:p>
    <w:p w:rsidR="008775C9" w:rsidP="008775C9" w:rsidRDefault="008775C9">
      <w:pPr>
        <w:rPr>
          <w:rFonts w:ascii="Verdana" w:hAnsi="Verdana"/>
          <w:sz w:val="18"/>
          <w:szCs w:val="18"/>
        </w:rPr>
      </w:pPr>
      <w:r w:rsidRPr="00A923E5">
        <w:rPr>
          <w:rFonts w:ascii="Verdana" w:hAnsi="Verdana"/>
          <w:sz w:val="18"/>
          <w:szCs w:val="18"/>
        </w:rPr>
        <w:t xml:space="preserve">Onderaan deze lijst </w:t>
      </w:r>
      <w:r>
        <w:rPr>
          <w:rFonts w:ascii="Verdana" w:hAnsi="Verdana"/>
          <w:sz w:val="18"/>
          <w:szCs w:val="18"/>
        </w:rPr>
        <w:t xml:space="preserve">(bijlage) </w:t>
      </w:r>
      <w:r w:rsidRPr="00A923E5">
        <w:rPr>
          <w:rFonts w:ascii="Verdana" w:hAnsi="Verdana"/>
          <w:sz w:val="18"/>
          <w:szCs w:val="18"/>
        </w:rPr>
        <w:t>treft u een overzicht aan van vaak voorkomende EU-instrumenten en een (niet uitputtend) overzicht van momenten waarop u als commissie of als fractie invloed kunt uitoefenen op de vorming van EU beleid: hetzij via het kabinet; hetzij zelf in Brussel.</w:t>
      </w:r>
    </w:p>
    <w:p w:rsidR="008775C9" w:rsidP="008775C9" w:rsidRDefault="008775C9">
      <w:pPr>
        <w:rPr>
          <w:rFonts w:ascii="Verdana" w:hAnsi="Verdana"/>
          <w:sz w:val="18"/>
          <w:szCs w:val="18"/>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36"/>
        <w:gridCol w:w="1280"/>
        <w:gridCol w:w="562"/>
        <w:gridCol w:w="1468"/>
        <w:gridCol w:w="3687"/>
        <w:gridCol w:w="1506"/>
        <w:gridCol w:w="148"/>
        <w:gridCol w:w="826"/>
        <w:gridCol w:w="4742"/>
      </w:tblGrid>
      <w:tr w:rsidRPr="00F67F5B" w:rsidR="008775C9" w:rsidTr="007A2A57">
        <w:trPr>
          <w:trHeight w:val="1118"/>
        </w:trPr>
        <w:tc>
          <w:tcPr>
            <w:tcW w:w="436" w:type="dxa"/>
            <w:textDirection w:val="btLr"/>
          </w:tcPr>
          <w:p w:rsidRPr="0088310D" w:rsidR="008775C9" w:rsidP="007A2A57" w:rsidRDefault="008775C9">
            <w:pPr>
              <w:jc w:val="center"/>
              <w:rPr>
                <w:rFonts w:asciiTheme="minorHAnsi" w:hAnsiTheme="minorHAnsi"/>
                <w:b/>
                <w:bCs/>
                <w:color w:val="000000"/>
                <w:sz w:val="22"/>
                <w:szCs w:val="22"/>
              </w:rPr>
            </w:pPr>
            <w:r>
              <w:rPr>
                <w:rFonts w:asciiTheme="minorHAnsi" w:hAnsiTheme="minorHAnsi"/>
                <w:b/>
                <w:bCs/>
                <w:color w:val="000000"/>
                <w:sz w:val="22"/>
                <w:szCs w:val="22"/>
              </w:rPr>
              <w:t>Nummer</w:t>
            </w:r>
          </w:p>
        </w:tc>
        <w:tc>
          <w:tcPr>
            <w:tcW w:w="1280" w:type="dxa"/>
            <w:shd w:val="clear" w:color="auto" w:fill="auto"/>
            <w:textDirection w:val="btLr"/>
            <w:vAlign w:val="bottom"/>
            <w:hideMark/>
          </w:tcPr>
          <w:p w:rsidRPr="0088310D" w:rsidR="008775C9" w:rsidP="007A2A57" w:rsidRDefault="008775C9">
            <w:pPr>
              <w:jc w:val="center"/>
              <w:rPr>
                <w:rFonts w:asciiTheme="minorHAnsi" w:hAnsiTheme="minorHAnsi"/>
                <w:b/>
                <w:bCs/>
                <w:color w:val="000000"/>
                <w:sz w:val="22"/>
                <w:szCs w:val="22"/>
              </w:rPr>
            </w:pPr>
            <w:r w:rsidRPr="0088310D">
              <w:rPr>
                <w:rFonts w:asciiTheme="minorHAnsi" w:hAnsiTheme="minorHAnsi"/>
                <w:b/>
                <w:bCs/>
                <w:color w:val="000000"/>
                <w:sz w:val="22"/>
                <w:szCs w:val="22"/>
              </w:rPr>
              <w:t>Publicatie-</w:t>
            </w:r>
          </w:p>
          <w:p w:rsidRPr="0088310D" w:rsidR="008775C9" w:rsidP="007A2A57" w:rsidRDefault="008775C9">
            <w:pPr>
              <w:jc w:val="center"/>
              <w:rPr>
                <w:rFonts w:asciiTheme="minorHAnsi" w:hAnsiTheme="minorHAnsi"/>
                <w:b/>
                <w:bCs/>
                <w:color w:val="000000"/>
                <w:sz w:val="22"/>
                <w:szCs w:val="22"/>
              </w:rPr>
            </w:pPr>
            <w:r w:rsidRPr="0088310D">
              <w:rPr>
                <w:rFonts w:asciiTheme="minorHAnsi" w:hAnsiTheme="minorHAnsi"/>
                <w:b/>
                <w:bCs/>
                <w:color w:val="000000"/>
                <w:sz w:val="22"/>
                <w:szCs w:val="22"/>
              </w:rPr>
              <w:t>datum</w:t>
            </w:r>
          </w:p>
        </w:tc>
        <w:tc>
          <w:tcPr>
            <w:tcW w:w="562" w:type="dxa"/>
            <w:shd w:val="clear" w:color="auto" w:fill="auto"/>
            <w:textDirection w:val="btLr"/>
            <w:vAlign w:val="bottom"/>
            <w:hideMark/>
          </w:tcPr>
          <w:p w:rsidRPr="0088310D" w:rsidR="008775C9" w:rsidP="007A2A57" w:rsidRDefault="008775C9">
            <w:pPr>
              <w:jc w:val="center"/>
              <w:rPr>
                <w:rFonts w:asciiTheme="minorHAnsi" w:hAnsiTheme="minorHAnsi"/>
                <w:b/>
                <w:bCs/>
                <w:color w:val="000000"/>
                <w:sz w:val="22"/>
                <w:szCs w:val="22"/>
              </w:rPr>
            </w:pPr>
            <w:r w:rsidRPr="0088310D">
              <w:rPr>
                <w:rFonts w:asciiTheme="minorHAnsi" w:hAnsiTheme="minorHAnsi"/>
                <w:b/>
                <w:bCs/>
                <w:color w:val="000000"/>
                <w:sz w:val="22"/>
                <w:szCs w:val="22"/>
              </w:rPr>
              <w:t>Voortouw</w:t>
            </w:r>
          </w:p>
        </w:tc>
        <w:tc>
          <w:tcPr>
            <w:tcW w:w="1468" w:type="dxa"/>
            <w:shd w:val="clear" w:color="auto" w:fill="auto"/>
            <w:textDirection w:val="btLr"/>
            <w:vAlign w:val="bottom"/>
            <w:hideMark/>
          </w:tcPr>
          <w:p w:rsidRPr="0088310D" w:rsidR="008775C9" w:rsidP="007A2A57" w:rsidRDefault="008775C9">
            <w:pPr>
              <w:jc w:val="center"/>
              <w:rPr>
                <w:rFonts w:asciiTheme="minorHAnsi" w:hAnsiTheme="minorHAnsi"/>
                <w:b/>
                <w:bCs/>
                <w:color w:val="000000"/>
                <w:sz w:val="22"/>
                <w:szCs w:val="22"/>
              </w:rPr>
            </w:pPr>
            <w:r w:rsidRPr="0088310D">
              <w:rPr>
                <w:rFonts w:asciiTheme="minorHAnsi" w:hAnsiTheme="minorHAnsi"/>
                <w:b/>
                <w:bCs/>
                <w:color w:val="000000"/>
                <w:sz w:val="22"/>
                <w:szCs w:val="22"/>
              </w:rPr>
              <w:t>Soort</w:t>
            </w:r>
          </w:p>
        </w:tc>
        <w:tc>
          <w:tcPr>
            <w:tcW w:w="3687" w:type="dxa"/>
            <w:shd w:val="clear" w:color="auto" w:fill="auto"/>
            <w:textDirection w:val="btLr"/>
            <w:vAlign w:val="bottom"/>
            <w:hideMark/>
          </w:tcPr>
          <w:p w:rsidRPr="00F67F5B" w:rsidR="008775C9" w:rsidP="007A2A57" w:rsidRDefault="008775C9">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1506" w:type="dxa"/>
            <w:shd w:val="clear" w:color="auto" w:fill="auto"/>
            <w:textDirection w:val="btLr"/>
            <w:vAlign w:val="bottom"/>
            <w:hideMark/>
          </w:tcPr>
          <w:p w:rsidRPr="00F67F5B" w:rsidR="008775C9" w:rsidP="007A2A57" w:rsidRDefault="008775C9">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974" w:type="dxa"/>
            <w:gridSpan w:val="2"/>
            <w:textDirection w:val="btLr"/>
          </w:tcPr>
          <w:p w:rsidR="008775C9" w:rsidP="007A2A57" w:rsidRDefault="008775C9">
            <w:pPr>
              <w:jc w:val="center"/>
              <w:rPr>
                <w:rFonts w:asciiTheme="minorHAnsi" w:hAnsiTheme="minorHAnsi"/>
                <w:b/>
                <w:bCs/>
                <w:color w:val="000000"/>
                <w:sz w:val="22"/>
                <w:szCs w:val="22"/>
              </w:rPr>
            </w:pPr>
          </w:p>
          <w:p w:rsidRPr="00F50A0B" w:rsidR="008775C9" w:rsidP="007A2A57" w:rsidRDefault="008775C9">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8775C9" w:rsidP="007A2A57" w:rsidRDefault="008775C9">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742" w:type="dxa"/>
            <w:shd w:val="clear" w:color="auto" w:fill="auto"/>
            <w:textDirection w:val="btLr"/>
            <w:vAlign w:val="bottom"/>
            <w:hideMark/>
          </w:tcPr>
          <w:p w:rsidRPr="00F67F5B" w:rsidR="008775C9" w:rsidP="007A2A57" w:rsidRDefault="008775C9">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8775C9" w:rsidTr="007A2A57">
        <w:trPr>
          <w:trHeight w:val="300"/>
        </w:trPr>
        <w:tc>
          <w:tcPr>
            <w:tcW w:w="436" w:type="dxa"/>
            <w:tcBorders>
              <w:bottom w:val="single" w:color="auto" w:sz="4" w:space="0"/>
            </w:tcBorders>
            <w:shd w:val="clear" w:color="000000" w:fill="538DD5"/>
          </w:tcPr>
          <w:p w:rsidRPr="0088310D" w:rsidR="008775C9" w:rsidP="007A2A57" w:rsidRDefault="008775C9">
            <w:pPr>
              <w:jc w:val="center"/>
              <w:rPr>
                <w:rFonts w:asciiTheme="minorHAnsi" w:hAnsiTheme="minorHAnsi"/>
                <w:b/>
                <w:bCs/>
                <w:color w:val="000000"/>
                <w:sz w:val="22"/>
                <w:szCs w:val="22"/>
              </w:rPr>
            </w:pPr>
          </w:p>
        </w:tc>
        <w:tc>
          <w:tcPr>
            <w:tcW w:w="1280" w:type="dxa"/>
            <w:tcBorders>
              <w:bottom w:val="single" w:color="auto" w:sz="4" w:space="0"/>
            </w:tcBorders>
            <w:shd w:val="clear" w:color="000000" w:fill="538DD5"/>
            <w:vAlign w:val="bottom"/>
            <w:hideMark/>
          </w:tcPr>
          <w:p w:rsidRPr="0088310D" w:rsidR="008775C9" w:rsidP="007A2A57" w:rsidRDefault="008775C9">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562" w:type="dxa"/>
            <w:tcBorders>
              <w:bottom w:val="single" w:color="auto" w:sz="4" w:space="0"/>
            </w:tcBorders>
            <w:shd w:val="clear" w:color="000000" w:fill="538DD5"/>
            <w:vAlign w:val="bottom"/>
            <w:hideMark/>
          </w:tcPr>
          <w:p w:rsidRPr="0088310D" w:rsidR="008775C9" w:rsidP="007A2A57" w:rsidRDefault="008775C9">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1468" w:type="dxa"/>
            <w:tcBorders>
              <w:bottom w:val="single" w:color="auto" w:sz="4" w:space="0"/>
            </w:tcBorders>
            <w:shd w:val="clear" w:color="000000" w:fill="538DD5"/>
            <w:vAlign w:val="bottom"/>
            <w:hideMark/>
          </w:tcPr>
          <w:p w:rsidRPr="0088310D" w:rsidR="008775C9" w:rsidP="007A2A57" w:rsidRDefault="008775C9">
            <w:pP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3687" w:type="dxa"/>
            <w:tcBorders>
              <w:bottom w:val="single" w:color="auto" w:sz="4" w:space="0"/>
            </w:tcBorders>
            <w:shd w:val="clear" w:color="000000" w:fill="538DD5"/>
            <w:vAlign w:val="bottom"/>
            <w:hideMark/>
          </w:tcPr>
          <w:p w:rsidRPr="00F67F5B" w:rsidR="008775C9" w:rsidP="007A2A57" w:rsidRDefault="008775C9">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506" w:type="dxa"/>
            <w:tcBorders>
              <w:bottom w:val="single" w:color="auto" w:sz="4" w:space="0"/>
            </w:tcBorders>
            <w:shd w:val="clear" w:color="000000" w:fill="538DD5"/>
            <w:vAlign w:val="bottom"/>
            <w:hideMark/>
          </w:tcPr>
          <w:p w:rsidRPr="00F67F5B" w:rsidR="008775C9" w:rsidP="007A2A57" w:rsidRDefault="008775C9">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74" w:type="dxa"/>
            <w:gridSpan w:val="2"/>
            <w:tcBorders>
              <w:bottom w:val="single" w:color="auto" w:sz="4" w:space="0"/>
            </w:tcBorders>
            <w:shd w:val="clear" w:color="000000" w:fill="538DD5"/>
          </w:tcPr>
          <w:p w:rsidRPr="00F67F5B" w:rsidR="008775C9" w:rsidP="007A2A57" w:rsidRDefault="008775C9">
            <w:pPr>
              <w:rPr>
                <w:rFonts w:asciiTheme="minorHAnsi" w:hAnsiTheme="minorHAnsi"/>
                <w:b/>
                <w:bCs/>
                <w:color w:val="000000"/>
                <w:sz w:val="22"/>
                <w:szCs w:val="22"/>
              </w:rPr>
            </w:pPr>
          </w:p>
        </w:tc>
        <w:tc>
          <w:tcPr>
            <w:tcW w:w="4742" w:type="dxa"/>
            <w:tcBorders>
              <w:bottom w:val="single" w:color="auto" w:sz="4" w:space="0"/>
            </w:tcBorders>
            <w:shd w:val="clear" w:color="000000" w:fill="538DD5"/>
            <w:hideMark/>
          </w:tcPr>
          <w:p w:rsidRPr="00F67F5B" w:rsidR="008775C9" w:rsidP="007A2A57" w:rsidRDefault="008775C9">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8E7F34" w:rsidR="008775C9" w:rsidTr="007A2A57">
        <w:trPr>
          <w:trHeight w:val="467"/>
        </w:trPr>
        <w:tc>
          <w:tcPr>
            <w:tcW w:w="14655" w:type="dxa"/>
            <w:gridSpan w:val="9"/>
            <w:shd w:val="clear" w:color="auto" w:fill="C2D69B" w:themeFill="accent3" w:themeFillTint="99"/>
          </w:tcPr>
          <w:p w:rsidRPr="008E7F34" w:rsidR="008775C9" w:rsidP="007A2A57" w:rsidRDefault="008775C9">
            <w:pPr>
              <w:rPr>
                <w:rFonts w:asciiTheme="minorHAnsi" w:hAnsiTheme="minorHAnsi"/>
                <w:b/>
                <w:i/>
                <w:color w:val="000000"/>
                <w:sz w:val="22"/>
                <w:szCs w:val="22"/>
              </w:rPr>
            </w:pPr>
            <w:r>
              <w:rPr>
                <w:rFonts w:asciiTheme="minorHAnsi" w:hAnsiTheme="minorHAnsi"/>
                <w:b/>
                <w:i/>
                <w:color w:val="000000"/>
                <w:sz w:val="22"/>
                <w:szCs w:val="22"/>
              </w:rPr>
              <w:t xml:space="preserve">Onderwerpen op het terrein van </w:t>
            </w:r>
            <w:r w:rsidRPr="008E7F34">
              <w:rPr>
                <w:rFonts w:asciiTheme="minorHAnsi" w:hAnsiTheme="minorHAnsi"/>
                <w:b/>
                <w:i/>
                <w:color w:val="000000"/>
                <w:sz w:val="22"/>
                <w:szCs w:val="22"/>
              </w:rPr>
              <w:t>Justitie</w:t>
            </w:r>
            <w:r>
              <w:rPr>
                <w:rFonts w:asciiTheme="minorHAnsi" w:hAnsiTheme="minorHAnsi"/>
                <w:b/>
                <w:i/>
                <w:color w:val="000000"/>
                <w:sz w:val="22"/>
                <w:szCs w:val="22"/>
              </w:rPr>
              <w:t>&amp; Veiligheid</w:t>
            </w:r>
          </w:p>
        </w:tc>
      </w:tr>
      <w:tr w:rsidRPr="000F213F" w:rsidR="008775C9" w:rsidTr="007A2A57">
        <w:trPr>
          <w:trHeight w:val="699"/>
        </w:trPr>
        <w:tc>
          <w:tcPr>
            <w:tcW w:w="436" w:type="dxa"/>
          </w:tcPr>
          <w:p w:rsidR="008775C9" w:rsidP="007A2A57" w:rsidRDefault="008775C9">
            <w:pPr>
              <w:jc w:val="center"/>
              <w:rPr>
                <w:rFonts w:asciiTheme="minorHAnsi" w:hAnsiTheme="minorHAnsi"/>
                <w:color w:val="000000"/>
                <w:sz w:val="22"/>
                <w:szCs w:val="22"/>
              </w:rPr>
            </w:pPr>
            <w:r>
              <w:rPr>
                <w:rFonts w:asciiTheme="minorHAnsi" w:hAnsiTheme="minorHAnsi"/>
                <w:color w:val="000000"/>
                <w:sz w:val="22"/>
                <w:szCs w:val="22"/>
              </w:rPr>
              <w:t>1.</w:t>
            </w:r>
          </w:p>
        </w:tc>
        <w:tc>
          <w:tcPr>
            <w:tcW w:w="1280" w:type="dxa"/>
            <w:shd w:val="clear" w:color="auto" w:fill="auto"/>
            <w:noWrap/>
          </w:tcPr>
          <w:p w:rsidR="008775C9" w:rsidP="007A2A57" w:rsidRDefault="008775C9">
            <w:pPr>
              <w:jc w:val="center"/>
              <w:rPr>
                <w:rFonts w:ascii="Calibri" w:hAnsi="Calibri"/>
                <w:color w:val="000000"/>
                <w:sz w:val="22"/>
                <w:szCs w:val="22"/>
              </w:rPr>
            </w:pPr>
            <w:r>
              <w:rPr>
                <w:rFonts w:ascii="Calibri" w:hAnsi="Calibri"/>
                <w:color w:val="000000"/>
                <w:sz w:val="22"/>
                <w:szCs w:val="22"/>
              </w:rPr>
              <w:t>14-maart-18</w:t>
            </w:r>
          </w:p>
        </w:tc>
        <w:tc>
          <w:tcPr>
            <w:tcW w:w="562" w:type="dxa"/>
            <w:shd w:val="clear" w:color="auto" w:fill="auto"/>
            <w:noWrap/>
          </w:tcPr>
          <w:p w:rsidR="008775C9" w:rsidP="007A2A57" w:rsidRDefault="008775C9">
            <w:pPr>
              <w:jc w:val="center"/>
              <w:rPr>
                <w:rFonts w:ascii="Calibri" w:hAnsi="Calibri"/>
                <w:color w:val="000000"/>
                <w:sz w:val="22"/>
                <w:szCs w:val="22"/>
              </w:rPr>
            </w:pPr>
            <w:r>
              <w:rPr>
                <w:rFonts w:ascii="Calibri" w:hAnsi="Calibri"/>
                <w:color w:val="000000"/>
                <w:sz w:val="22"/>
                <w:szCs w:val="22"/>
              </w:rPr>
              <w:t>J&amp;V</w:t>
            </w:r>
          </w:p>
        </w:tc>
        <w:tc>
          <w:tcPr>
            <w:tcW w:w="1468" w:type="dxa"/>
            <w:shd w:val="clear" w:color="auto" w:fill="auto"/>
            <w:noWrap/>
          </w:tcPr>
          <w:p w:rsidR="008775C9" w:rsidP="008775C9" w:rsidRDefault="008775C9">
            <w:pPr>
              <w:rPr>
                <w:rFonts w:ascii="Calibri" w:hAnsi="Calibri"/>
                <w:color w:val="000000"/>
                <w:sz w:val="22"/>
                <w:szCs w:val="22"/>
              </w:rPr>
            </w:pPr>
            <w:r>
              <w:rPr>
                <w:rFonts w:ascii="Calibri" w:hAnsi="Calibri"/>
                <w:color w:val="000000"/>
                <w:sz w:val="22"/>
                <w:szCs w:val="22"/>
              </w:rPr>
              <w:t>mededeling</w:t>
            </w:r>
          </w:p>
          <w:p w:rsidR="008775C9" w:rsidP="007A2A57" w:rsidRDefault="008775C9">
            <w:pPr>
              <w:rPr>
                <w:rFonts w:ascii="Calibri" w:hAnsi="Calibri"/>
                <w:color w:val="000000"/>
                <w:sz w:val="22"/>
                <w:szCs w:val="22"/>
              </w:rPr>
            </w:pPr>
          </w:p>
        </w:tc>
        <w:tc>
          <w:tcPr>
            <w:tcW w:w="3687" w:type="dxa"/>
            <w:shd w:val="clear" w:color="auto" w:fill="auto"/>
          </w:tcPr>
          <w:p w:rsidRPr="000F213F" w:rsidR="008775C9" w:rsidP="007A2A57" w:rsidRDefault="008775C9">
            <w:pPr>
              <w:rPr>
                <w:rFonts w:ascii="Calibri" w:hAnsi="Calibri"/>
                <w:color w:val="000000"/>
                <w:sz w:val="22"/>
                <w:szCs w:val="22"/>
                <w:lang w:val="en-GB"/>
              </w:rPr>
            </w:pPr>
            <w:r w:rsidRPr="000F213F">
              <w:rPr>
                <w:rFonts w:ascii="Calibri" w:hAnsi="Calibri"/>
                <w:color w:val="000000"/>
                <w:sz w:val="22"/>
                <w:szCs w:val="22"/>
                <w:lang w:val="en-GB"/>
              </w:rPr>
              <w:t>COMMUNICATION FROM THE COMMISSION TO THE EUROPEAN PARLIAMENT, THE EUROPEAN COUNCIL AND THE COUNCIL Progress report on the Implementation of the European Agenda on Migration</w:t>
            </w:r>
          </w:p>
        </w:tc>
        <w:tc>
          <w:tcPr>
            <w:tcW w:w="1654" w:type="dxa"/>
            <w:gridSpan w:val="2"/>
            <w:shd w:val="clear" w:color="auto" w:fill="auto"/>
            <w:noWrap/>
          </w:tcPr>
          <w:p w:rsidR="008775C9" w:rsidP="008775C9" w:rsidRDefault="00A01596">
            <w:pPr>
              <w:rPr>
                <w:rFonts w:ascii="Calibri" w:hAnsi="Calibri"/>
                <w:color w:val="0000FF"/>
                <w:sz w:val="22"/>
                <w:szCs w:val="22"/>
                <w:u w:val="single"/>
              </w:rPr>
            </w:pPr>
            <w:hyperlink w:history="1" r:id="rId8">
              <w:r w:rsidR="008775C9">
                <w:rPr>
                  <w:rStyle w:val="Hyperlink"/>
                  <w:rFonts w:ascii="Calibri" w:hAnsi="Calibri"/>
                  <w:sz w:val="22"/>
                  <w:szCs w:val="22"/>
                </w:rPr>
                <w:t>COM (2018) 250</w:t>
              </w:r>
            </w:hyperlink>
          </w:p>
          <w:p w:rsidRPr="008C6DDB" w:rsidR="008775C9" w:rsidP="002F12DB" w:rsidRDefault="008775C9">
            <w:pPr>
              <w:rPr>
                <w:sz w:val="20"/>
                <w:szCs w:val="20"/>
              </w:rPr>
            </w:pPr>
          </w:p>
        </w:tc>
        <w:tc>
          <w:tcPr>
            <w:tcW w:w="826" w:type="dxa"/>
            <w:shd w:val="clear" w:color="auto" w:fill="auto"/>
          </w:tcPr>
          <w:p w:rsidRPr="00A62907" w:rsidR="008775C9" w:rsidP="007A2A57" w:rsidRDefault="000F213F">
            <w:pPr>
              <w:rPr>
                <w:rFonts w:asciiTheme="minorHAnsi" w:hAnsiTheme="minorHAnsi"/>
                <w:color w:val="000000"/>
                <w:sz w:val="22"/>
                <w:szCs w:val="22"/>
              </w:rPr>
            </w:pPr>
            <w:proofErr w:type="spellStart"/>
            <w:r>
              <w:rPr>
                <w:rFonts w:asciiTheme="minorHAnsi" w:hAnsiTheme="minorHAnsi"/>
                <w:color w:val="000000"/>
                <w:sz w:val="22"/>
                <w:szCs w:val="22"/>
              </w:rPr>
              <w:t>N</w:t>
            </w:r>
            <w:r w:rsidR="008775C9">
              <w:rPr>
                <w:rFonts w:asciiTheme="minorHAnsi" w:hAnsiTheme="minorHAnsi"/>
                <w:color w:val="000000"/>
                <w:sz w:val="22"/>
                <w:szCs w:val="22"/>
              </w:rPr>
              <w:t>vt</w:t>
            </w:r>
            <w:proofErr w:type="spellEnd"/>
            <w:r>
              <w:rPr>
                <w:rFonts w:asciiTheme="minorHAnsi" w:hAnsiTheme="minorHAnsi"/>
                <w:color w:val="000000"/>
                <w:sz w:val="22"/>
                <w:szCs w:val="22"/>
              </w:rPr>
              <w:t xml:space="preserve"> </w:t>
            </w:r>
          </w:p>
        </w:tc>
        <w:tc>
          <w:tcPr>
            <w:tcW w:w="4742" w:type="dxa"/>
            <w:shd w:val="clear" w:color="auto" w:fill="auto"/>
          </w:tcPr>
          <w:p w:rsidR="008775C9" w:rsidP="007A2A57" w:rsidRDefault="000F213F">
            <w:pPr>
              <w:rPr>
                <w:rFonts w:asciiTheme="minorHAnsi" w:hAnsiTheme="minorHAnsi"/>
                <w:color w:val="000000"/>
                <w:sz w:val="22"/>
                <w:szCs w:val="22"/>
              </w:rPr>
            </w:pPr>
            <w:r w:rsidRPr="00C17A32">
              <w:rPr>
                <w:rFonts w:asciiTheme="minorHAnsi" w:hAnsiTheme="minorHAnsi"/>
                <w:color w:val="000000"/>
                <w:sz w:val="22"/>
                <w:szCs w:val="22"/>
                <w:u w:val="single"/>
              </w:rPr>
              <w:t>Voorstel:</w:t>
            </w:r>
            <w:r w:rsidRPr="000F213F">
              <w:t xml:space="preserve"> </w:t>
            </w:r>
            <w:r w:rsidRPr="000F213F">
              <w:rPr>
                <w:rFonts w:asciiTheme="minorHAnsi" w:hAnsiTheme="minorHAnsi"/>
                <w:color w:val="000000"/>
                <w:sz w:val="22"/>
                <w:szCs w:val="22"/>
              </w:rPr>
              <w:t xml:space="preserve">Betrekken bij </w:t>
            </w:r>
            <w:r>
              <w:rPr>
                <w:rFonts w:asciiTheme="minorHAnsi" w:hAnsiTheme="minorHAnsi"/>
                <w:color w:val="000000"/>
                <w:sz w:val="22"/>
                <w:szCs w:val="22"/>
              </w:rPr>
              <w:t xml:space="preserve">eerstvolgend algemeen overleg over de </w:t>
            </w:r>
            <w:r w:rsidRPr="000F213F">
              <w:rPr>
                <w:rFonts w:asciiTheme="minorHAnsi" w:hAnsiTheme="minorHAnsi"/>
                <w:color w:val="000000"/>
                <w:sz w:val="22"/>
                <w:szCs w:val="22"/>
              </w:rPr>
              <w:t>JBZ-Raad.</w:t>
            </w:r>
          </w:p>
          <w:p w:rsidR="000F213F" w:rsidP="007A2A57" w:rsidRDefault="000F213F">
            <w:pPr>
              <w:rPr>
                <w:rFonts w:asciiTheme="minorHAnsi" w:hAnsiTheme="minorHAnsi"/>
                <w:color w:val="000000"/>
                <w:sz w:val="22"/>
                <w:szCs w:val="22"/>
              </w:rPr>
            </w:pPr>
          </w:p>
          <w:p w:rsidR="000F213F" w:rsidP="003E4B91" w:rsidRDefault="003E4B91">
            <w:pPr>
              <w:rPr>
                <w:rFonts w:asciiTheme="minorHAnsi" w:hAnsiTheme="minorHAnsi"/>
                <w:i/>
                <w:color w:val="000000"/>
                <w:sz w:val="22"/>
                <w:szCs w:val="22"/>
              </w:rPr>
            </w:pPr>
            <w:r>
              <w:rPr>
                <w:rFonts w:asciiTheme="minorHAnsi" w:hAnsiTheme="minorHAnsi"/>
                <w:i/>
                <w:color w:val="000000"/>
                <w:sz w:val="22"/>
                <w:szCs w:val="22"/>
              </w:rPr>
              <w:t>In dit voortgangsverslag bespreekt de Europese Commissie (EC) resultaten en knelpunten in de uitvoering van de Europese Migratieagenda. De EC gaat in op ontwikkelingen in migratiestromen, de samenwerking met Turkije, Libië en andere herkomst- en transitlanden, de situatie in Griekenland en Italië, de samenhang met het OS-beleid, ook op het gebi</w:t>
            </w:r>
            <w:r w:rsidR="004558DF">
              <w:rPr>
                <w:rFonts w:asciiTheme="minorHAnsi" w:hAnsiTheme="minorHAnsi"/>
                <w:i/>
                <w:color w:val="000000"/>
                <w:sz w:val="22"/>
                <w:szCs w:val="22"/>
              </w:rPr>
              <w:t xml:space="preserve">ed van terugkeer en overname. Tot slot bespreekt de EC actiepunten op het gebied van grensbeheer, relocatie, hervestiging en legale migratie. </w:t>
            </w:r>
          </w:p>
          <w:p w:rsidRPr="000F213F" w:rsidR="003E4B91" w:rsidP="003E4B91" w:rsidRDefault="003E4B91">
            <w:pPr>
              <w:rPr>
                <w:rFonts w:ascii="Calibri" w:hAnsi="Calibri" w:eastAsia="Calibri"/>
                <w:i/>
                <w:iCs/>
                <w:sz w:val="22"/>
                <w:szCs w:val="22"/>
                <w:lang w:eastAsia="en-US"/>
              </w:rPr>
            </w:pPr>
          </w:p>
        </w:tc>
      </w:tr>
      <w:tr w:rsidRPr="00257325" w:rsidR="008775C9" w:rsidTr="007A2A57">
        <w:trPr>
          <w:trHeight w:val="699"/>
        </w:trPr>
        <w:tc>
          <w:tcPr>
            <w:tcW w:w="436" w:type="dxa"/>
          </w:tcPr>
          <w:p w:rsidRPr="000F213F" w:rsidR="008775C9" w:rsidP="007A2A57" w:rsidRDefault="008775C9">
            <w:pPr>
              <w:jc w:val="center"/>
              <w:rPr>
                <w:rFonts w:asciiTheme="minorHAnsi" w:hAnsiTheme="minorHAnsi"/>
                <w:color w:val="000000"/>
                <w:sz w:val="22"/>
                <w:szCs w:val="22"/>
                <w:lang w:val="en-GB"/>
              </w:rPr>
            </w:pPr>
            <w:r w:rsidRPr="000F213F">
              <w:rPr>
                <w:rFonts w:asciiTheme="minorHAnsi" w:hAnsiTheme="minorHAnsi"/>
                <w:color w:val="000000"/>
                <w:sz w:val="22"/>
                <w:szCs w:val="22"/>
                <w:lang w:val="en-GB"/>
              </w:rPr>
              <w:lastRenderedPageBreak/>
              <w:t>2.</w:t>
            </w:r>
          </w:p>
        </w:tc>
        <w:tc>
          <w:tcPr>
            <w:tcW w:w="1280" w:type="dxa"/>
            <w:shd w:val="clear" w:color="auto" w:fill="auto"/>
            <w:noWrap/>
          </w:tcPr>
          <w:p w:rsidRPr="000F213F" w:rsidR="008775C9" w:rsidP="007A2A57" w:rsidRDefault="008775C9">
            <w:pPr>
              <w:jc w:val="center"/>
              <w:rPr>
                <w:rFonts w:ascii="Calibri" w:hAnsi="Calibri"/>
                <w:color w:val="000000"/>
                <w:sz w:val="22"/>
                <w:szCs w:val="22"/>
                <w:lang w:val="en-GB"/>
              </w:rPr>
            </w:pPr>
            <w:r w:rsidRPr="000F213F">
              <w:rPr>
                <w:rFonts w:ascii="Calibri" w:hAnsi="Calibri"/>
                <w:color w:val="000000"/>
                <w:sz w:val="22"/>
                <w:szCs w:val="22"/>
                <w:lang w:val="en-GB"/>
              </w:rPr>
              <w:t>14-maart-18</w:t>
            </w:r>
          </w:p>
          <w:p w:rsidRPr="000F213F" w:rsidR="008775C9" w:rsidP="007A2A57" w:rsidRDefault="008775C9">
            <w:pPr>
              <w:jc w:val="center"/>
              <w:rPr>
                <w:rFonts w:ascii="Calibri" w:hAnsi="Calibri"/>
                <w:color w:val="000000"/>
                <w:sz w:val="22"/>
                <w:szCs w:val="22"/>
                <w:lang w:val="en-GB"/>
              </w:rPr>
            </w:pPr>
          </w:p>
        </w:tc>
        <w:tc>
          <w:tcPr>
            <w:tcW w:w="562" w:type="dxa"/>
            <w:shd w:val="clear" w:color="auto" w:fill="auto"/>
            <w:noWrap/>
          </w:tcPr>
          <w:p w:rsidRPr="000F213F" w:rsidR="008775C9" w:rsidP="007A2A57" w:rsidRDefault="008775C9">
            <w:pPr>
              <w:jc w:val="center"/>
              <w:rPr>
                <w:rFonts w:ascii="Calibri" w:hAnsi="Calibri"/>
                <w:color w:val="000000"/>
                <w:sz w:val="22"/>
                <w:szCs w:val="22"/>
                <w:lang w:val="en-GB"/>
              </w:rPr>
            </w:pPr>
            <w:r w:rsidRPr="000F213F">
              <w:rPr>
                <w:rFonts w:ascii="Calibri" w:hAnsi="Calibri"/>
                <w:color w:val="000000"/>
                <w:sz w:val="22"/>
                <w:szCs w:val="22"/>
                <w:lang w:val="en-GB"/>
              </w:rPr>
              <w:t>J&amp;V</w:t>
            </w:r>
          </w:p>
        </w:tc>
        <w:tc>
          <w:tcPr>
            <w:tcW w:w="1468" w:type="dxa"/>
            <w:shd w:val="clear" w:color="auto" w:fill="auto"/>
            <w:noWrap/>
          </w:tcPr>
          <w:p w:rsidRPr="000F213F" w:rsidR="008775C9" w:rsidP="008775C9" w:rsidRDefault="008775C9">
            <w:pPr>
              <w:rPr>
                <w:rFonts w:ascii="Calibri" w:hAnsi="Calibri"/>
                <w:color w:val="000000"/>
                <w:sz w:val="22"/>
                <w:szCs w:val="22"/>
                <w:lang w:val="en-GB"/>
              </w:rPr>
            </w:pPr>
            <w:proofErr w:type="spellStart"/>
            <w:r w:rsidRPr="000F213F">
              <w:rPr>
                <w:rFonts w:ascii="Calibri" w:hAnsi="Calibri"/>
                <w:color w:val="000000"/>
                <w:sz w:val="22"/>
                <w:szCs w:val="22"/>
                <w:lang w:val="en-GB"/>
              </w:rPr>
              <w:t>mededeling</w:t>
            </w:r>
            <w:proofErr w:type="spellEnd"/>
          </w:p>
          <w:p w:rsidRPr="000F213F" w:rsidR="008775C9" w:rsidP="007A2A57" w:rsidRDefault="008775C9">
            <w:pPr>
              <w:rPr>
                <w:rFonts w:ascii="Calibri" w:hAnsi="Calibri"/>
                <w:color w:val="000000"/>
                <w:sz w:val="22"/>
                <w:szCs w:val="22"/>
                <w:lang w:val="en-GB"/>
              </w:rPr>
            </w:pPr>
          </w:p>
        </w:tc>
        <w:tc>
          <w:tcPr>
            <w:tcW w:w="3687" w:type="dxa"/>
            <w:shd w:val="clear" w:color="auto" w:fill="auto"/>
          </w:tcPr>
          <w:p w:rsidRPr="000F213F" w:rsidR="008775C9" w:rsidP="007A2A57" w:rsidRDefault="008775C9">
            <w:pPr>
              <w:rPr>
                <w:rFonts w:ascii="Calibri" w:hAnsi="Calibri"/>
                <w:color w:val="000000"/>
                <w:sz w:val="22"/>
                <w:szCs w:val="22"/>
                <w:lang w:val="en-GB"/>
              </w:rPr>
            </w:pPr>
            <w:r w:rsidRPr="000F213F">
              <w:rPr>
                <w:rFonts w:ascii="Calibri" w:hAnsi="Calibri"/>
                <w:color w:val="000000"/>
                <w:sz w:val="22"/>
                <w:szCs w:val="22"/>
                <w:lang w:val="en-GB"/>
              </w:rPr>
              <w:t xml:space="preserve">COMMUNICATION FROM THE COMMISSION TO THE EUROPEAN PARLIAMENT AND THE COUNCIL Adapting the common visa policy to new challenges </w:t>
            </w:r>
          </w:p>
        </w:tc>
        <w:tc>
          <w:tcPr>
            <w:tcW w:w="1654" w:type="dxa"/>
            <w:gridSpan w:val="2"/>
            <w:shd w:val="clear" w:color="auto" w:fill="auto"/>
            <w:noWrap/>
          </w:tcPr>
          <w:p w:rsidRPr="000F213F" w:rsidR="008775C9" w:rsidP="00C45BE6" w:rsidRDefault="008775C9">
            <w:pPr>
              <w:rPr>
                <w:sz w:val="20"/>
                <w:szCs w:val="20"/>
                <w:lang w:val="en-GB"/>
              </w:rPr>
            </w:pPr>
          </w:p>
          <w:p w:rsidR="008775C9" w:rsidP="008775C9" w:rsidRDefault="00A01596">
            <w:pPr>
              <w:rPr>
                <w:rFonts w:ascii="Calibri" w:hAnsi="Calibri"/>
                <w:color w:val="0000FF"/>
                <w:sz w:val="22"/>
                <w:szCs w:val="22"/>
                <w:u w:val="single"/>
              </w:rPr>
            </w:pPr>
            <w:hyperlink w:history="1" r:id="rId9">
              <w:r w:rsidR="008775C9">
                <w:rPr>
                  <w:rStyle w:val="Hyperlink"/>
                  <w:rFonts w:ascii="Calibri" w:hAnsi="Calibri"/>
                  <w:sz w:val="22"/>
                  <w:szCs w:val="22"/>
                </w:rPr>
                <w:t>COM (2018) 251</w:t>
              </w:r>
            </w:hyperlink>
          </w:p>
          <w:p w:rsidR="008775C9" w:rsidP="007A2A57" w:rsidRDefault="008775C9">
            <w:pPr>
              <w:rPr>
                <w:rFonts w:ascii="Calibri" w:hAnsi="Calibri"/>
                <w:color w:val="0000FF"/>
                <w:sz w:val="22"/>
                <w:szCs w:val="22"/>
                <w:u w:val="single"/>
              </w:rPr>
            </w:pPr>
          </w:p>
        </w:tc>
        <w:tc>
          <w:tcPr>
            <w:tcW w:w="826" w:type="dxa"/>
            <w:shd w:val="clear" w:color="auto" w:fill="auto"/>
          </w:tcPr>
          <w:p w:rsidRPr="00A62907" w:rsidR="008775C9" w:rsidP="007A2A57" w:rsidRDefault="000F213F">
            <w:pPr>
              <w:rPr>
                <w:rFonts w:asciiTheme="minorHAnsi" w:hAnsiTheme="minorHAnsi"/>
                <w:color w:val="000000"/>
                <w:sz w:val="22"/>
                <w:szCs w:val="22"/>
              </w:rPr>
            </w:pPr>
            <w:proofErr w:type="spellStart"/>
            <w:r>
              <w:rPr>
                <w:rFonts w:asciiTheme="minorHAnsi" w:hAnsiTheme="minorHAnsi"/>
                <w:color w:val="000000"/>
                <w:sz w:val="22"/>
                <w:szCs w:val="22"/>
              </w:rPr>
              <w:t>N</w:t>
            </w:r>
            <w:r w:rsidR="008775C9">
              <w:rPr>
                <w:rFonts w:asciiTheme="minorHAnsi" w:hAnsiTheme="minorHAnsi"/>
                <w:color w:val="000000"/>
                <w:sz w:val="22"/>
                <w:szCs w:val="22"/>
              </w:rPr>
              <w:t>vt</w:t>
            </w:r>
            <w:proofErr w:type="spellEnd"/>
            <w:r>
              <w:rPr>
                <w:rFonts w:asciiTheme="minorHAnsi" w:hAnsiTheme="minorHAnsi"/>
                <w:color w:val="000000"/>
                <w:sz w:val="22"/>
                <w:szCs w:val="22"/>
              </w:rPr>
              <w:t xml:space="preserve"> </w:t>
            </w:r>
          </w:p>
        </w:tc>
        <w:tc>
          <w:tcPr>
            <w:tcW w:w="4742" w:type="dxa"/>
            <w:shd w:val="clear" w:color="auto" w:fill="auto"/>
          </w:tcPr>
          <w:p w:rsidR="008775C9" w:rsidP="000F213F" w:rsidRDefault="008C6DDB">
            <w:pPr>
              <w:rPr>
                <w:rFonts w:asciiTheme="minorHAnsi" w:hAnsiTheme="minorHAnsi"/>
                <w:color w:val="000000"/>
                <w:sz w:val="22"/>
                <w:szCs w:val="22"/>
              </w:rPr>
            </w:pPr>
            <w:r w:rsidRPr="00C17A32">
              <w:rPr>
                <w:rFonts w:asciiTheme="minorHAnsi" w:hAnsiTheme="minorHAnsi"/>
                <w:color w:val="000000"/>
                <w:sz w:val="22"/>
                <w:szCs w:val="22"/>
                <w:u w:val="single"/>
              </w:rPr>
              <w:t>Voorstel:</w:t>
            </w:r>
            <w:r w:rsidRPr="000F213F" w:rsidR="000F213F">
              <w:t xml:space="preserve"> </w:t>
            </w:r>
            <w:r w:rsidRPr="000F213F" w:rsidR="000F213F">
              <w:rPr>
                <w:rFonts w:asciiTheme="minorHAnsi" w:hAnsiTheme="minorHAnsi"/>
                <w:color w:val="000000"/>
                <w:sz w:val="22"/>
                <w:szCs w:val="22"/>
              </w:rPr>
              <w:t xml:space="preserve">Betrekken bij </w:t>
            </w:r>
            <w:r w:rsidR="000F213F">
              <w:rPr>
                <w:rFonts w:asciiTheme="minorHAnsi" w:hAnsiTheme="minorHAnsi"/>
                <w:color w:val="000000"/>
                <w:sz w:val="22"/>
                <w:szCs w:val="22"/>
              </w:rPr>
              <w:t xml:space="preserve">eerstvolgend algemeen overleg over de </w:t>
            </w:r>
            <w:r w:rsidRPr="000F213F" w:rsidR="000F213F">
              <w:rPr>
                <w:rFonts w:asciiTheme="minorHAnsi" w:hAnsiTheme="minorHAnsi"/>
                <w:color w:val="000000"/>
                <w:sz w:val="22"/>
                <w:szCs w:val="22"/>
              </w:rPr>
              <w:t>JBZ-Raad.</w:t>
            </w:r>
          </w:p>
          <w:p w:rsidR="003E4B91" w:rsidP="000F213F" w:rsidRDefault="003E4B91">
            <w:pPr>
              <w:rPr>
                <w:rFonts w:asciiTheme="minorHAnsi" w:hAnsiTheme="minorHAnsi"/>
                <w:color w:val="000000"/>
                <w:sz w:val="22"/>
                <w:szCs w:val="22"/>
              </w:rPr>
            </w:pPr>
          </w:p>
          <w:p w:rsidRPr="003E4B91" w:rsidR="003E4B91" w:rsidP="003E4B91" w:rsidRDefault="003E4B91">
            <w:pPr>
              <w:rPr>
                <w:rFonts w:asciiTheme="minorHAnsi" w:hAnsiTheme="minorHAnsi"/>
                <w:bCs/>
                <w:i/>
                <w:color w:val="000000"/>
                <w:sz w:val="22"/>
                <w:szCs w:val="22"/>
              </w:rPr>
            </w:pPr>
            <w:r>
              <w:rPr>
                <w:rFonts w:asciiTheme="minorHAnsi" w:hAnsiTheme="minorHAnsi"/>
                <w:i/>
                <w:color w:val="000000"/>
                <w:sz w:val="22"/>
                <w:szCs w:val="22"/>
              </w:rPr>
              <w:t xml:space="preserve">Deze nota bevat een toelichting op de voorgestelde herziening van de Visumcode (zie hieronder) en een aankondiging van een herziening van het Visuminformatiesysteem (VIS). Ook wordt in de nota een aanzet gegeven voor een discussie over de coherentie tussen handelsbevorderingsbeleid en visumbeleid en over digitalisering van het visumaanvraagproces.  </w:t>
            </w:r>
          </w:p>
        </w:tc>
      </w:tr>
      <w:tr w:rsidRPr="00257325" w:rsidR="008775C9" w:rsidTr="007A2A57">
        <w:trPr>
          <w:trHeight w:val="699"/>
        </w:trPr>
        <w:tc>
          <w:tcPr>
            <w:tcW w:w="436" w:type="dxa"/>
          </w:tcPr>
          <w:p w:rsidR="008775C9" w:rsidP="007A2A57" w:rsidRDefault="008C6DDB">
            <w:pPr>
              <w:jc w:val="center"/>
              <w:rPr>
                <w:rFonts w:asciiTheme="minorHAnsi" w:hAnsiTheme="minorHAnsi"/>
                <w:color w:val="000000"/>
                <w:sz w:val="22"/>
                <w:szCs w:val="22"/>
              </w:rPr>
            </w:pPr>
            <w:r>
              <w:rPr>
                <w:rFonts w:asciiTheme="minorHAnsi" w:hAnsiTheme="minorHAnsi"/>
                <w:color w:val="000000"/>
                <w:sz w:val="22"/>
                <w:szCs w:val="22"/>
              </w:rPr>
              <w:t>3</w:t>
            </w:r>
            <w:r w:rsidR="008775C9">
              <w:rPr>
                <w:rFonts w:asciiTheme="minorHAnsi" w:hAnsiTheme="minorHAnsi"/>
                <w:color w:val="000000"/>
                <w:sz w:val="22"/>
                <w:szCs w:val="22"/>
              </w:rPr>
              <w:t>.</w:t>
            </w:r>
          </w:p>
        </w:tc>
        <w:tc>
          <w:tcPr>
            <w:tcW w:w="1280" w:type="dxa"/>
            <w:shd w:val="clear" w:color="auto" w:fill="auto"/>
            <w:noWrap/>
          </w:tcPr>
          <w:p w:rsidR="008775C9" w:rsidP="007A2A57" w:rsidRDefault="008775C9">
            <w:pPr>
              <w:jc w:val="center"/>
              <w:rPr>
                <w:rFonts w:ascii="Calibri" w:hAnsi="Calibri"/>
                <w:color w:val="000000"/>
                <w:sz w:val="22"/>
                <w:szCs w:val="22"/>
              </w:rPr>
            </w:pPr>
            <w:r>
              <w:rPr>
                <w:rFonts w:ascii="Calibri" w:hAnsi="Calibri"/>
                <w:color w:val="000000"/>
                <w:sz w:val="22"/>
                <w:szCs w:val="22"/>
              </w:rPr>
              <w:t>14-maart-18</w:t>
            </w:r>
          </w:p>
          <w:p w:rsidRPr="009C3DAA" w:rsidR="008775C9" w:rsidP="007A2A57" w:rsidRDefault="008775C9">
            <w:pPr>
              <w:jc w:val="center"/>
              <w:rPr>
                <w:rFonts w:ascii="Calibri" w:hAnsi="Calibri"/>
                <w:color w:val="000000"/>
                <w:sz w:val="22"/>
                <w:szCs w:val="22"/>
              </w:rPr>
            </w:pPr>
          </w:p>
        </w:tc>
        <w:tc>
          <w:tcPr>
            <w:tcW w:w="562" w:type="dxa"/>
            <w:shd w:val="clear" w:color="auto" w:fill="auto"/>
            <w:noWrap/>
          </w:tcPr>
          <w:p w:rsidR="008775C9" w:rsidP="007A2A57" w:rsidRDefault="008775C9">
            <w:pPr>
              <w:jc w:val="center"/>
              <w:rPr>
                <w:rFonts w:ascii="Calibri" w:hAnsi="Calibri"/>
                <w:color w:val="000000"/>
                <w:sz w:val="22"/>
                <w:szCs w:val="22"/>
              </w:rPr>
            </w:pPr>
            <w:r>
              <w:rPr>
                <w:rFonts w:ascii="Calibri" w:hAnsi="Calibri"/>
                <w:color w:val="000000"/>
                <w:sz w:val="22"/>
                <w:szCs w:val="22"/>
              </w:rPr>
              <w:t>J&amp;V</w:t>
            </w:r>
          </w:p>
        </w:tc>
        <w:tc>
          <w:tcPr>
            <w:tcW w:w="1468" w:type="dxa"/>
            <w:shd w:val="clear" w:color="auto" w:fill="auto"/>
            <w:noWrap/>
          </w:tcPr>
          <w:p w:rsidR="008775C9" w:rsidP="007A2A57" w:rsidRDefault="008775C9">
            <w:pPr>
              <w:rPr>
                <w:rFonts w:ascii="Calibri" w:hAnsi="Calibri"/>
                <w:color w:val="000000"/>
                <w:sz w:val="22"/>
                <w:szCs w:val="22"/>
              </w:rPr>
            </w:pPr>
            <w:r>
              <w:rPr>
                <w:rFonts w:ascii="Calibri" w:hAnsi="Calibri"/>
                <w:color w:val="000000"/>
                <w:sz w:val="22"/>
                <w:szCs w:val="22"/>
              </w:rPr>
              <w:t>verordening</w:t>
            </w:r>
          </w:p>
        </w:tc>
        <w:tc>
          <w:tcPr>
            <w:tcW w:w="3687" w:type="dxa"/>
            <w:shd w:val="clear" w:color="auto" w:fill="auto"/>
          </w:tcPr>
          <w:p w:rsidRPr="008775C9" w:rsidR="008775C9" w:rsidP="007A2A57" w:rsidRDefault="008775C9">
            <w:pPr>
              <w:rPr>
                <w:rFonts w:ascii="Calibri" w:hAnsi="Calibri"/>
                <w:color w:val="000000"/>
                <w:sz w:val="22"/>
                <w:szCs w:val="22"/>
              </w:rPr>
            </w:pPr>
            <w:r>
              <w:rPr>
                <w:rFonts w:ascii="Calibri" w:hAnsi="Calibri"/>
                <w:color w:val="000000"/>
                <w:sz w:val="22"/>
                <w:szCs w:val="22"/>
              </w:rPr>
              <w:t xml:space="preserve">Voorstel voor een VERORDENING VAN HET EUROPEES PARLEMENT EN DE RAAD tot vaststelling van de lijst van derde landen waarvan de onderdanen bij overschrijding van de buitengrenzen in het bezit moeten zijn van een visum en de lijst van derde landen waarvan de onderdanen van die plicht zijn vrijgesteld (codificatie) </w:t>
            </w:r>
          </w:p>
        </w:tc>
        <w:tc>
          <w:tcPr>
            <w:tcW w:w="1654" w:type="dxa"/>
            <w:gridSpan w:val="2"/>
            <w:shd w:val="clear" w:color="auto" w:fill="auto"/>
            <w:noWrap/>
          </w:tcPr>
          <w:p w:rsidR="00C45BE6" w:rsidP="00C45BE6" w:rsidRDefault="00A01596">
            <w:pPr>
              <w:rPr>
                <w:rFonts w:ascii="Calibri" w:hAnsi="Calibri"/>
                <w:color w:val="0000FF"/>
                <w:sz w:val="22"/>
                <w:szCs w:val="22"/>
                <w:u w:val="single"/>
              </w:rPr>
            </w:pPr>
            <w:hyperlink w:history="1" r:id="rId10">
              <w:r w:rsidR="00C45BE6">
                <w:rPr>
                  <w:rStyle w:val="Hyperlink"/>
                  <w:rFonts w:ascii="Calibri" w:hAnsi="Calibri"/>
                  <w:sz w:val="22"/>
                  <w:szCs w:val="22"/>
                </w:rPr>
                <w:t>COM (2018) 139</w:t>
              </w:r>
            </w:hyperlink>
          </w:p>
          <w:p w:rsidR="008775C9" w:rsidP="007A2A57" w:rsidRDefault="008775C9">
            <w:pPr>
              <w:rPr>
                <w:rFonts w:ascii="Calibri" w:hAnsi="Calibri"/>
                <w:color w:val="0000FF"/>
                <w:sz w:val="22"/>
                <w:szCs w:val="22"/>
                <w:u w:val="single"/>
              </w:rPr>
            </w:pPr>
          </w:p>
        </w:tc>
        <w:tc>
          <w:tcPr>
            <w:tcW w:w="826" w:type="dxa"/>
            <w:shd w:val="clear" w:color="auto" w:fill="auto"/>
          </w:tcPr>
          <w:p w:rsidRPr="00A62907" w:rsidR="008775C9" w:rsidP="007A2A57" w:rsidRDefault="000F213F">
            <w:pPr>
              <w:rPr>
                <w:rFonts w:asciiTheme="minorHAnsi" w:hAnsiTheme="minorHAnsi"/>
                <w:color w:val="000000"/>
                <w:sz w:val="22"/>
                <w:szCs w:val="22"/>
              </w:rPr>
            </w:pPr>
            <w:proofErr w:type="spellStart"/>
            <w:r>
              <w:rPr>
                <w:rFonts w:asciiTheme="minorHAnsi" w:hAnsiTheme="minorHAnsi"/>
                <w:color w:val="000000"/>
                <w:sz w:val="22"/>
                <w:szCs w:val="22"/>
              </w:rPr>
              <w:t>Ntb</w:t>
            </w:r>
            <w:proofErr w:type="spellEnd"/>
            <w:r>
              <w:rPr>
                <w:rFonts w:asciiTheme="minorHAnsi" w:hAnsiTheme="minorHAnsi"/>
                <w:color w:val="000000"/>
                <w:sz w:val="22"/>
                <w:szCs w:val="22"/>
              </w:rPr>
              <w:t xml:space="preserve"> </w:t>
            </w:r>
          </w:p>
        </w:tc>
        <w:tc>
          <w:tcPr>
            <w:tcW w:w="4742" w:type="dxa"/>
            <w:shd w:val="clear" w:color="auto" w:fill="auto"/>
          </w:tcPr>
          <w:p w:rsidR="008775C9" w:rsidP="000F213F" w:rsidRDefault="008775C9">
            <w:pPr>
              <w:rPr>
                <w:rFonts w:asciiTheme="minorHAnsi" w:hAnsiTheme="minorHAnsi"/>
                <w:color w:val="000000"/>
                <w:sz w:val="22"/>
                <w:szCs w:val="22"/>
              </w:rPr>
            </w:pPr>
            <w:r w:rsidRPr="00C17A32">
              <w:rPr>
                <w:rFonts w:asciiTheme="minorHAnsi" w:hAnsiTheme="minorHAnsi"/>
                <w:color w:val="000000"/>
                <w:sz w:val="22"/>
                <w:szCs w:val="22"/>
                <w:u w:val="single"/>
              </w:rPr>
              <w:t>Voorstel:</w:t>
            </w:r>
            <w:r w:rsidRPr="00C53FD0">
              <w:rPr>
                <w:rFonts w:asciiTheme="minorHAnsi" w:hAnsiTheme="minorHAnsi"/>
                <w:color w:val="000000"/>
                <w:sz w:val="22"/>
                <w:szCs w:val="22"/>
              </w:rPr>
              <w:t xml:space="preserve"> </w:t>
            </w:r>
            <w:r w:rsidR="000F213F">
              <w:rPr>
                <w:rFonts w:asciiTheme="minorHAnsi" w:hAnsiTheme="minorHAnsi"/>
                <w:color w:val="000000"/>
                <w:sz w:val="22"/>
                <w:szCs w:val="22"/>
              </w:rPr>
              <w:t xml:space="preserve"> BNC-fiche afwachten (komt binnen zes weken) en Nederlandse inzet bespreken op eerst volgend algemeen overleg over de JBZ-Raad. </w:t>
            </w:r>
          </w:p>
          <w:p w:rsidR="007D2EBC" w:rsidP="000F213F" w:rsidRDefault="007D2EBC">
            <w:pPr>
              <w:rPr>
                <w:rFonts w:asciiTheme="minorHAnsi" w:hAnsiTheme="minorHAnsi"/>
                <w:color w:val="000000"/>
                <w:sz w:val="22"/>
                <w:szCs w:val="22"/>
              </w:rPr>
            </w:pPr>
          </w:p>
          <w:p w:rsidRPr="007D2EBC" w:rsidR="007D2EBC" w:rsidP="007D2EBC" w:rsidRDefault="007D2EBC">
            <w:pPr>
              <w:rPr>
                <w:rFonts w:asciiTheme="minorHAnsi" w:hAnsiTheme="minorHAnsi"/>
                <w:bCs/>
                <w:i/>
                <w:color w:val="000000"/>
                <w:sz w:val="22"/>
                <w:szCs w:val="22"/>
              </w:rPr>
            </w:pPr>
            <w:r>
              <w:rPr>
                <w:rFonts w:asciiTheme="minorHAnsi" w:hAnsiTheme="minorHAnsi"/>
                <w:bCs/>
                <w:i/>
                <w:color w:val="000000"/>
                <w:sz w:val="22"/>
                <w:szCs w:val="22"/>
              </w:rPr>
              <w:t xml:space="preserve">De EC stelt voor om de wijzigingen die in de afgelopen jaren in deze verordening zijn aangebracht, te codificeren zodat er weer sprake is van een eenduidige rechtsbron. Inhoudelijk worden er geen wijzigingen voorgesteld. </w:t>
            </w:r>
          </w:p>
        </w:tc>
      </w:tr>
      <w:tr w:rsidRPr="00257325" w:rsidR="008C6DDB" w:rsidTr="007A2A57">
        <w:trPr>
          <w:trHeight w:val="699"/>
        </w:trPr>
        <w:tc>
          <w:tcPr>
            <w:tcW w:w="436" w:type="dxa"/>
          </w:tcPr>
          <w:p w:rsidR="008C6DDB" w:rsidP="007A2A57" w:rsidRDefault="008C6DDB">
            <w:pPr>
              <w:jc w:val="center"/>
              <w:rPr>
                <w:rFonts w:asciiTheme="minorHAnsi" w:hAnsiTheme="minorHAnsi"/>
                <w:color w:val="000000"/>
                <w:sz w:val="22"/>
                <w:szCs w:val="22"/>
              </w:rPr>
            </w:pPr>
            <w:r>
              <w:rPr>
                <w:rFonts w:asciiTheme="minorHAnsi" w:hAnsiTheme="minorHAnsi"/>
                <w:color w:val="000000"/>
                <w:sz w:val="22"/>
                <w:szCs w:val="22"/>
              </w:rPr>
              <w:t>4.</w:t>
            </w:r>
          </w:p>
        </w:tc>
        <w:tc>
          <w:tcPr>
            <w:tcW w:w="1280" w:type="dxa"/>
            <w:shd w:val="clear" w:color="auto" w:fill="auto"/>
            <w:noWrap/>
          </w:tcPr>
          <w:p w:rsidR="008C6DDB" w:rsidP="007A2A57" w:rsidRDefault="008C6DDB">
            <w:pPr>
              <w:jc w:val="center"/>
              <w:rPr>
                <w:rFonts w:ascii="Calibri" w:hAnsi="Calibri"/>
                <w:color w:val="000000"/>
                <w:sz w:val="22"/>
                <w:szCs w:val="22"/>
              </w:rPr>
            </w:pPr>
            <w:r>
              <w:rPr>
                <w:rFonts w:ascii="Calibri" w:hAnsi="Calibri"/>
                <w:color w:val="000000"/>
                <w:sz w:val="22"/>
                <w:szCs w:val="22"/>
              </w:rPr>
              <w:t>14-maart-18</w:t>
            </w:r>
          </w:p>
        </w:tc>
        <w:tc>
          <w:tcPr>
            <w:tcW w:w="562" w:type="dxa"/>
            <w:shd w:val="clear" w:color="auto" w:fill="auto"/>
            <w:noWrap/>
          </w:tcPr>
          <w:p w:rsidR="008C6DDB" w:rsidP="007A2A57" w:rsidRDefault="008C6DDB">
            <w:pPr>
              <w:jc w:val="center"/>
              <w:rPr>
                <w:rFonts w:ascii="Calibri" w:hAnsi="Calibri"/>
                <w:color w:val="000000"/>
                <w:sz w:val="22"/>
                <w:szCs w:val="22"/>
              </w:rPr>
            </w:pPr>
            <w:r>
              <w:rPr>
                <w:rFonts w:ascii="Calibri" w:hAnsi="Calibri"/>
                <w:color w:val="000000"/>
                <w:sz w:val="22"/>
                <w:szCs w:val="22"/>
              </w:rPr>
              <w:t>J&amp;V</w:t>
            </w:r>
          </w:p>
        </w:tc>
        <w:tc>
          <w:tcPr>
            <w:tcW w:w="1468" w:type="dxa"/>
            <w:shd w:val="clear" w:color="auto" w:fill="auto"/>
            <w:noWrap/>
          </w:tcPr>
          <w:p w:rsidR="008C6DDB" w:rsidP="007A2A57" w:rsidRDefault="008C6DDB">
            <w:pPr>
              <w:rPr>
                <w:rFonts w:ascii="Calibri" w:hAnsi="Calibri"/>
                <w:color w:val="000000"/>
                <w:sz w:val="22"/>
                <w:szCs w:val="22"/>
              </w:rPr>
            </w:pPr>
            <w:r>
              <w:rPr>
                <w:rFonts w:ascii="Calibri" w:hAnsi="Calibri"/>
                <w:color w:val="000000"/>
                <w:sz w:val="22"/>
                <w:szCs w:val="22"/>
              </w:rPr>
              <w:t>mededeling</w:t>
            </w:r>
          </w:p>
        </w:tc>
        <w:tc>
          <w:tcPr>
            <w:tcW w:w="3687" w:type="dxa"/>
            <w:shd w:val="clear" w:color="auto" w:fill="auto"/>
          </w:tcPr>
          <w:p w:rsidR="008C6DDB" w:rsidP="00C53FD0" w:rsidRDefault="008C6DDB">
            <w:pPr>
              <w:rPr>
                <w:rFonts w:ascii="Calibri" w:hAnsi="Calibri"/>
                <w:color w:val="000000"/>
                <w:sz w:val="22"/>
                <w:szCs w:val="22"/>
              </w:rPr>
            </w:pPr>
            <w:r>
              <w:rPr>
                <w:rFonts w:ascii="Calibri" w:hAnsi="Calibri"/>
                <w:color w:val="000000"/>
                <w:sz w:val="22"/>
                <w:szCs w:val="22"/>
              </w:rPr>
              <w:t>MEDEDELING VAN DE COMMISSIE AAN HET EUROPEES PARLEMENT EN DE RAAD Tweede jaarverslag over de Faciliteit voor vluchtelingen in Turkije.</w:t>
            </w:r>
          </w:p>
        </w:tc>
        <w:tc>
          <w:tcPr>
            <w:tcW w:w="1654" w:type="dxa"/>
            <w:gridSpan w:val="2"/>
            <w:shd w:val="clear" w:color="auto" w:fill="auto"/>
            <w:noWrap/>
          </w:tcPr>
          <w:p w:rsidR="008C6DDB" w:rsidP="008C6DDB" w:rsidRDefault="00A01596">
            <w:pPr>
              <w:rPr>
                <w:rFonts w:ascii="Calibri" w:hAnsi="Calibri"/>
                <w:color w:val="0000FF"/>
                <w:sz w:val="22"/>
                <w:szCs w:val="22"/>
                <w:u w:val="single"/>
              </w:rPr>
            </w:pPr>
            <w:hyperlink w:history="1" r:id="rId11">
              <w:r w:rsidR="008C6DDB">
                <w:rPr>
                  <w:rStyle w:val="Hyperlink"/>
                  <w:rFonts w:ascii="Calibri" w:hAnsi="Calibri"/>
                  <w:sz w:val="22"/>
                  <w:szCs w:val="22"/>
                </w:rPr>
                <w:t>COM (2018) 91</w:t>
              </w:r>
            </w:hyperlink>
          </w:p>
          <w:p w:rsidR="008C6DDB" w:rsidP="007A2A57" w:rsidRDefault="008C6DDB">
            <w:pPr>
              <w:rPr>
                <w:rFonts w:ascii="Calibri" w:hAnsi="Calibri"/>
                <w:color w:val="0000FF"/>
                <w:sz w:val="22"/>
                <w:szCs w:val="22"/>
                <w:u w:val="single"/>
              </w:rPr>
            </w:pPr>
          </w:p>
        </w:tc>
        <w:tc>
          <w:tcPr>
            <w:tcW w:w="826" w:type="dxa"/>
            <w:shd w:val="clear" w:color="auto" w:fill="auto"/>
          </w:tcPr>
          <w:p w:rsidR="008C6DDB" w:rsidP="007A2A57" w:rsidRDefault="008C6DDB">
            <w:pPr>
              <w:rPr>
                <w:rFonts w:asciiTheme="minorHAnsi" w:hAnsiTheme="minorHAnsi"/>
                <w:color w:val="000000"/>
                <w:sz w:val="22"/>
                <w:szCs w:val="22"/>
              </w:rPr>
            </w:pPr>
          </w:p>
        </w:tc>
        <w:tc>
          <w:tcPr>
            <w:tcW w:w="4742" w:type="dxa"/>
            <w:shd w:val="clear" w:color="auto" w:fill="auto"/>
          </w:tcPr>
          <w:p w:rsidR="008C6DDB" w:rsidP="008775C9" w:rsidRDefault="000F213F">
            <w:pPr>
              <w:rPr>
                <w:rFonts w:asciiTheme="minorHAnsi" w:hAnsiTheme="minorHAnsi"/>
                <w:color w:val="000000"/>
                <w:sz w:val="22"/>
                <w:szCs w:val="22"/>
              </w:rPr>
            </w:pPr>
            <w:r w:rsidRPr="00C17A32">
              <w:rPr>
                <w:rFonts w:asciiTheme="minorHAnsi" w:hAnsiTheme="minorHAnsi"/>
                <w:color w:val="000000"/>
                <w:sz w:val="22"/>
                <w:szCs w:val="22"/>
                <w:u w:val="single"/>
              </w:rPr>
              <w:t>Voorstel:</w:t>
            </w:r>
            <w:r w:rsidRPr="000F213F">
              <w:t xml:space="preserve"> </w:t>
            </w:r>
            <w:r w:rsidRPr="000F213F">
              <w:rPr>
                <w:rFonts w:asciiTheme="minorHAnsi" w:hAnsiTheme="minorHAnsi"/>
                <w:color w:val="000000"/>
                <w:sz w:val="22"/>
                <w:szCs w:val="22"/>
              </w:rPr>
              <w:t xml:space="preserve">Betrekken bij </w:t>
            </w:r>
            <w:r>
              <w:rPr>
                <w:rFonts w:asciiTheme="minorHAnsi" w:hAnsiTheme="minorHAnsi"/>
                <w:color w:val="000000"/>
                <w:sz w:val="22"/>
                <w:szCs w:val="22"/>
              </w:rPr>
              <w:t xml:space="preserve">eerstvolgend algemeen overleg over de </w:t>
            </w:r>
            <w:r w:rsidRPr="000F213F">
              <w:rPr>
                <w:rFonts w:asciiTheme="minorHAnsi" w:hAnsiTheme="minorHAnsi"/>
                <w:color w:val="000000"/>
                <w:sz w:val="22"/>
                <w:szCs w:val="22"/>
              </w:rPr>
              <w:t>JBZ-Raad.</w:t>
            </w:r>
          </w:p>
          <w:p w:rsidR="00C53FD0" w:rsidP="008775C9" w:rsidRDefault="00C53FD0">
            <w:pPr>
              <w:rPr>
                <w:rFonts w:asciiTheme="minorHAnsi" w:hAnsiTheme="minorHAnsi"/>
                <w:color w:val="000000"/>
                <w:sz w:val="22"/>
                <w:szCs w:val="22"/>
              </w:rPr>
            </w:pPr>
          </w:p>
          <w:p w:rsidRPr="007D2EBC" w:rsidR="00C53FD0" w:rsidP="007D2EBC" w:rsidRDefault="007D2EBC">
            <w:pPr>
              <w:rPr>
                <w:rFonts w:asciiTheme="minorHAnsi" w:hAnsiTheme="minorHAnsi"/>
                <w:i/>
                <w:color w:val="000000"/>
                <w:sz w:val="22"/>
                <w:szCs w:val="22"/>
                <w:u w:val="single"/>
              </w:rPr>
            </w:pPr>
            <w:r>
              <w:rPr>
                <w:rFonts w:asciiTheme="minorHAnsi" w:hAnsiTheme="minorHAnsi"/>
                <w:i/>
                <w:color w:val="000000"/>
                <w:sz w:val="22"/>
                <w:szCs w:val="22"/>
              </w:rPr>
              <w:t xml:space="preserve">In dit verslag zet de EC uiteen hoe de middelen uit de eerste tranche voor de EU-faciliteit van vluchtelingen zijn besteed en wordt voorgesteld een tweede tranche vrij te maken ter hoogte van € 3 miljard. </w:t>
            </w:r>
          </w:p>
        </w:tc>
      </w:tr>
      <w:tr w:rsidRPr="00257325" w:rsidR="008C6DDB" w:rsidTr="007A2A57">
        <w:trPr>
          <w:trHeight w:val="699"/>
        </w:trPr>
        <w:tc>
          <w:tcPr>
            <w:tcW w:w="436" w:type="dxa"/>
          </w:tcPr>
          <w:p w:rsidR="008C6DDB" w:rsidP="007A2A57" w:rsidRDefault="002F12DB">
            <w:pPr>
              <w:jc w:val="center"/>
              <w:rPr>
                <w:rFonts w:asciiTheme="minorHAnsi" w:hAnsiTheme="minorHAnsi"/>
                <w:color w:val="000000"/>
                <w:sz w:val="22"/>
                <w:szCs w:val="22"/>
              </w:rPr>
            </w:pPr>
            <w:r>
              <w:rPr>
                <w:rFonts w:asciiTheme="minorHAnsi" w:hAnsiTheme="minorHAnsi"/>
                <w:color w:val="000000"/>
                <w:sz w:val="22"/>
                <w:szCs w:val="22"/>
              </w:rPr>
              <w:t>5.</w:t>
            </w:r>
          </w:p>
        </w:tc>
        <w:tc>
          <w:tcPr>
            <w:tcW w:w="1280" w:type="dxa"/>
            <w:shd w:val="clear" w:color="auto" w:fill="auto"/>
            <w:noWrap/>
          </w:tcPr>
          <w:p w:rsidR="008C6DDB" w:rsidP="007A2A57" w:rsidRDefault="002F12DB">
            <w:pPr>
              <w:jc w:val="center"/>
              <w:rPr>
                <w:rFonts w:ascii="Calibri" w:hAnsi="Calibri"/>
                <w:color w:val="000000"/>
                <w:sz w:val="22"/>
                <w:szCs w:val="22"/>
              </w:rPr>
            </w:pPr>
            <w:r>
              <w:rPr>
                <w:rFonts w:ascii="Calibri" w:hAnsi="Calibri"/>
                <w:color w:val="000000"/>
                <w:sz w:val="22"/>
                <w:szCs w:val="22"/>
              </w:rPr>
              <w:t>14-maart-18</w:t>
            </w:r>
          </w:p>
        </w:tc>
        <w:tc>
          <w:tcPr>
            <w:tcW w:w="562" w:type="dxa"/>
            <w:shd w:val="clear" w:color="auto" w:fill="auto"/>
            <w:noWrap/>
          </w:tcPr>
          <w:p w:rsidR="008C6DDB" w:rsidP="007A2A57" w:rsidRDefault="002F12DB">
            <w:pPr>
              <w:jc w:val="center"/>
              <w:rPr>
                <w:rFonts w:ascii="Calibri" w:hAnsi="Calibri"/>
                <w:color w:val="000000"/>
                <w:sz w:val="22"/>
                <w:szCs w:val="22"/>
              </w:rPr>
            </w:pPr>
            <w:r>
              <w:rPr>
                <w:rFonts w:ascii="Calibri" w:hAnsi="Calibri"/>
                <w:color w:val="000000"/>
                <w:sz w:val="22"/>
                <w:szCs w:val="22"/>
              </w:rPr>
              <w:t>J&amp;V</w:t>
            </w:r>
          </w:p>
        </w:tc>
        <w:tc>
          <w:tcPr>
            <w:tcW w:w="1468" w:type="dxa"/>
            <w:shd w:val="clear" w:color="auto" w:fill="auto"/>
            <w:noWrap/>
          </w:tcPr>
          <w:p w:rsidR="008C6DDB" w:rsidP="007A2A57" w:rsidRDefault="000F213F">
            <w:pPr>
              <w:rPr>
                <w:rFonts w:ascii="Calibri" w:hAnsi="Calibri"/>
                <w:color w:val="000000"/>
                <w:sz w:val="22"/>
                <w:szCs w:val="22"/>
              </w:rPr>
            </w:pPr>
            <w:r>
              <w:rPr>
                <w:rFonts w:ascii="Calibri" w:hAnsi="Calibri"/>
                <w:color w:val="000000"/>
                <w:sz w:val="22"/>
                <w:szCs w:val="22"/>
              </w:rPr>
              <w:t>verordening</w:t>
            </w:r>
          </w:p>
        </w:tc>
        <w:tc>
          <w:tcPr>
            <w:tcW w:w="3687" w:type="dxa"/>
            <w:shd w:val="clear" w:color="auto" w:fill="auto"/>
          </w:tcPr>
          <w:p w:rsidRPr="000F213F" w:rsidR="008C6DDB" w:rsidP="007A2A57" w:rsidRDefault="008C6DDB">
            <w:pPr>
              <w:rPr>
                <w:rFonts w:ascii="Calibri" w:hAnsi="Calibri"/>
                <w:color w:val="000000"/>
                <w:sz w:val="22"/>
                <w:szCs w:val="22"/>
                <w:lang w:val="en-GB"/>
              </w:rPr>
            </w:pPr>
            <w:r w:rsidRPr="000F213F">
              <w:rPr>
                <w:rFonts w:ascii="Calibri" w:hAnsi="Calibri"/>
                <w:color w:val="000000"/>
                <w:sz w:val="22"/>
                <w:szCs w:val="22"/>
                <w:lang w:val="en-GB"/>
              </w:rPr>
              <w:t xml:space="preserve">Proposal for a REGULATION OF THE EUROPEAN PARLIAMENT AND OF THE COUNCIL amending Regulation (EC) No 810/2009 establishing a Community </w:t>
            </w:r>
            <w:r w:rsidRPr="000F213F">
              <w:rPr>
                <w:rFonts w:ascii="Calibri" w:hAnsi="Calibri"/>
                <w:color w:val="000000"/>
                <w:sz w:val="22"/>
                <w:szCs w:val="22"/>
                <w:lang w:val="en-GB"/>
              </w:rPr>
              <w:lastRenderedPageBreak/>
              <w:t xml:space="preserve">Code on Visas (Visa Code) </w:t>
            </w:r>
          </w:p>
        </w:tc>
        <w:tc>
          <w:tcPr>
            <w:tcW w:w="1654" w:type="dxa"/>
            <w:gridSpan w:val="2"/>
            <w:shd w:val="clear" w:color="auto" w:fill="auto"/>
            <w:noWrap/>
          </w:tcPr>
          <w:p w:rsidR="008C6DDB" w:rsidP="008C6DDB" w:rsidRDefault="00A01596">
            <w:pPr>
              <w:rPr>
                <w:rFonts w:ascii="Calibri" w:hAnsi="Calibri"/>
                <w:color w:val="0000FF"/>
                <w:sz w:val="22"/>
                <w:szCs w:val="22"/>
                <w:u w:val="single"/>
              </w:rPr>
            </w:pPr>
            <w:hyperlink w:history="1" r:id="rId12">
              <w:r w:rsidR="008C6DDB">
                <w:rPr>
                  <w:rStyle w:val="Hyperlink"/>
                  <w:rFonts w:ascii="Calibri" w:hAnsi="Calibri"/>
                  <w:sz w:val="22"/>
                  <w:szCs w:val="22"/>
                </w:rPr>
                <w:t>COM (2018) 252</w:t>
              </w:r>
            </w:hyperlink>
          </w:p>
          <w:p w:rsidR="008C6DDB" w:rsidP="007A2A57" w:rsidRDefault="008C6DDB">
            <w:pPr>
              <w:rPr>
                <w:rFonts w:ascii="Calibri" w:hAnsi="Calibri"/>
                <w:color w:val="0000FF"/>
                <w:sz w:val="22"/>
                <w:szCs w:val="22"/>
                <w:u w:val="single"/>
              </w:rPr>
            </w:pPr>
          </w:p>
        </w:tc>
        <w:tc>
          <w:tcPr>
            <w:tcW w:w="826" w:type="dxa"/>
            <w:shd w:val="clear" w:color="auto" w:fill="auto"/>
          </w:tcPr>
          <w:p w:rsidR="008C6DDB" w:rsidP="007A2A57" w:rsidRDefault="000F213F">
            <w:pPr>
              <w:rPr>
                <w:rFonts w:asciiTheme="minorHAnsi" w:hAnsiTheme="minorHAnsi"/>
                <w:color w:val="000000"/>
                <w:sz w:val="22"/>
                <w:szCs w:val="22"/>
              </w:rPr>
            </w:pPr>
            <w:proofErr w:type="spellStart"/>
            <w:r>
              <w:rPr>
                <w:rFonts w:asciiTheme="minorHAnsi" w:hAnsiTheme="minorHAnsi"/>
                <w:color w:val="000000"/>
                <w:sz w:val="22"/>
                <w:szCs w:val="22"/>
              </w:rPr>
              <w:t>Ntb</w:t>
            </w:r>
            <w:proofErr w:type="spellEnd"/>
          </w:p>
        </w:tc>
        <w:tc>
          <w:tcPr>
            <w:tcW w:w="4742" w:type="dxa"/>
            <w:shd w:val="clear" w:color="auto" w:fill="auto"/>
          </w:tcPr>
          <w:p w:rsidR="008C6DDB" w:rsidP="008775C9" w:rsidRDefault="000F213F">
            <w:pPr>
              <w:rPr>
                <w:rFonts w:asciiTheme="minorHAnsi" w:hAnsiTheme="minorHAnsi"/>
                <w:color w:val="000000"/>
                <w:sz w:val="22"/>
                <w:szCs w:val="22"/>
              </w:rPr>
            </w:pPr>
            <w:r w:rsidRPr="00C17A32">
              <w:rPr>
                <w:rFonts w:asciiTheme="minorHAnsi" w:hAnsiTheme="minorHAnsi"/>
                <w:color w:val="000000"/>
                <w:sz w:val="22"/>
                <w:szCs w:val="22"/>
                <w:u w:val="single"/>
              </w:rPr>
              <w:t xml:space="preserve">Voorstel: </w:t>
            </w:r>
            <w:r>
              <w:rPr>
                <w:rFonts w:asciiTheme="minorHAnsi" w:hAnsiTheme="minorHAnsi"/>
                <w:color w:val="000000"/>
                <w:sz w:val="22"/>
                <w:szCs w:val="22"/>
              </w:rPr>
              <w:t xml:space="preserve"> BNC-fiche afwachten (komt binnen zes weken) en Nederlandse inzet bespreken op eerst volgend algemeen overleg over de JBZ-Raad.</w:t>
            </w:r>
          </w:p>
          <w:p w:rsidR="000F213F" w:rsidP="008775C9" w:rsidRDefault="000F213F">
            <w:pPr>
              <w:rPr>
                <w:rFonts w:asciiTheme="minorHAnsi" w:hAnsiTheme="minorHAnsi"/>
                <w:color w:val="000000"/>
                <w:sz w:val="22"/>
                <w:szCs w:val="22"/>
              </w:rPr>
            </w:pPr>
          </w:p>
          <w:p w:rsidR="000F213F" w:rsidP="008775C9" w:rsidRDefault="000F213F">
            <w:pPr>
              <w:rPr>
                <w:rFonts w:asciiTheme="minorHAnsi" w:hAnsiTheme="minorHAnsi"/>
                <w:i/>
                <w:color w:val="000000"/>
                <w:sz w:val="22"/>
                <w:szCs w:val="22"/>
              </w:rPr>
            </w:pPr>
            <w:r>
              <w:rPr>
                <w:rFonts w:asciiTheme="minorHAnsi" w:hAnsiTheme="minorHAnsi"/>
                <w:i/>
                <w:color w:val="000000"/>
                <w:sz w:val="22"/>
                <w:szCs w:val="22"/>
              </w:rPr>
              <w:lastRenderedPageBreak/>
              <w:t xml:space="preserve">Binnen de EU voeren de lidstaten een gemeenschappelijk beleid inzake </w:t>
            </w:r>
            <w:r w:rsidRPr="007304CB">
              <w:rPr>
                <w:rFonts w:asciiTheme="minorHAnsi" w:hAnsiTheme="minorHAnsi"/>
                <w:b/>
                <w:i/>
                <w:color w:val="000000"/>
                <w:sz w:val="22"/>
                <w:szCs w:val="22"/>
              </w:rPr>
              <w:t>Schengenvisa voor kort verblijf</w:t>
            </w:r>
            <w:r w:rsidRPr="007304CB" w:rsidR="007304CB">
              <w:rPr>
                <w:rFonts w:asciiTheme="minorHAnsi" w:hAnsiTheme="minorHAnsi"/>
                <w:b/>
                <w:i/>
                <w:color w:val="000000"/>
                <w:sz w:val="22"/>
                <w:szCs w:val="22"/>
              </w:rPr>
              <w:t xml:space="preserve"> (max. 90 dagen)</w:t>
            </w:r>
            <w:r>
              <w:rPr>
                <w:rFonts w:asciiTheme="minorHAnsi" w:hAnsiTheme="minorHAnsi"/>
                <w:i/>
                <w:color w:val="000000"/>
                <w:sz w:val="22"/>
                <w:szCs w:val="22"/>
              </w:rPr>
              <w:t xml:space="preserve">. Voor visumplichtige derdelanders gelden dezelfde procedures en voorwaarden voor visumverstrekking. In het onderhavige voorstel stelt de Europese Commissie voor het bestaande kader aan te passen met het oog </w:t>
            </w:r>
            <w:r w:rsidR="007304CB">
              <w:rPr>
                <w:rFonts w:asciiTheme="minorHAnsi" w:hAnsiTheme="minorHAnsi"/>
                <w:i/>
                <w:color w:val="000000"/>
                <w:sz w:val="22"/>
                <w:szCs w:val="22"/>
              </w:rPr>
              <w:t xml:space="preserve">op nieuwe terroristische dreigingen, ontwikkelingen op migratievlak en op technologisch gebied. </w:t>
            </w:r>
            <w:r w:rsidR="003E4B91">
              <w:rPr>
                <w:rFonts w:asciiTheme="minorHAnsi" w:hAnsiTheme="minorHAnsi"/>
                <w:i/>
                <w:color w:val="000000"/>
                <w:sz w:val="22"/>
                <w:szCs w:val="22"/>
              </w:rPr>
              <w:t>Enkele belangrijke</w:t>
            </w:r>
            <w:r w:rsidR="007304CB">
              <w:rPr>
                <w:rFonts w:asciiTheme="minorHAnsi" w:hAnsiTheme="minorHAnsi"/>
                <w:i/>
                <w:color w:val="000000"/>
                <w:sz w:val="22"/>
                <w:szCs w:val="22"/>
              </w:rPr>
              <w:t xml:space="preserve"> nieuwe elementen zijn:</w:t>
            </w:r>
          </w:p>
          <w:p w:rsidR="007304CB" w:rsidP="007304CB" w:rsidRDefault="007304CB">
            <w:pPr>
              <w:pStyle w:val="Lijstalinea"/>
              <w:numPr>
                <w:ilvl w:val="0"/>
                <w:numId w:val="3"/>
              </w:numPr>
              <w:rPr>
                <w:rFonts w:asciiTheme="minorHAnsi" w:hAnsiTheme="minorHAnsi"/>
                <w:i/>
                <w:color w:val="000000"/>
                <w:sz w:val="22"/>
                <w:szCs w:val="22"/>
              </w:rPr>
            </w:pPr>
            <w:r>
              <w:rPr>
                <w:rFonts w:asciiTheme="minorHAnsi" w:hAnsiTheme="minorHAnsi"/>
                <w:i/>
                <w:color w:val="000000"/>
                <w:sz w:val="22"/>
                <w:szCs w:val="22"/>
              </w:rPr>
              <w:t xml:space="preserve">De </w:t>
            </w:r>
            <w:r w:rsidRPr="007304CB">
              <w:rPr>
                <w:rFonts w:asciiTheme="minorHAnsi" w:hAnsiTheme="minorHAnsi"/>
                <w:b/>
                <w:i/>
                <w:color w:val="000000"/>
                <w:sz w:val="22"/>
                <w:szCs w:val="22"/>
              </w:rPr>
              <w:t>beslistermijn</w:t>
            </w:r>
            <w:r>
              <w:rPr>
                <w:rFonts w:asciiTheme="minorHAnsi" w:hAnsiTheme="minorHAnsi"/>
                <w:i/>
                <w:color w:val="000000"/>
                <w:sz w:val="22"/>
                <w:szCs w:val="22"/>
              </w:rPr>
              <w:t xml:space="preserve"> voor visaverstrekkende autoriteiten wordt verminderd van 15 tot 10 dagen en </w:t>
            </w:r>
            <w:proofErr w:type="spellStart"/>
            <w:r>
              <w:rPr>
                <w:rFonts w:asciiTheme="minorHAnsi" w:hAnsiTheme="minorHAnsi"/>
                <w:i/>
                <w:color w:val="000000"/>
                <w:sz w:val="22"/>
                <w:szCs w:val="22"/>
              </w:rPr>
              <w:t>visumplichtigen</w:t>
            </w:r>
            <w:proofErr w:type="spellEnd"/>
            <w:r>
              <w:rPr>
                <w:rFonts w:asciiTheme="minorHAnsi" w:hAnsiTheme="minorHAnsi"/>
                <w:i/>
                <w:color w:val="000000"/>
                <w:sz w:val="22"/>
                <w:szCs w:val="22"/>
              </w:rPr>
              <w:t xml:space="preserve"> kunnen al zes maanden van te voren een aanvraag indienen.</w:t>
            </w:r>
          </w:p>
          <w:p w:rsidR="007304CB" w:rsidP="007304CB" w:rsidRDefault="007304CB">
            <w:pPr>
              <w:pStyle w:val="Lijstalinea"/>
              <w:numPr>
                <w:ilvl w:val="0"/>
                <w:numId w:val="3"/>
              </w:numPr>
              <w:rPr>
                <w:rFonts w:asciiTheme="minorHAnsi" w:hAnsiTheme="minorHAnsi"/>
                <w:i/>
                <w:color w:val="000000"/>
                <w:sz w:val="22"/>
                <w:szCs w:val="22"/>
              </w:rPr>
            </w:pPr>
            <w:r>
              <w:rPr>
                <w:rFonts w:asciiTheme="minorHAnsi" w:hAnsiTheme="minorHAnsi"/>
                <w:i/>
                <w:color w:val="000000"/>
                <w:sz w:val="22"/>
                <w:szCs w:val="22"/>
              </w:rPr>
              <w:t xml:space="preserve">De </w:t>
            </w:r>
            <w:r w:rsidRPr="007304CB">
              <w:rPr>
                <w:rFonts w:asciiTheme="minorHAnsi" w:hAnsiTheme="minorHAnsi"/>
                <w:b/>
                <w:i/>
                <w:color w:val="000000"/>
                <w:sz w:val="22"/>
                <w:szCs w:val="22"/>
              </w:rPr>
              <w:t>geldigheidsduur</w:t>
            </w:r>
            <w:r>
              <w:rPr>
                <w:rFonts w:asciiTheme="minorHAnsi" w:hAnsiTheme="minorHAnsi"/>
                <w:i/>
                <w:color w:val="000000"/>
                <w:sz w:val="22"/>
                <w:szCs w:val="22"/>
              </w:rPr>
              <w:t xml:space="preserve"> van multiple-entry visa wordt geharmoniseerd. </w:t>
            </w:r>
          </w:p>
          <w:p w:rsidR="007304CB" w:rsidP="007304CB" w:rsidRDefault="007304CB">
            <w:pPr>
              <w:pStyle w:val="Lijstalinea"/>
              <w:numPr>
                <w:ilvl w:val="0"/>
                <w:numId w:val="3"/>
              </w:numPr>
              <w:rPr>
                <w:rFonts w:asciiTheme="minorHAnsi" w:hAnsiTheme="minorHAnsi"/>
                <w:i/>
                <w:color w:val="000000"/>
                <w:sz w:val="22"/>
                <w:szCs w:val="22"/>
              </w:rPr>
            </w:pPr>
            <w:r>
              <w:rPr>
                <w:rFonts w:asciiTheme="minorHAnsi" w:hAnsiTheme="minorHAnsi"/>
                <w:i/>
                <w:color w:val="000000"/>
                <w:sz w:val="22"/>
                <w:szCs w:val="22"/>
              </w:rPr>
              <w:t xml:space="preserve">Voor kortdurende toeristenbezoek kunnen lidstaten op </w:t>
            </w:r>
            <w:proofErr w:type="spellStart"/>
            <w:r>
              <w:rPr>
                <w:rFonts w:asciiTheme="minorHAnsi" w:hAnsiTheme="minorHAnsi"/>
                <w:i/>
                <w:color w:val="000000"/>
                <w:sz w:val="22"/>
                <w:szCs w:val="22"/>
              </w:rPr>
              <w:t>seizoensbasis</w:t>
            </w:r>
            <w:proofErr w:type="spellEnd"/>
            <w:r>
              <w:rPr>
                <w:rFonts w:asciiTheme="minorHAnsi" w:hAnsiTheme="minorHAnsi"/>
                <w:i/>
                <w:color w:val="000000"/>
                <w:sz w:val="22"/>
                <w:szCs w:val="22"/>
              </w:rPr>
              <w:t xml:space="preserve"> </w:t>
            </w:r>
            <w:r w:rsidRPr="007304CB">
              <w:rPr>
                <w:rFonts w:asciiTheme="minorHAnsi" w:hAnsiTheme="minorHAnsi"/>
                <w:b/>
                <w:i/>
                <w:color w:val="000000"/>
                <w:sz w:val="22"/>
                <w:szCs w:val="22"/>
              </w:rPr>
              <w:t>aan de grens visa verstrekken</w:t>
            </w:r>
            <w:r>
              <w:rPr>
                <w:rFonts w:asciiTheme="minorHAnsi" w:hAnsiTheme="minorHAnsi"/>
                <w:i/>
                <w:color w:val="000000"/>
                <w:sz w:val="22"/>
                <w:szCs w:val="22"/>
              </w:rPr>
              <w:t>, enkel aan onderdanen uit aangrenzende derde landen.</w:t>
            </w:r>
          </w:p>
          <w:p w:rsidR="007304CB" w:rsidP="007304CB" w:rsidRDefault="007304CB">
            <w:pPr>
              <w:pStyle w:val="Lijstalinea"/>
              <w:numPr>
                <w:ilvl w:val="0"/>
                <w:numId w:val="3"/>
              </w:numPr>
              <w:rPr>
                <w:rFonts w:asciiTheme="minorHAnsi" w:hAnsiTheme="minorHAnsi"/>
                <w:i/>
                <w:color w:val="000000"/>
                <w:sz w:val="22"/>
                <w:szCs w:val="22"/>
              </w:rPr>
            </w:pPr>
            <w:r>
              <w:rPr>
                <w:rFonts w:asciiTheme="minorHAnsi" w:hAnsiTheme="minorHAnsi"/>
                <w:i/>
                <w:color w:val="000000"/>
                <w:sz w:val="22"/>
                <w:szCs w:val="22"/>
              </w:rPr>
              <w:t xml:space="preserve">De </w:t>
            </w:r>
            <w:r w:rsidRPr="007304CB">
              <w:rPr>
                <w:rFonts w:asciiTheme="minorHAnsi" w:hAnsiTheme="minorHAnsi"/>
                <w:b/>
                <w:i/>
                <w:color w:val="000000"/>
                <w:sz w:val="22"/>
                <w:szCs w:val="22"/>
              </w:rPr>
              <w:t>leges</w:t>
            </w:r>
            <w:r>
              <w:rPr>
                <w:rFonts w:asciiTheme="minorHAnsi" w:hAnsiTheme="minorHAnsi"/>
                <w:i/>
                <w:color w:val="000000"/>
                <w:sz w:val="22"/>
                <w:szCs w:val="22"/>
              </w:rPr>
              <w:t xml:space="preserve"> voor het aanvragen van een visum worden verhoogd van €60 naar €80.</w:t>
            </w:r>
          </w:p>
          <w:p w:rsidRPr="007304CB" w:rsidR="007304CB" w:rsidP="007304CB" w:rsidRDefault="007304CB">
            <w:pPr>
              <w:pStyle w:val="Lijstalinea"/>
              <w:numPr>
                <w:ilvl w:val="0"/>
                <w:numId w:val="3"/>
              </w:numPr>
              <w:rPr>
                <w:rFonts w:asciiTheme="minorHAnsi" w:hAnsiTheme="minorHAnsi"/>
                <w:i/>
                <w:color w:val="000000"/>
                <w:sz w:val="22"/>
                <w:szCs w:val="22"/>
              </w:rPr>
            </w:pPr>
            <w:r>
              <w:rPr>
                <w:rFonts w:asciiTheme="minorHAnsi" w:hAnsiTheme="minorHAnsi"/>
                <w:i/>
                <w:color w:val="000000"/>
                <w:sz w:val="22"/>
                <w:szCs w:val="22"/>
              </w:rPr>
              <w:t xml:space="preserve">Onderdanen uit </w:t>
            </w:r>
            <w:r w:rsidRPr="007304CB">
              <w:rPr>
                <w:rFonts w:asciiTheme="minorHAnsi" w:hAnsiTheme="minorHAnsi"/>
                <w:b/>
                <w:i/>
                <w:color w:val="000000"/>
                <w:sz w:val="22"/>
                <w:szCs w:val="22"/>
              </w:rPr>
              <w:t>landen die onvoldoende meewerken aan de terugkeer</w:t>
            </w:r>
            <w:r>
              <w:rPr>
                <w:rFonts w:asciiTheme="minorHAnsi" w:hAnsiTheme="minorHAnsi"/>
                <w:i/>
                <w:color w:val="000000"/>
                <w:sz w:val="22"/>
                <w:szCs w:val="22"/>
              </w:rPr>
              <w:t xml:space="preserve"> van irreguliere migranten, worden onderworpen aan strengere voorwaarden voor het verkrijgen van visa. </w:t>
            </w:r>
          </w:p>
          <w:p w:rsidRPr="00C17A32" w:rsidR="000F213F" w:rsidP="008775C9" w:rsidRDefault="000F213F">
            <w:pPr>
              <w:rPr>
                <w:rFonts w:asciiTheme="minorHAnsi" w:hAnsiTheme="minorHAnsi"/>
                <w:color w:val="000000"/>
                <w:sz w:val="22"/>
                <w:szCs w:val="22"/>
                <w:u w:val="single"/>
              </w:rPr>
            </w:pPr>
          </w:p>
        </w:tc>
      </w:tr>
    </w:tbl>
    <w:p w:rsidR="008775C9" w:rsidP="008775C9" w:rsidRDefault="008775C9">
      <w:pPr>
        <w:rPr>
          <w:rFonts w:ascii="Verdana" w:hAnsi="Verdana"/>
          <w:b/>
          <w:sz w:val="20"/>
          <w:szCs w:val="20"/>
        </w:rPr>
      </w:pPr>
    </w:p>
    <w:p w:rsidRPr="00A923E5" w:rsidR="008775C9" w:rsidP="008775C9" w:rsidRDefault="008775C9">
      <w:pPr>
        <w:pStyle w:val="Voetnoottekst"/>
        <w:rPr>
          <w:rFonts w:ascii="Verdana" w:hAnsi="Verdana"/>
          <w:b/>
        </w:rPr>
      </w:pPr>
      <w:r w:rsidRPr="00A923E5">
        <w:rPr>
          <w:rFonts w:ascii="Verdana" w:hAnsi="Verdana"/>
          <w:b/>
        </w:rPr>
        <w:t>Bijlage: behandelmogelijkheden EU-voorstellen</w:t>
      </w:r>
    </w:p>
    <w:p w:rsidRPr="00A923E5" w:rsidR="008775C9" w:rsidP="008775C9" w:rsidRDefault="008775C9">
      <w:pPr>
        <w:pStyle w:val="Voetnoottekst"/>
        <w:rPr>
          <w:rFonts w:ascii="Verdana" w:hAnsi="Verdana"/>
          <w:sz w:val="18"/>
          <w:szCs w:val="18"/>
        </w:rPr>
      </w:pPr>
    </w:p>
    <w:p w:rsidRPr="00A923E5" w:rsidR="008775C9" w:rsidP="008775C9" w:rsidRDefault="008775C9">
      <w:pPr>
        <w:rPr>
          <w:rFonts w:ascii="Verdana" w:hAnsi="Verdana"/>
          <w:sz w:val="18"/>
          <w:szCs w:val="18"/>
        </w:rPr>
      </w:pPr>
      <w:r w:rsidRPr="00A923E5">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923E5" w:rsidR="008775C9" w:rsidP="008775C9" w:rsidRDefault="008775C9">
      <w:pPr>
        <w:rPr>
          <w:rFonts w:ascii="Verdana" w:hAnsi="Verdana"/>
          <w:sz w:val="18"/>
          <w:szCs w:val="18"/>
        </w:rPr>
      </w:pPr>
      <w:r w:rsidRPr="00A923E5">
        <w:rPr>
          <w:rFonts w:ascii="Verdana" w:hAnsi="Verdana"/>
          <w:sz w:val="18"/>
          <w:szCs w:val="18"/>
        </w:rPr>
        <w:lastRenderedPageBreak/>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923E5" w:rsidR="008775C9" w:rsidP="008775C9" w:rsidRDefault="008775C9">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A923E5" w:rsidR="008775C9" w:rsidTr="007A2A57">
        <w:tc>
          <w:tcPr>
            <w:tcW w:w="2093" w:type="dxa"/>
          </w:tcPr>
          <w:p w:rsidRPr="00A923E5" w:rsidR="008775C9" w:rsidP="007A2A57" w:rsidRDefault="008775C9">
            <w:pPr>
              <w:pStyle w:val="Voetnoottekst"/>
              <w:rPr>
                <w:rFonts w:ascii="Verdana" w:hAnsi="Verdana"/>
                <w:b/>
                <w:sz w:val="18"/>
                <w:szCs w:val="18"/>
              </w:rPr>
            </w:pPr>
            <w:r w:rsidRPr="00A923E5">
              <w:rPr>
                <w:rFonts w:ascii="Verdana" w:hAnsi="Verdana"/>
                <w:b/>
                <w:sz w:val="18"/>
                <w:szCs w:val="18"/>
              </w:rPr>
              <w:t>Soort Instrument</w:t>
            </w:r>
          </w:p>
        </w:tc>
        <w:tc>
          <w:tcPr>
            <w:tcW w:w="6946" w:type="dxa"/>
          </w:tcPr>
          <w:p w:rsidRPr="00A923E5" w:rsidR="008775C9" w:rsidP="007A2A57" w:rsidRDefault="008775C9">
            <w:pPr>
              <w:pStyle w:val="Voetnoottekst"/>
              <w:rPr>
                <w:rFonts w:ascii="Verdana" w:hAnsi="Verdana"/>
                <w:b/>
                <w:sz w:val="18"/>
                <w:szCs w:val="18"/>
              </w:rPr>
            </w:pPr>
            <w:r w:rsidRPr="00A923E5">
              <w:rPr>
                <w:rFonts w:ascii="Verdana" w:hAnsi="Verdana"/>
                <w:b/>
                <w:sz w:val="18"/>
                <w:szCs w:val="18"/>
              </w:rPr>
              <w:t>Toelichting</w:t>
            </w:r>
          </w:p>
        </w:tc>
        <w:tc>
          <w:tcPr>
            <w:tcW w:w="5103" w:type="dxa"/>
          </w:tcPr>
          <w:p w:rsidRPr="00A923E5" w:rsidR="008775C9" w:rsidP="007A2A57" w:rsidRDefault="008775C9">
            <w:pPr>
              <w:pStyle w:val="Voetnoottekst"/>
              <w:rPr>
                <w:rFonts w:ascii="Verdana" w:hAnsi="Verdana"/>
                <w:b/>
                <w:sz w:val="18"/>
                <w:szCs w:val="18"/>
              </w:rPr>
            </w:pPr>
            <w:r w:rsidRPr="00A923E5">
              <w:rPr>
                <w:rFonts w:ascii="Verdana" w:hAnsi="Verdana"/>
                <w:b/>
                <w:sz w:val="18"/>
                <w:szCs w:val="18"/>
              </w:rPr>
              <w:t xml:space="preserve">Mogelijke beïnvloedingsmomenten </w:t>
            </w:r>
          </w:p>
        </w:tc>
      </w:tr>
      <w:tr w:rsidRPr="00A923E5" w:rsidR="008775C9" w:rsidTr="007A2A57">
        <w:tc>
          <w:tcPr>
            <w:tcW w:w="14142" w:type="dxa"/>
            <w:gridSpan w:val="3"/>
          </w:tcPr>
          <w:p w:rsidRPr="00A923E5" w:rsidR="008775C9" w:rsidP="007A2A57" w:rsidRDefault="008775C9">
            <w:pPr>
              <w:pStyle w:val="Voetnoottekst"/>
              <w:rPr>
                <w:rFonts w:ascii="Verdana" w:hAnsi="Verdana"/>
                <w:i/>
                <w:sz w:val="18"/>
                <w:szCs w:val="18"/>
              </w:rPr>
            </w:pPr>
          </w:p>
          <w:p w:rsidRPr="00A923E5" w:rsidR="008775C9" w:rsidP="007A2A57" w:rsidRDefault="008775C9">
            <w:pPr>
              <w:pStyle w:val="Voetnoottekst"/>
              <w:rPr>
                <w:rFonts w:ascii="Verdana" w:hAnsi="Verdana"/>
                <w:i/>
                <w:sz w:val="18"/>
                <w:szCs w:val="18"/>
              </w:rPr>
            </w:pPr>
            <w:r w:rsidRPr="00A923E5">
              <w:rPr>
                <w:rFonts w:ascii="Verdana" w:hAnsi="Verdana"/>
                <w:i/>
                <w:sz w:val="18"/>
                <w:szCs w:val="18"/>
              </w:rPr>
              <w:t>Wetgevende, bindende rechtshandelingen</w:t>
            </w:r>
            <w:r w:rsidRPr="00A923E5">
              <w:rPr>
                <w:rStyle w:val="Voetnootmarkering"/>
                <w:rFonts w:ascii="Verdana" w:hAnsi="Verdana"/>
                <w:i/>
                <w:sz w:val="18"/>
                <w:szCs w:val="18"/>
              </w:rPr>
              <w:footnoteReference w:id="1"/>
            </w:r>
            <w:r w:rsidRPr="00A923E5">
              <w:rPr>
                <w:rFonts w:ascii="Verdana" w:hAnsi="Verdana"/>
                <w:i/>
                <w:sz w:val="18"/>
                <w:szCs w:val="18"/>
              </w:rPr>
              <w:t xml:space="preserve"> </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Verordening</w:t>
            </w:r>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ambtenaren of Commissaris Europese Commissie (de ‘auteurs’) uitnodigen voor briefing/gesprek, evt. via videoconferentie.</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subsidiariteitstoets overwegen: let op termijn (zie hieronder).</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behandelvoorbehoud overwegen: let op termijn (zie hieronder).</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ad-hoc rapporteur(s) binnen de commissie(s) benoemen.</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tijdens overleg met kabinet NL onderhandelingsinzet aan de orde stellen, evt. aan de hand van het “BNC-fiche”.</w:t>
            </w:r>
            <w:r w:rsidRPr="00A923E5">
              <w:rPr>
                <w:rStyle w:val="Voetnootmarkering"/>
                <w:rFonts w:ascii="Verdana" w:hAnsi="Verdana"/>
                <w:sz w:val="18"/>
                <w:szCs w:val="18"/>
              </w:rPr>
              <w:footnoteReference w:id="2"/>
            </w:r>
            <w:r w:rsidRPr="00A923E5">
              <w:rPr>
                <w:rFonts w:ascii="Verdana" w:hAnsi="Verdana"/>
                <w:sz w:val="18"/>
                <w:szCs w:val="18"/>
              </w:rPr>
              <w:t xml:space="preserve"> </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EP-rapporteur uitnodigen, evt. via videoconferentie.</w:t>
            </w:r>
            <w:r w:rsidRPr="00A923E5">
              <w:rPr>
                <w:rFonts w:ascii="Verdana" w:hAnsi="Verdana"/>
                <w:sz w:val="18"/>
                <w:szCs w:val="18"/>
              </w:rPr>
              <w:br/>
            </w:r>
            <w:r w:rsidRPr="00A923E5">
              <w:rPr>
                <w:rFonts w:ascii="Verdana" w:hAnsi="Verdana"/>
                <w:sz w:val="18"/>
                <w:szCs w:val="18"/>
              </w:rPr>
              <w:br/>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NB: Pas na afronding van het onderhandelingstraject: nationale wetgevingstraject monitoren (</w:t>
            </w:r>
            <w:proofErr w:type="spellStart"/>
            <w:r w:rsidRPr="00A923E5">
              <w:rPr>
                <w:rFonts w:ascii="Verdana" w:hAnsi="Verdana"/>
                <w:sz w:val="18"/>
                <w:szCs w:val="18"/>
              </w:rPr>
              <w:t>i.h.k.v</w:t>
            </w:r>
            <w:proofErr w:type="spellEnd"/>
            <w:r w:rsidRPr="00A923E5">
              <w:rPr>
                <w:rFonts w:ascii="Verdana" w:hAnsi="Verdana"/>
                <w:sz w:val="18"/>
                <w:szCs w:val="18"/>
              </w:rPr>
              <w:t>. omzetting naar nationale wetgeving).</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Richtlijn </w:t>
            </w:r>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923E5" w:rsidR="008775C9" w:rsidP="007A2A57" w:rsidRDefault="008775C9">
            <w:pPr>
              <w:pStyle w:val="Voetnoottekst"/>
              <w:numPr>
                <w:ilvl w:val="0"/>
                <w:numId w:val="2"/>
              </w:numPr>
              <w:ind w:left="317" w:hanging="283"/>
              <w:rPr>
                <w:rFonts w:ascii="Verdana" w:hAnsi="Verdana"/>
                <w:sz w:val="18"/>
                <w:szCs w:val="18"/>
              </w:rPr>
            </w:pP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(Besluit)</w:t>
            </w:r>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A923E5">
              <w:rPr>
                <w:rFonts w:ascii="Verdana" w:hAnsi="Verdana"/>
                <w:sz w:val="18"/>
                <w:szCs w:val="18"/>
              </w:rPr>
              <w:br/>
              <w:t xml:space="preserve">Voor wetgevende besluiten kan gekozen worden als richtlijnen en verordeningen niet geschikt zijn als instrument. Niet-wetgevende besluiten kunnen gericht zijn tot individuele of alle lidstaten (bv. </w:t>
            </w:r>
            <w:r w:rsidRPr="00A923E5">
              <w:rPr>
                <w:rFonts w:ascii="Verdana" w:hAnsi="Verdana"/>
                <w:sz w:val="18"/>
                <w:szCs w:val="18"/>
              </w:rPr>
              <w:lastRenderedPageBreak/>
              <w:t xml:space="preserve">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A923E5" w:rsidR="008775C9" w:rsidP="007A2A57" w:rsidRDefault="008775C9">
            <w:pPr>
              <w:pStyle w:val="Voetnoottekst"/>
              <w:numPr>
                <w:ilvl w:val="0"/>
                <w:numId w:val="2"/>
              </w:numPr>
              <w:ind w:left="317" w:hanging="283"/>
              <w:rPr>
                <w:rFonts w:ascii="Verdana" w:hAnsi="Verdana"/>
                <w:sz w:val="18"/>
                <w:szCs w:val="18"/>
              </w:rPr>
            </w:pPr>
          </w:p>
        </w:tc>
      </w:tr>
      <w:tr w:rsidRPr="00A923E5" w:rsidR="008775C9" w:rsidTr="007A2A57">
        <w:tc>
          <w:tcPr>
            <w:tcW w:w="14142" w:type="dxa"/>
            <w:gridSpan w:val="3"/>
          </w:tcPr>
          <w:p w:rsidRPr="00A923E5" w:rsidR="008775C9" w:rsidP="007A2A57" w:rsidRDefault="008775C9">
            <w:pPr>
              <w:pStyle w:val="Voetnoottekst"/>
              <w:rPr>
                <w:rFonts w:ascii="Verdana" w:hAnsi="Verdana"/>
                <w:i/>
                <w:sz w:val="18"/>
                <w:szCs w:val="18"/>
              </w:rPr>
            </w:pPr>
            <w:r w:rsidRPr="00A923E5">
              <w:rPr>
                <w:rFonts w:ascii="Verdana" w:hAnsi="Verdana"/>
                <w:i/>
                <w:sz w:val="18"/>
                <w:szCs w:val="18"/>
              </w:rPr>
              <w:lastRenderedPageBreak/>
              <w:t>Niet-wetgevende bindende rechtshandelingen</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Gedelegeerde handeling</w:t>
            </w:r>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A923E5" w:rsidR="008775C9" w:rsidP="007A2A57" w:rsidRDefault="008775C9">
            <w:pPr>
              <w:pStyle w:val="Voetnoottekst"/>
              <w:ind w:left="360"/>
              <w:rPr>
                <w:rFonts w:ascii="Verdana" w:hAnsi="Verdana"/>
                <w:sz w:val="18"/>
                <w:szCs w:val="18"/>
              </w:rPr>
            </w:pP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proofErr w:type="spellStart"/>
            <w:r w:rsidRPr="00A923E5">
              <w:rPr>
                <w:rFonts w:ascii="Verdana" w:hAnsi="Verdana"/>
                <w:sz w:val="18"/>
                <w:szCs w:val="18"/>
              </w:rPr>
              <w:t>Uitvoerings-handeling</w:t>
            </w:r>
            <w:proofErr w:type="spellEnd"/>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kabinet per brief of tijdens algemeen overleg/debat bevragen over stand van zaken en appreciatie EU onderhandelingen en NL inzet.</w:t>
            </w:r>
          </w:p>
          <w:p w:rsidRPr="00A923E5" w:rsidR="008775C9" w:rsidP="007A2A57" w:rsidRDefault="008775C9">
            <w:pPr>
              <w:numPr>
                <w:ilvl w:val="0"/>
                <w:numId w:val="1"/>
              </w:numPr>
              <w:rPr>
                <w:rFonts w:ascii="Verdana" w:hAnsi="Verdana"/>
                <w:sz w:val="18"/>
                <w:szCs w:val="18"/>
              </w:rPr>
            </w:pPr>
            <w:r w:rsidRPr="00A923E5">
              <w:rPr>
                <w:rFonts w:ascii="Verdana" w:hAnsi="Verdana"/>
                <w:color w:val="000000"/>
                <w:sz w:val="18"/>
                <w:szCs w:val="18"/>
              </w:rPr>
              <w:t xml:space="preserve">op basis van </w:t>
            </w:r>
            <w:r w:rsidRPr="00A923E5">
              <w:rPr>
                <w:rFonts w:ascii="Verdana" w:hAnsi="Verdana"/>
                <w:sz w:val="18"/>
                <w:szCs w:val="18"/>
              </w:rPr>
              <w:t xml:space="preserve">de </w:t>
            </w:r>
            <w:hyperlink w:history="1" r:id="rId13">
              <w:r w:rsidRPr="00A923E5">
                <w:rPr>
                  <w:rFonts w:ascii="Verdana" w:hAnsi="Verdana"/>
                  <w:sz w:val="18"/>
                  <w:szCs w:val="18"/>
                  <w:u w:val="single"/>
                </w:rPr>
                <w:t>(gewijzigde) motie Van Gent</w:t>
              </w:r>
            </w:hyperlink>
            <w:r w:rsidRPr="00A923E5">
              <w:rPr>
                <w:rFonts w:ascii="Verdana" w:hAnsi="Verdana"/>
                <w:color w:val="000000"/>
                <w:sz w:val="18"/>
                <w:szCs w:val="18"/>
              </w:rPr>
              <w:t xml:space="preserve"> dient het kabinet de Kamer afschriften te sturen van zijn correspondentie met de Europese Commissie over de uitvoering van Europese regelgeving.</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Handelingen vastgesteld volgens de regelgevingsprocedure met toetsing</w:t>
            </w:r>
          </w:p>
        </w:tc>
        <w:tc>
          <w:tcPr>
            <w:tcW w:w="6946" w:type="dxa"/>
          </w:tcPr>
          <w:p w:rsidRPr="00A923E5" w:rsidR="008775C9" w:rsidP="007A2A57" w:rsidRDefault="008775C9">
            <w:pPr>
              <w:rPr>
                <w:rFonts w:ascii="Verdana" w:hAnsi="Verdana"/>
                <w:sz w:val="18"/>
                <w:szCs w:val="18"/>
              </w:rPr>
            </w:pPr>
            <w:r w:rsidRPr="00A923E5">
              <w:rPr>
                <w:rFonts w:ascii="Verdana" w:hAnsi="Verdana"/>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w:t>
            </w:r>
          </w:p>
          <w:p w:rsidRPr="00A923E5" w:rsidR="008775C9" w:rsidP="007A2A57" w:rsidRDefault="008775C9">
            <w:pPr>
              <w:pStyle w:val="Voetnoottekst"/>
              <w:numPr>
                <w:ilvl w:val="0"/>
                <w:numId w:val="1"/>
              </w:numPr>
              <w:rPr>
                <w:rFonts w:ascii="Verdana" w:hAnsi="Verdana"/>
                <w:sz w:val="18"/>
                <w:szCs w:val="18"/>
              </w:rPr>
            </w:pP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Bijzondere rechtshandelingen</w:t>
            </w:r>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A923E5" w:rsidR="008775C9" w:rsidP="007A2A57" w:rsidRDefault="008775C9">
            <w:pPr>
              <w:pStyle w:val="Voetnoottekst"/>
              <w:rPr>
                <w:rFonts w:ascii="Verdana" w:hAnsi="Verdana"/>
                <w:sz w:val="18"/>
                <w:szCs w:val="18"/>
              </w:rPr>
            </w:pP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lastRenderedPageBreak/>
              <w:t>kabinetsappreciatie (‘BNC-fiche’) vragen, bespreken.</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ambtenaren of Commissaris van Europese Commissie (de ‘auteurs’) uitnodigen voor briefing/gesprek, evt. via videoconferentie</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 xml:space="preserve">indien het Europees Parlement een rapporteur </w:t>
            </w:r>
            <w:r w:rsidRPr="00A923E5">
              <w:rPr>
                <w:rFonts w:ascii="Verdana" w:hAnsi="Verdana"/>
                <w:sz w:val="18"/>
                <w:szCs w:val="18"/>
              </w:rPr>
              <w:lastRenderedPageBreak/>
              <w:t>heeft aangesteld kan deze desgewenst worden uitgenodigd voor een gesprek.</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uw commissie kan op dit onderwerp een ad-hoc rapporteur benoemen</w:t>
            </w:r>
          </w:p>
          <w:p w:rsidRPr="00A923E5" w:rsidR="008775C9" w:rsidP="007A2A57" w:rsidRDefault="008775C9">
            <w:pPr>
              <w:pStyle w:val="Voetnoottekst"/>
              <w:ind w:left="360"/>
              <w:rPr>
                <w:rFonts w:ascii="Verdana" w:hAnsi="Verdana"/>
                <w:sz w:val="18"/>
                <w:szCs w:val="18"/>
              </w:rPr>
            </w:pPr>
            <w:r w:rsidRPr="00A923E5">
              <w:rPr>
                <w:rFonts w:ascii="Verdana" w:hAnsi="Verdana"/>
                <w:sz w:val="18"/>
                <w:szCs w:val="18"/>
              </w:rPr>
              <w:t>nationale wetgevingstraject (</w:t>
            </w:r>
            <w:proofErr w:type="spellStart"/>
            <w:r w:rsidRPr="00A923E5">
              <w:rPr>
                <w:rFonts w:ascii="Verdana" w:hAnsi="Verdana"/>
                <w:sz w:val="18"/>
                <w:szCs w:val="18"/>
              </w:rPr>
              <w:t>i.h.k.v</w:t>
            </w:r>
            <w:proofErr w:type="spellEnd"/>
            <w:r w:rsidRPr="00A923E5">
              <w:rPr>
                <w:rFonts w:ascii="Verdana" w:hAnsi="Verdana"/>
                <w:sz w:val="18"/>
                <w:szCs w:val="18"/>
              </w:rPr>
              <w:t>. omzetting van richtlijn naar nationale wetgeving).</w:t>
            </w:r>
          </w:p>
        </w:tc>
      </w:tr>
      <w:tr w:rsidRPr="00A923E5" w:rsidR="008775C9" w:rsidTr="007A2A57">
        <w:tc>
          <w:tcPr>
            <w:tcW w:w="14142" w:type="dxa"/>
            <w:gridSpan w:val="3"/>
          </w:tcPr>
          <w:p w:rsidRPr="00A923E5" w:rsidR="008775C9" w:rsidP="007A2A57" w:rsidRDefault="008775C9">
            <w:pPr>
              <w:pStyle w:val="Voetnoottekst"/>
              <w:rPr>
                <w:rFonts w:ascii="Verdana" w:hAnsi="Verdana"/>
                <w:i/>
                <w:sz w:val="18"/>
                <w:szCs w:val="18"/>
              </w:rPr>
            </w:pPr>
            <w:r w:rsidRPr="00A923E5">
              <w:rPr>
                <w:rFonts w:ascii="Verdana" w:hAnsi="Verdana"/>
                <w:i/>
                <w:sz w:val="18"/>
                <w:szCs w:val="18"/>
              </w:rPr>
              <w:lastRenderedPageBreak/>
              <w:t>Niet-bindende handelingen (soft-</w:t>
            </w:r>
            <w:proofErr w:type="spellStart"/>
            <w:r w:rsidRPr="00A923E5">
              <w:rPr>
                <w:rFonts w:ascii="Verdana" w:hAnsi="Verdana"/>
                <w:i/>
                <w:sz w:val="18"/>
                <w:szCs w:val="18"/>
              </w:rPr>
              <w:t>law</w:t>
            </w:r>
            <w:proofErr w:type="spellEnd"/>
            <w:r w:rsidRPr="00A923E5">
              <w:rPr>
                <w:rFonts w:ascii="Verdana" w:hAnsi="Verdana"/>
                <w:i/>
                <w:sz w:val="18"/>
                <w:szCs w:val="18"/>
              </w:rPr>
              <w:t>)</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Advies, aanbeveling, mededeling</w:t>
            </w:r>
          </w:p>
          <w:p w:rsidRPr="00A923E5" w:rsidR="008775C9" w:rsidP="007A2A57" w:rsidRDefault="008775C9">
            <w:pPr>
              <w:jc w:val="right"/>
              <w:rPr>
                <w:rFonts w:ascii="Verdana" w:hAnsi="Verdana"/>
              </w:rPr>
            </w:pPr>
          </w:p>
          <w:p w:rsidRPr="00A923E5" w:rsidR="008775C9" w:rsidP="007A2A57" w:rsidRDefault="008775C9">
            <w:pPr>
              <w:jc w:val="right"/>
              <w:rPr>
                <w:rFonts w:ascii="Verdana" w:hAnsi="Verdana"/>
              </w:rPr>
            </w:pPr>
          </w:p>
          <w:p w:rsidRPr="00A923E5" w:rsidR="008775C9" w:rsidP="007A2A57" w:rsidRDefault="008775C9">
            <w:pPr>
              <w:jc w:val="right"/>
              <w:rPr>
                <w:rFonts w:ascii="Verdana" w:hAnsi="Verdana"/>
              </w:rPr>
            </w:pPr>
          </w:p>
          <w:p w:rsidRPr="00A923E5" w:rsidR="008775C9" w:rsidP="007A2A57" w:rsidRDefault="008775C9">
            <w:pPr>
              <w:jc w:val="right"/>
              <w:rPr>
                <w:rFonts w:ascii="Verdana" w:hAnsi="Verdana"/>
              </w:rPr>
            </w:pPr>
          </w:p>
          <w:p w:rsidRPr="00A923E5" w:rsidR="008775C9" w:rsidP="007A2A57" w:rsidRDefault="008775C9">
            <w:pPr>
              <w:jc w:val="right"/>
              <w:rPr>
                <w:rFonts w:ascii="Verdana" w:hAnsi="Verdana"/>
              </w:rPr>
            </w:pPr>
          </w:p>
        </w:tc>
        <w:tc>
          <w:tcPr>
            <w:tcW w:w="6946" w:type="dxa"/>
          </w:tcPr>
          <w:p w:rsidRPr="00A923E5" w:rsidR="008775C9" w:rsidP="007A2A57" w:rsidRDefault="008775C9">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De EU kent een grote hoeveelheid uiteenlopende typen beleid (‘soft </w:t>
            </w:r>
            <w:proofErr w:type="spellStart"/>
            <w:r w:rsidRPr="00A923E5">
              <w:rPr>
                <w:rFonts w:ascii="Verdana" w:hAnsi="Verdana"/>
                <w:sz w:val="18"/>
                <w:szCs w:val="18"/>
              </w:rPr>
              <w:t>law</w:t>
            </w:r>
            <w:proofErr w:type="spellEnd"/>
            <w:r w:rsidRPr="00A923E5">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923E5">
              <w:rPr>
                <w:rFonts w:ascii="Verdana" w:hAnsi="Verdana"/>
                <w:sz w:val="18"/>
                <w:szCs w:val="18"/>
              </w:rPr>
              <w:t>law</w:t>
            </w:r>
            <w:proofErr w:type="spellEnd"/>
            <w:r w:rsidRPr="00A923E5">
              <w:rPr>
                <w:rFonts w:ascii="Verdana" w:hAnsi="Verdana"/>
                <w:sz w:val="18"/>
                <w:szCs w:val="18"/>
              </w:rPr>
              <w:t xml:space="preserve">. </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8775C9" w:rsidP="007A2A57" w:rsidRDefault="008775C9">
            <w:pPr>
              <w:pStyle w:val="Voetnoottekst"/>
              <w:rPr>
                <w:rFonts w:ascii="Verdana" w:hAnsi="Verdana"/>
                <w:sz w:val="18"/>
                <w:szCs w:val="18"/>
              </w:rPr>
            </w:pPr>
          </w:p>
          <w:p w:rsidRPr="00A923E5" w:rsidR="008775C9" w:rsidP="007A2A57" w:rsidRDefault="008775C9">
            <w:pPr>
              <w:pStyle w:val="Voetnoottekst"/>
              <w:rPr>
                <w:rFonts w:ascii="Verdana" w:hAnsi="Verdana"/>
                <w:sz w:val="18"/>
                <w:szCs w:val="18"/>
              </w:rPr>
            </w:pPr>
          </w:p>
          <w:p w:rsidRPr="00A923E5" w:rsidR="008775C9" w:rsidP="007A2A57" w:rsidRDefault="008775C9">
            <w:pPr>
              <w:pStyle w:val="Voetnoottekst"/>
              <w:rPr>
                <w:rFonts w:ascii="Verdana" w:hAnsi="Verdana"/>
                <w:sz w:val="18"/>
                <w:szCs w:val="18"/>
              </w:rPr>
            </w:pPr>
          </w:p>
          <w:p w:rsidRPr="00A923E5" w:rsidR="008775C9" w:rsidP="007A2A57" w:rsidRDefault="008775C9">
            <w:pPr>
              <w:pStyle w:val="Voetnoottekst"/>
              <w:rPr>
                <w:rFonts w:ascii="Verdana" w:hAnsi="Verdana"/>
                <w:sz w:val="18"/>
                <w:szCs w:val="18"/>
              </w:rPr>
            </w:pPr>
          </w:p>
          <w:p w:rsidRPr="00A923E5" w:rsidR="008775C9" w:rsidP="007A2A57" w:rsidRDefault="008775C9">
            <w:pPr>
              <w:pStyle w:val="Voetnoottekst"/>
              <w:rPr>
                <w:rFonts w:ascii="Verdana" w:hAnsi="Verdana"/>
                <w:sz w:val="18"/>
                <w:szCs w:val="18"/>
              </w:rPr>
            </w:pPr>
          </w:p>
        </w:tc>
      </w:tr>
      <w:tr w:rsidRPr="00A923E5" w:rsidR="008775C9" w:rsidTr="007A2A57">
        <w:tc>
          <w:tcPr>
            <w:tcW w:w="14142" w:type="dxa"/>
            <w:gridSpan w:val="3"/>
          </w:tcPr>
          <w:p w:rsidRPr="00A923E5" w:rsidR="008775C9" w:rsidP="007A2A57" w:rsidRDefault="008775C9">
            <w:pPr>
              <w:pStyle w:val="Voetnoottekst"/>
              <w:rPr>
                <w:rFonts w:ascii="Verdana" w:hAnsi="Verdana"/>
                <w:i/>
                <w:sz w:val="18"/>
                <w:szCs w:val="18"/>
              </w:rPr>
            </w:pPr>
            <w:r w:rsidRPr="00A923E5">
              <w:rPr>
                <w:rFonts w:ascii="Verdana" w:hAnsi="Verdana"/>
                <w:i/>
                <w:sz w:val="18"/>
                <w:szCs w:val="18"/>
              </w:rPr>
              <w:t xml:space="preserve">Overige handelingen en instrumenten </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Routekaart, actieplannen, strategie, agenda </w:t>
            </w:r>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cs="Arial"/>
                <w:sz w:val="18"/>
                <w:szCs w:val="18"/>
              </w:rPr>
              <w:t xml:space="preserve">Via routekaarten, actieplannen, strategieën en agenda’s informeert de Europese Commissie belanghebbenden en burgers over nieuwe initiatieven, evaluaties en geschiktheidscontroles. In deze documenten </w:t>
            </w:r>
            <w:r w:rsidRPr="00A923E5">
              <w:rPr>
                <w:rStyle w:val="Zwaar"/>
                <w:rFonts w:ascii="Verdana" w:hAnsi="Verdana" w:cs="Arial"/>
                <w:sz w:val="18"/>
                <w:szCs w:val="18"/>
              </w:rPr>
              <w:t>voor nieuwe initiatieven</w:t>
            </w:r>
            <w:r w:rsidRPr="00A923E5">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923E5">
              <w:rPr>
                <w:rStyle w:val="Zwaar"/>
                <w:rFonts w:ascii="Verdana" w:hAnsi="Verdana" w:cs="Arial"/>
                <w:sz w:val="18"/>
                <w:szCs w:val="18"/>
              </w:rPr>
              <w:t xml:space="preserve"> voor evaluaties en geschiktheidscontroles</w:t>
            </w:r>
            <w:r w:rsidRPr="00A923E5">
              <w:rPr>
                <w:rFonts w:ascii="Verdana" w:hAnsi="Verdana" w:cs="Arial"/>
                <w:sz w:val="18"/>
                <w:szCs w:val="18"/>
              </w:rPr>
              <w:t xml:space="preserve"> wordt bepaald wat er geëvalueerd moet worden en welke aspecten moeten worden onderzocht. </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en/of kabinet vragen om NL inzet (per commissiebrief of tijdens algemeen overleg/debat).</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Groen- en witboek</w:t>
            </w:r>
          </w:p>
        </w:tc>
        <w:tc>
          <w:tcPr>
            <w:tcW w:w="6946"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Groenboek: een discussiestuk, waarmee de Europese Commissie de stand van zaken inventariseert omtrent een onderwerp. Ook doet ze aanbevelingen voor nieuw beleid. </w:t>
            </w:r>
          </w:p>
          <w:p w:rsidRPr="00A923E5" w:rsidR="008775C9" w:rsidP="007A2A57" w:rsidRDefault="008775C9">
            <w:pPr>
              <w:pStyle w:val="Voetnoottekst"/>
              <w:rPr>
                <w:rFonts w:ascii="Verdana" w:hAnsi="Verdana"/>
                <w:sz w:val="18"/>
                <w:szCs w:val="18"/>
              </w:rPr>
            </w:pPr>
          </w:p>
          <w:p w:rsidRPr="00A923E5" w:rsidR="008775C9" w:rsidP="007A2A57" w:rsidRDefault="008775C9">
            <w:pPr>
              <w:pStyle w:val="Voetnoottekst"/>
              <w:rPr>
                <w:rFonts w:ascii="Verdana" w:hAnsi="Verdana"/>
                <w:sz w:val="18"/>
                <w:szCs w:val="18"/>
              </w:rPr>
            </w:pPr>
            <w:r w:rsidRPr="00A923E5">
              <w:rPr>
                <w:rFonts w:ascii="Verdana" w:hAnsi="Verdana"/>
                <w:sz w:val="18"/>
                <w:szCs w:val="18"/>
              </w:rPr>
              <w:t>Witboek: hierin zet de Europese Commissie uiteen hoe zij bepaalde doelen wil bereiken. Vaak worden in een witboek al concrete voorstellen uitgewerkt en toegelicht.</w:t>
            </w:r>
          </w:p>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desgewenst ambtenaren EC of Europees Commissaris uitnodigen voor een toelichting.</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in commissieverband (via schriftelijke inbreng in de vorm van een politieke dialoog) of als lid, burger of via fracties een reactie sturen aan de Europese Commissie.</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Openbare raadpleging (consultatie)</w:t>
            </w:r>
          </w:p>
        </w:tc>
        <w:tc>
          <w:tcPr>
            <w:tcW w:w="6946" w:type="dxa"/>
          </w:tcPr>
          <w:p w:rsidRPr="00A923E5" w:rsidR="008775C9" w:rsidP="007A2A57" w:rsidRDefault="008775C9">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w:t>
            </w:r>
            <w:r w:rsidRPr="00A923E5">
              <w:rPr>
                <w:rFonts w:ascii="Verdana" w:hAnsi="Verdana"/>
                <w:sz w:val="18"/>
                <w:szCs w:val="18"/>
              </w:rPr>
              <w:lastRenderedPageBreak/>
              <w:t xml:space="preserve">expertise op het betrokken gebied kunnen de Commissie helpen om invulling te geven aan haar voorstellen, voordat ze die ter bespreking en goedkeuring naar de Raad en het Europees Parlement stuurt. </w:t>
            </w:r>
            <w:hyperlink w:history="1" r:id="rId14">
              <w:r w:rsidRPr="00A923E5">
                <w:rPr>
                  <w:rStyle w:val="Hyperlink"/>
                  <w:rFonts w:ascii="Verdana" w:hAnsi="Verdana"/>
                  <w:sz w:val="18"/>
                  <w:szCs w:val="18"/>
                </w:rPr>
                <w:t>Bekijk alle openbare raadplegingen op "Uw stem in Europa"</w:t>
              </w:r>
            </w:hyperlink>
            <w:r w:rsidRPr="00A923E5">
              <w:rPr>
                <w:rFonts w:ascii="Verdana" w:hAnsi="Verdana"/>
                <w:sz w:val="18"/>
                <w:szCs w:val="18"/>
              </w:rPr>
              <w:t xml:space="preserve"> . </w:t>
            </w:r>
          </w:p>
        </w:tc>
        <w:tc>
          <w:tcPr>
            <w:tcW w:w="5103" w:type="dxa"/>
          </w:tcPr>
          <w:p w:rsidRPr="00A923E5" w:rsidR="008775C9" w:rsidP="007A2A57" w:rsidRDefault="008775C9">
            <w:pPr>
              <w:pStyle w:val="Voetnoottekst"/>
              <w:numPr>
                <w:ilvl w:val="0"/>
                <w:numId w:val="1"/>
              </w:numPr>
              <w:autoSpaceDE w:val="0"/>
              <w:autoSpaceDN w:val="0"/>
              <w:rPr>
                <w:rFonts w:ascii="Verdana" w:hAnsi="Verdana"/>
                <w:sz w:val="18"/>
                <w:szCs w:val="18"/>
              </w:rPr>
            </w:pPr>
            <w:r w:rsidRPr="00A923E5">
              <w:rPr>
                <w:rFonts w:ascii="Verdana" w:hAnsi="Verdana"/>
                <w:sz w:val="18"/>
                <w:szCs w:val="18"/>
              </w:rPr>
              <w:lastRenderedPageBreak/>
              <w:t xml:space="preserve">als burger, lid, fractie of in commissieverband (via schriftelijke inbreng in de vorm van een politieke dialoog). meedoen aan de openbare </w:t>
            </w:r>
            <w:r w:rsidRPr="00A923E5">
              <w:rPr>
                <w:rFonts w:ascii="Verdana" w:hAnsi="Verdana"/>
                <w:sz w:val="18"/>
                <w:szCs w:val="18"/>
              </w:rPr>
              <w:lastRenderedPageBreak/>
              <w:t>raadpleging.</w:t>
            </w:r>
          </w:p>
          <w:p w:rsidRPr="00A923E5" w:rsidR="008775C9" w:rsidP="007A2A57" w:rsidRDefault="008775C9">
            <w:pPr>
              <w:pStyle w:val="Voetnoottekst"/>
              <w:numPr>
                <w:ilvl w:val="0"/>
                <w:numId w:val="1"/>
              </w:numPr>
              <w:autoSpaceDE w:val="0"/>
              <w:autoSpaceDN w:val="0"/>
              <w:rPr>
                <w:rFonts w:ascii="Verdana" w:hAnsi="Verdana"/>
                <w:sz w:val="18"/>
                <w:szCs w:val="18"/>
              </w:rPr>
            </w:pPr>
            <w:r w:rsidRPr="00A923E5">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923E5" w:rsidR="008775C9" w:rsidP="007A2A57" w:rsidRDefault="008775C9">
            <w:pPr>
              <w:pStyle w:val="Voetnoottekst"/>
              <w:numPr>
                <w:ilvl w:val="0"/>
                <w:numId w:val="1"/>
              </w:numPr>
              <w:autoSpaceDE w:val="0"/>
              <w:autoSpaceDN w:val="0"/>
              <w:rPr>
                <w:rFonts w:ascii="Verdana" w:hAnsi="Verdana"/>
                <w:sz w:val="18"/>
                <w:szCs w:val="18"/>
              </w:rPr>
            </w:pPr>
            <w:r w:rsidRPr="00A923E5">
              <w:rPr>
                <w:rFonts w:ascii="Verdana" w:hAnsi="Verdana"/>
                <w:sz w:val="18"/>
                <w:szCs w:val="18"/>
              </w:rPr>
              <w:t>de Kamer ontvangt krachtens de standaard-informatieafspraken de definitieve kabinetsreactie op alle consultaties van de Europese Commissie waarop het kabinet reageert.</w:t>
            </w:r>
          </w:p>
        </w:tc>
      </w:tr>
      <w:tr w:rsidRPr="00A923E5" w:rsidR="008775C9" w:rsidTr="007A2A57">
        <w:tc>
          <w:tcPr>
            <w:tcW w:w="14142" w:type="dxa"/>
            <w:gridSpan w:val="3"/>
          </w:tcPr>
          <w:p w:rsidRPr="00A923E5" w:rsidR="008775C9" w:rsidP="007A2A57" w:rsidRDefault="008775C9">
            <w:pPr>
              <w:pStyle w:val="Voetnoottekst"/>
              <w:rPr>
                <w:rFonts w:ascii="Verdana" w:hAnsi="Verdana"/>
                <w:i/>
                <w:sz w:val="18"/>
                <w:szCs w:val="18"/>
              </w:rPr>
            </w:pPr>
            <w:r w:rsidRPr="00A923E5">
              <w:rPr>
                <w:rFonts w:ascii="Verdana" w:hAnsi="Verdana"/>
                <w:i/>
                <w:sz w:val="18"/>
                <w:szCs w:val="18"/>
              </w:rPr>
              <w:lastRenderedPageBreak/>
              <w:t>Uitgelicht: twee specifieke parlementaire instrumenten bij nieuw gepubliceerde EU-voorstellen</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 xml:space="preserve">Subsidiariteitstoets </w:t>
            </w:r>
          </w:p>
          <w:p w:rsidRPr="00A923E5" w:rsidR="008775C9" w:rsidP="007A2A57" w:rsidRDefault="008775C9">
            <w:pPr>
              <w:pStyle w:val="Voetnoottekst"/>
              <w:rPr>
                <w:rFonts w:ascii="Verdana" w:hAnsi="Verdana"/>
                <w:sz w:val="18"/>
                <w:szCs w:val="18"/>
              </w:rPr>
            </w:pPr>
            <w:r w:rsidRPr="00A923E5">
              <w:rPr>
                <w:rFonts w:ascii="Verdana" w:hAnsi="Verdana"/>
                <w:sz w:val="18"/>
                <w:szCs w:val="18"/>
              </w:rPr>
              <w:t>(richting EU)</w:t>
            </w:r>
          </w:p>
        </w:tc>
        <w:tc>
          <w:tcPr>
            <w:tcW w:w="6946" w:type="dxa"/>
          </w:tcPr>
          <w:p w:rsidRPr="00A923E5" w:rsidR="008775C9" w:rsidP="007A2A57" w:rsidRDefault="008775C9">
            <w:pPr>
              <w:pStyle w:val="Lijstalinea"/>
              <w:ind w:left="0"/>
              <w:rPr>
                <w:rFonts w:ascii="Verdana" w:hAnsi="Verdana"/>
                <w:sz w:val="18"/>
                <w:szCs w:val="18"/>
              </w:rPr>
            </w:pPr>
            <w:r w:rsidRPr="00A923E5">
              <w:rPr>
                <w:rFonts w:ascii="Verdana" w:hAnsi="Verdana"/>
                <w:sz w:val="18"/>
                <w:szCs w:val="18"/>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A923E5">
              <w:rPr>
                <w:rFonts w:ascii="Verdana" w:hAnsi="Verdana" w:cstheme="minorHAnsi"/>
                <w:color w:val="000000" w:themeColor="text1"/>
                <w:sz w:val="22"/>
              </w:rPr>
              <w:t xml:space="preserve">Elk parlement krijgt 2 stemmen, maar bij een </w:t>
            </w:r>
            <w:proofErr w:type="spellStart"/>
            <w:r w:rsidRPr="00A923E5">
              <w:rPr>
                <w:rFonts w:ascii="Verdana" w:hAnsi="Verdana" w:cstheme="minorHAnsi"/>
                <w:color w:val="000000" w:themeColor="text1"/>
                <w:sz w:val="22"/>
              </w:rPr>
              <w:t>bicameraal</w:t>
            </w:r>
            <w:proofErr w:type="spellEnd"/>
            <w:r w:rsidRPr="00A923E5">
              <w:rPr>
                <w:rFonts w:ascii="Verdana" w:hAnsi="Verdana" w:cstheme="minorHAnsi"/>
                <w:color w:val="000000" w:themeColor="text1"/>
                <w:sz w:val="22"/>
              </w:rPr>
              <w:t xml:space="preserve"> stelsel, zoals in Nederland, krijgt elke kamer 1 stem</w:t>
            </w:r>
            <w:r w:rsidRPr="00A923E5">
              <w:rPr>
                <w:rFonts w:ascii="Verdana" w:hAnsi="Verdana"/>
                <w:sz w:val="18"/>
                <w:szCs w:val="18"/>
              </w:rPr>
              <w:t>.</w:t>
            </w:r>
            <w:r w:rsidRPr="00A923E5">
              <w:rPr>
                <w:rFonts w:ascii="Verdana" w:hAnsi="Verdana" w:cstheme="minorHAnsi"/>
                <w:color w:val="000000" w:themeColor="text1"/>
                <w:sz w:val="22"/>
              </w:rPr>
              <w:t xml:space="preserve"> Om een gele kaart te trekken moeten er 19 stemmen worden gehaald.</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bij wetgevende EU-voorstellen kan een Kamercommissie besluiten tot het uitvoeren van een subsidiariteitstoets. Let op: dit moet binnen acht weken na het uitkomen van alle taalversies van het voorstel.</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kabinetsappreciatie (‘BNC-fiche’) komt voor aangekondigde subsidiariteitstoetsen binnen drie weken t.b.v. een snelle behandeling.</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 xml:space="preserve">met andere parlementen in overleg treden t.b.v. behalen meerderheid voor ’gele kaart’ (1/3 stemmen) via parlementaire vertegenwoordiging en/of fractielijnen. </w:t>
            </w:r>
          </w:p>
        </w:tc>
      </w:tr>
      <w:tr w:rsidRPr="00A923E5" w:rsidR="008775C9" w:rsidTr="007A2A57">
        <w:tc>
          <w:tcPr>
            <w:tcW w:w="2093" w:type="dxa"/>
          </w:tcPr>
          <w:p w:rsidRPr="00A923E5" w:rsidR="008775C9" w:rsidP="007A2A57" w:rsidRDefault="008775C9">
            <w:pPr>
              <w:pStyle w:val="Voetnoottekst"/>
              <w:rPr>
                <w:rFonts w:ascii="Verdana" w:hAnsi="Verdana"/>
                <w:sz w:val="18"/>
                <w:szCs w:val="18"/>
              </w:rPr>
            </w:pPr>
            <w:r w:rsidRPr="00A923E5">
              <w:rPr>
                <w:rFonts w:ascii="Verdana" w:hAnsi="Verdana"/>
                <w:sz w:val="18"/>
                <w:szCs w:val="18"/>
              </w:rPr>
              <w:t>Behandel-voorbehoud (richting regering)</w:t>
            </w:r>
          </w:p>
        </w:tc>
        <w:tc>
          <w:tcPr>
            <w:tcW w:w="6946" w:type="dxa"/>
          </w:tcPr>
          <w:p w:rsidRPr="00A923E5" w:rsidR="008775C9" w:rsidP="007A2A57" w:rsidRDefault="008775C9">
            <w:pPr>
              <w:pStyle w:val="Lijstalinea"/>
              <w:ind w:left="34"/>
              <w:rPr>
                <w:rFonts w:ascii="Verdana" w:hAnsi="Verdana"/>
                <w:sz w:val="18"/>
                <w:szCs w:val="18"/>
              </w:rPr>
            </w:pPr>
            <w:r w:rsidRPr="00A923E5">
              <w:rPr>
                <w:rFonts w:ascii="Verdana" w:hAnsi="Verdana"/>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bij wetgevende EU-voorstellen kan een commissie besluiten tot het uitvoeren van een zgn. ‘behandelvoorbehoud’. Over deze brief moet plenair gestemd worden (let op de termijnen).</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tijdens een speciaal overleg kan de commissie afspraken maken over informatieverstrekking (bv. in kwartaalrapportages) zolang het desbetreffende dossier in onderhandeling is.</w:t>
            </w:r>
          </w:p>
          <w:p w:rsidRPr="00A923E5" w:rsidR="008775C9" w:rsidP="007A2A57" w:rsidRDefault="008775C9">
            <w:pPr>
              <w:pStyle w:val="Voetnoottekst"/>
              <w:numPr>
                <w:ilvl w:val="0"/>
                <w:numId w:val="1"/>
              </w:numPr>
              <w:rPr>
                <w:rFonts w:ascii="Verdana" w:hAnsi="Verdana"/>
                <w:sz w:val="18"/>
                <w:szCs w:val="18"/>
              </w:rPr>
            </w:pPr>
            <w:r w:rsidRPr="00A923E5">
              <w:rPr>
                <w:rFonts w:ascii="Verdana" w:hAnsi="Verdana"/>
                <w:sz w:val="18"/>
                <w:szCs w:val="18"/>
              </w:rPr>
              <w:t xml:space="preserve">kabinetsappreciatie (‘BNC-fiche’) komt voor aangekondigde </w:t>
            </w:r>
            <w:proofErr w:type="spellStart"/>
            <w:r w:rsidRPr="00A923E5">
              <w:rPr>
                <w:rFonts w:ascii="Verdana" w:hAnsi="Verdana"/>
                <w:sz w:val="18"/>
                <w:szCs w:val="18"/>
              </w:rPr>
              <w:t>behandelvoorbehouden</w:t>
            </w:r>
            <w:proofErr w:type="spellEnd"/>
            <w:r w:rsidRPr="00A923E5">
              <w:rPr>
                <w:rFonts w:ascii="Verdana" w:hAnsi="Verdana"/>
                <w:sz w:val="18"/>
                <w:szCs w:val="18"/>
              </w:rPr>
              <w:t xml:space="preserve"> binnen drie weken t.b.v. een snelle behandeling.</w:t>
            </w:r>
          </w:p>
          <w:p w:rsidRPr="00A923E5" w:rsidR="008775C9" w:rsidP="007A2A57" w:rsidRDefault="008775C9">
            <w:pPr>
              <w:pStyle w:val="Voetnoottekst"/>
              <w:rPr>
                <w:rFonts w:ascii="Verdana" w:hAnsi="Verdana"/>
                <w:sz w:val="18"/>
                <w:szCs w:val="18"/>
              </w:rPr>
            </w:pPr>
          </w:p>
        </w:tc>
      </w:tr>
    </w:tbl>
    <w:p w:rsidRPr="00A923E5" w:rsidR="008775C9" w:rsidP="008775C9" w:rsidRDefault="008775C9">
      <w:pPr>
        <w:rPr>
          <w:rFonts w:ascii="Verdana" w:hAnsi="Verdana"/>
          <w:sz w:val="18"/>
          <w:szCs w:val="18"/>
        </w:rPr>
      </w:pPr>
    </w:p>
    <w:p w:rsidRPr="00A923E5" w:rsidR="008775C9" w:rsidP="008775C9" w:rsidRDefault="008775C9">
      <w:pPr>
        <w:rPr>
          <w:rFonts w:ascii="Verdana" w:hAnsi="Verdana"/>
        </w:rPr>
      </w:pPr>
    </w:p>
    <w:p w:rsidRPr="00A923E5" w:rsidR="008775C9" w:rsidP="008775C9" w:rsidRDefault="008775C9">
      <w:pPr>
        <w:rPr>
          <w:rFonts w:ascii="Verdana" w:hAnsi="Verdana"/>
        </w:rPr>
      </w:pPr>
    </w:p>
    <w:p w:rsidRPr="00A923E5" w:rsidR="008775C9" w:rsidP="008775C9" w:rsidRDefault="008775C9">
      <w:pPr>
        <w:pStyle w:val="Voetnoottekst"/>
        <w:rPr>
          <w:rFonts w:ascii="Verdana" w:hAnsi="Verdana"/>
        </w:rPr>
      </w:pPr>
    </w:p>
    <w:p w:rsidR="008775C9" w:rsidP="008775C9" w:rsidRDefault="008775C9"/>
    <w:p w:rsidR="008775C9" w:rsidP="008775C9" w:rsidRDefault="008775C9"/>
    <w:p w:rsidR="008775C9" w:rsidP="008775C9" w:rsidRDefault="008775C9"/>
    <w:p w:rsidR="0046131B" w:rsidRDefault="0046131B"/>
    <w:sectPr w:rsidR="0046131B" w:rsidSect="006A47E8">
      <w:footerReference w:type="default" r:id="rId15"/>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9A7" w:rsidRDefault="00B059A7" w:rsidP="008775C9">
      <w:r>
        <w:separator/>
      </w:r>
    </w:p>
  </w:endnote>
  <w:endnote w:type="continuationSeparator" w:id="0">
    <w:p w:rsidR="00B059A7" w:rsidRDefault="00B059A7" w:rsidP="0087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5846F9" w:rsidRPr="00BF35EE" w:rsidRDefault="00077A11">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A01596">
          <w:rPr>
            <w:rFonts w:asciiTheme="minorHAnsi" w:hAnsiTheme="minorHAnsi"/>
            <w:noProof/>
            <w:sz w:val="22"/>
            <w:szCs w:val="22"/>
          </w:rPr>
          <w:t>1</w:t>
        </w:r>
        <w:r w:rsidRPr="00BF35EE">
          <w:rPr>
            <w:rFonts w:asciiTheme="minorHAnsi" w:hAnsiTheme="minorHAnsi"/>
            <w:sz w:val="22"/>
            <w:szCs w:val="22"/>
          </w:rPr>
          <w:fldChar w:fldCharType="end"/>
        </w:r>
      </w:p>
    </w:sdtContent>
  </w:sdt>
  <w:p w:rsidR="005846F9" w:rsidRDefault="00A0159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9A7" w:rsidRDefault="00B059A7" w:rsidP="008775C9">
      <w:r>
        <w:separator/>
      </w:r>
    </w:p>
  </w:footnote>
  <w:footnote w:type="continuationSeparator" w:id="0">
    <w:p w:rsidR="00B059A7" w:rsidRDefault="00B059A7" w:rsidP="008775C9">
      <w:r>
        <w:continuationSeparator/>
      </w:r>
    </w:p>
  </w:footnote>
  <w:footnote w:id="1">
    <w:p w:rsidR="008775C9" w:rsidRDefault="008775C9" w:rsidP="008775C9">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8775C9" w:rsidRPr="00B45904" w:rsidRDefault="008775C9" w:rsidP="008775C9">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5F72"/>
    <w:multiLevelType w:val="hybridMultilevel"/>
    <w:tmpl w:val="D7289108"/>
    <w:lvl w:ilvl="0" w:tplc="588A273E">
      <w:start w:val="14"/>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5C9"/>
    <w:rsid w:val="00077A11"/>
    <w:rsid w:val="000F213F"/>
    <w:rsid w:val="00185A66"/>
    <w:rsid w:val="002F12DB"/>
    <w:rsid w:val="003E4B91"/>
    <w:rsid w:val="00433D6E"/>
    <w:rsid w:val="004558DF"/>
    <w:rsid w:val="0046131B"/>
    <w:rsid w:val="007304CB"/>
    <w:rsid w:val="007D2EBC"/>
    <w:rsid w:val="008775C9"/>
    <w:rsid w:val="008C6DDB"/>
    <w:rsid w:val="00A01596"/>
    <w:rsid w:val="00AC7F2B"/>
    <w:rsid w:val="00B059A7"/>
    <w:rsid w:val="00C45BE6"/>
    <w:rsid w:val="00C53F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775C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775C9"/>
    <w:pPr>
      <w:tabs>
        <w:tab w:val="center" w:pos="4536"/>
        <w:tab w:val="right" w:pos="9072"/>
      </w:tabs>
    </w:pPr>
  </w:style>
  <w:style w:type="character" w:customStyle="1" w:styleId="VoettekstChar">
    <w:name w:val="Voettekst Char"/>
    <w:basedOn w:val="Standaardalinea-lettertype"/>
    <w:link w:val="Voettekst"/>
    <w:uiPriority w:val="99"/>
    <w:rsid w:val="008775C9"/>
    <w:rPr>
      <w:sz w:val="24"/>
      <w:szCs w:val="24"/>
    </w:rPr>
  </w:style>
  <w:style w:type="character" w:styleId="Hyperlink">
    <w:name w:val="Hyperlink"/>
    <w:basedOn w:val="Standaardalinea-lettertype"/>
    <w:uiPriority w:val="99"/>
    <w:unhideWhenUsed/>
    <w:rsid w:val="008775C9"/>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8775C9"/>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rsid w:val="008775C9"/>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8775C9"/>
    <w:rPr>
      <w:vertAlign w:val="superscript"/>
    </w:rPr>
  </w:style>
  <w:style w:type="paragraph" w:styleId="Lijstalinea">
    <w:name w:val="List Paragraph"/>
    <w:basedOn w:val="Standaard"/>
    <w:link w:val="LijstalineaChar"/>
    <w:uiPriority w:val="34"/>
    <w:qFormat/>
    <w:rsid w:val="008775C9"/>
    <w:pPr>
      <w:ind w:left="720"/>
      <w:contextualSpacing/>
    </w:pPr>
  </w:style>
  <w:style w:type="character" w:styleId="Zwaar">
    <w:name w:val="Strong"/>
    <w:basedOn w:val="Standaardalinea-lettertype"/>
    <w:uiPriority w:val="22"/>
    <w:qFormat/>
    <w:rsid w:val="008775C9"/>
    <w:rPr>
      <w:b/>
      <w:bCs/>
    </w:rPr>
  </w:style>
  <w:style w:type="table" w:styleId="Tabelraster">
    <w:name w:val="Table Grid"/>
    <w:basedOn w:val="Standaardtabel"/>
    <w:rsid w:val="00877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8775C9"/>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8775C9"/>
    <w:rPr>
      <w:sz w:val="24"/>
      <w:szCs w:val="24"/>
    </w:rPr>
  </w:style>
  <w:style w:type="character" w:styleId="GevolgdeHyperlink">
    <w:name w:val="FollowedHyperlink"/>
    <w:basedOn w:val="Standaardalinea-lettertype"/>
    <w:rsid w:val="003E4B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775C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775C9"/>
    <w:pPr>
      <w:tabs>
        <w:tab w:val="center" w:pos="4536"/>
        <w:tab w:val="right" w:pos="9072"/>
      </w:tabs>
    </w:pPr>
  </w:style>
  <w:style w:type="character" w:customStyle="1" w:styleId="VoettekstChar">
    <w:name w:val="Voettekst Char"/>
    <w:basedOn w:val="Standaardalinea-lettertype"/>
    <w:link w:val="Voettekst"/>
    <w:uiPriority w:val="99"/>
    <w:rsid w:val="008775C9"/>
    <w:rPr>
      <w:sz w:val="24"/>
      <w:szCs w:val="24"/>
    </w:rPr>
  </w:style>
  <w:style w:type="character" w:styleId="Hyperlink">
    <w:name w:val="Hyperlink"/>
    <w:basedOn w:val="Standaardalinea-lettertype"/>
    <w:uiPriority w:val="99"/>
    <w:unhideWhenUsed/>
    <w:rsid w:val="008775C9"/>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8775C9"/>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rsid w:val="008775C9"/>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8775C9"/>
    <w:rPr>
      <w:vertAlign w:val="superscript"/>
    </w:rPr>
  </w:style>
  <w:style w:type="paragraph" w:styleId="Lijstalinea">
    <w:name w:val="List Paragraph"/>
    <w:basedOn w:val="Standaard"/>
    <w:link w:val="LijstalineaChar"/>
    <w:uiPriority w:val="34"/>
    <w:qFormat/>
    <w:rsid w:val="008775C9"/>
    <w:pPr>
      <w:ind w:left="720"/>
      <w:contextualSpacing/>
    </w:pPr>
  </w:style>
  <w:style w:type="character" w:styleId="Zwaar">
    <w:name w:val="Strong"/>
    <w:basedOn w:val="Standaardalinea-lettertype"/>
    <w:uiPriority w:val="22"/>
    <w:qFormat/>
    <w:rsid w:val="008775C9"/>
    <w:rPr>
      <w:b/>
      <w:bCs/>
    </w:rPr>
  </w:style>
  <w:style w:type="table" w:styleId="Tabelraster">
    <w:name w:val="Table Grid"/>
    <w:basedOn w:val="Standaardtabel"/>
    <w:rsid w:val="00877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8775C9"/>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8775C9"/>
    <w:rPr>
      <w:sz w:val="24"/>
      <w:szCs w:val="24"/>
    </w:rPr>
  </w:style>
  <w:style w:type="character" w:styleId="GevolgdeHyperlink">
    <w:name w:val="FollowedHyperlink"/>
    <w:basedOn w:val="Standaardalinea-lettertype"/>
    <w:rsid w:val="003E4B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399">
      <w:bodyDiv w:val="1"/>
      <w:marLeft w:val="0"/>
      <w:marRight w:val="0"/>
      <w:marTop w:val="0"/>
      <w:marBottom w:val="0"/>
      <w:divBdr>
        <w:top w:val="none" w:sz="0" w:space="0" w:color="auto"/>
        <w:left w:val="none" w:sz="0" w:space="0" w:color="auto"/>
        <w:bottom w:val="none" w:sz="0" w:space="0" w:color="auto"/>
        <w:right w:val="none" w:sz="0" w:space="0" w:color="auto"/>
      </w:divBdr>
    </w:div>
    <w:div w:id="106589086">
      <w:bodyDiv w:val="1"/>
      <w:marLeft w:val="0"/>
      <w:marRight w:val="0"/>
      <w:marTop w:val="0"/>
      <w:marBottom w:val="0"/>
      <w:divBdr>
        <w:top w:val="none" w:sz="0" w:space="0" w:color="auto"/>
        <w:left w:val="none" w:sz="0" w:space="0" w:color="auto"/>
        <w:bottom w:val="none" w:sz="0" w:space="0" w:color="auto"/>
        <w:right w:val="none" w:sz="0" w:space="0" w:color="auto"/>
      </w:divBdr>
    </w:div>
    <w:div w:id="113602420">
      <w:bodyDiv w:val="1"/>
      <w:marLeft w:val="0"/>
      <w:marRight w:val="0"/>
      <w:marTop w:val="0"/>
      <w:marBottom w:val="0"/>
      <w:divBdr>
        <w:top w:val="none" w:sz="0" w:space="0" w:color="auto"/>
        <w:left w:val="none" w:sz="0" w:space="0" w:color="auto"/>
        <w:bottom w:val="none" w:sz="0" w:space="0" w:color="auto"/>
        <w:right w:val="none" w:sz="0" w:space="0" w:color="auto"/>
      </w:divBdr>
    </w:div>
    <w:div w:id="116677587">
      <w:bodyDiv w:val="1"/>
      <w:marLeft w:val="0"/>
      <w:marRight w:val="0"/>
      <w:marTop w:val="0"/>
      <w:marBottom w:val="0"/>
      <w:divBdr>
        <w:top w:val="none" w:sz="0" w:space="0" w:color="auto"/>
        <w:left w:val="none" w:sz="0" w:space="0" w:color="auto"/>
        <w:bottom w:val="none" w:sz="0" w:space="0" w:color="auto"/>
        <w:right w:val="none" w:sz="0" w:space="0" w:color="auto"/>
      </w:divBdr>
    </w:div>
    <w:div w:id="140388862">
      <w:bodyDiv w:val="1"/>
      <w:marLeft w:val="0"/>
      <w:marRight w:val="0"/>
      <w:marTop w:val="0"/>
      <w:marBottom w:val="0"/>
      <w:divBdr>
        <w:top w:val="none" w:sz="0" w:space="0" w:color="auto"/>
        <w:left w:val="none" w:sz="0" w:space="0" w:color="auto"/>
        <w:bottom w:val="none" w:sz="0" w:space="0" w:color="auto"/>
        <w:right w:val="none" w:sz="0" w:space="0" w:color="auto"/>
      </w:divBdr>
    </w:div>
    <w:div w:id="145321603">
      <w:bodyDiv w:val="1"/>
      <w:marLeft w:val="0"/>
      <w:marRight w:val="0"/>
      <w:marTop w:val="0"/>
      <w:marBottom w:val="0"/>
      <w:divBdr>
        <w:top w:val="none" w:sz="0" w:space="0" w:color="auto"/>
        <w:left w:val="none" w:sz="0" w:space="0" w:color="auto"/>
        <w:bottom w:val="none" w:sz="0" w:space="0" w:color="auto"/>
        <w:right w:val="none" w:sz="0" w:space="0" w:color="auto"/>
      </w:divBdr>
    </w:div>
    <w:div w:id="149912672">
      <w:bodyDiv w:val="1"/>
      <w:marLeft w:val="0"/>
      <w:marRight w:val="0"/>
      <w:marTop w:val="0"/>
      <w:marBottom w:val="0"/>
      <w:divBdr>
        <w:top w:val="none" w:sz="0" w:space="0" w:color="auto"/>
        <w:left w:val="none" w:sz="0" w:space="0" w:color="auto"/>
        <w:bottom w:val="none" w:sz="0" w:space="0" w:color="auto"/>
        <w:right w:val="none" w:sz="0" w:space="0" w:color="auto"/>
      </w:divBdr>
    </w:div>
    <w:div w:id="152651292">
      <w:bodyDiv w:val="1"/>
      <w:marLeft w:val="0"/>
      <w:marRight w:val="0"/>
      <w:marTop w:val="0"/>
      <w:marBottom w:val="0"/>
      <w:divBdr>
        <w:top w:val="none" w:sz="0" w:space="0" w:color="auto"/>
        <w:left w:val="none" w:sz="0" w:space="0" w:color="auto"/>
        <w:bottom w:val="none" w:sz="0" w:space="0" w:color="auto"/>
        <w:right w:val="none" w:sz="0" w:space="0" w:color="auto"/>
      </w:divBdr>
    </w:div>
    <w:div w:id="167525862">
      <w:bodyDiv w:val="1"/>
      <w:marLeft w:val="0"/>
      <w:marRight w:val="0"/>
      <w:marTop w:val="0"/>
      <w:marBottom w:val="0"/>
      <w:divBdr>
        <w:top w:val="none" w:sz="0" w:space="0" w:color="auto"/>
        <w:left w:val="none" w:sz="0" w:space="0" w:color="auto"/>
        <w:bottom w:val="none" w:sz="0" w:space="0" w:color="auto"/>
        <w:right w:val="none" w:sz="0" w:space="0" w:color="auto"/>
      </w:divBdr>
    </w:div>
    <w:div w:id="173351325">
      <w:bodyDiv w:val="1"/>
      <w:marLeft w:val="0"/>
      <w:marRight w:val="0"/>
      <w:marTop w:val="0"/>
      <w:marBottom w:val="0"/>
      <w:divBdr>
        <w:top w:val="none" w:sz="0" w:space="0" w:color="auto"/>
        <w:left w:val="none" w:sz="0" w:space="0" w:color="auto"/>
        <w:bottom w:val="none" w:sz="0" w:space="0" w:color="auto"/>
        <w:right w:val="none" w:sz="0" w:space="0" w:color="auto"/>
      </w:divBdr>
    </w:div>
    <w:div w:id="180821945">
      <w:bodyDiv w:val="1"/>
      <w:marLeft w:val="0"/>
      <w:marRight w:val="0"/>
      <w:marTop w:val="0"/>
      <w:marBottom w:val="0"/>
      <w:divBdr>
        <w:top w:val="none" w:sz="0" w:space="0" w:color="auto"/>
        <w:left w:val="none" w:sz="0" w:space="0" w:color="auto"/>
        <w:bottom w:val="none" w:sz="0" w:space="0" w:color="auto"/>
        <w:right w:val="none" w:sz="0" w:space="0" w:color="auto"/>
      </w:divBdr>
    </w:div>
    <w:div w:id="202254082">
      <w:bodyDiv w:val="1"/>
      <w:marLeft w:val="0"/>
      <w:marRight w:val="0"/>
      <w:marTop w:val="0"/>
      <w:marBottom w:val="0"/>
      <w:divBdr>
        <w:top w:val="none" w:sz="0" w:space="0" w:color="auto"/>
        <w:left w:val="none" w:sz="0" w:space="0" w:color="auto"/>
        <w:bottom w:val="none" w:sz="0" w:space="0" w:color="auto"/>
        <w:right w:val="none" w:sz="0" w:space="0" w:color="auto"/>
      </w:divBdr>
    </w:div>
    <w:div w:id="202526222">
      <w:bodyDiv w:val="1"/>
      <w:marLeft w:val="0"/>
      <w:marRight w:val="0"/>
      <w:marTop w:val="0"/>
      <w:marBottom w:val="0"/>
      <w:divBdr>
        <w:top w:val="none" w:sz="0" w:space="0" w:color="auto"/>
        <w:left w:val="none" w:sz="0" w:space="0" w:color="auto"/>
        <w:bottom w:val="none" w:sz="0" w:space="0" w:color="auto"/>
        <w:right w:val="none" w:sz="0" w:space="0" w:color="auto"/>
      </w:divBdr>
    </w:div>
    <w:div w:id="216556257">
      <w:bodyDiv w:val="1"/>
      <w:marLeft w:val="0"/>
      <w:marRight w:val="0"/>
      <w:marTop w:val="0"/>
      <w:marBottom w:val="0"/>
      <w:divBdr>
        <w:top w:val="none" w:sz="0" w:space="0" w:color="auto"/>
        <w:left w:val="none" w:sz="0" w:space="0" w:color="auto"/>
        <w:bottom w:val="none" w:sz="0" w:space="0" w:color="auto"/>
        <w:right w:val="none" w:sz="0" w:space="0" w:color="auto"/>
      </w:divBdr>
    </w:div>
    <w:div w:id="230505369">
      <w:bodyDiv w:val="1"/>
      <w:marLeft w:val="0"/>
      <w:marRight w:val="0"/>
      <w:marTop w:val="0"/>
      <w:marBottom w:val="0"/>
      <w:divBdr>
        <w:top w:val="none" w:sz="0" w:space="0" w:color="auto"/>
        <w:left w:val="none" w:sz="0" w:space="0" w:color="auto"/>
        <w:bottom w:val="none" w:sz="0" w:space="0" w:color="auto"/>
        <w:right w:val="none" w:sz="0" w:space="0" w:color="auto"/>
      </w:divBdr>
    </w:div>
    <w:div w:id="246963334">
      <w:bodyDiv w:val="1"/>
      <w:marLeft w:val="0"/>
      <w:marRight w:val="0"/>
      <w:marTop w:val="0"/>
      <w:marBottom w:val="0"/>
      <w:divBdr>
        <w:top w:val="none" w:sz="0" w:space="0" w:color="auto"/>
        <w:left w:val="none" w:sz="0" w:space="0" w:color="auto"/>
        <w:bottom w:val="none" w:sz="0" w:space="0" w:color="auto"/>
        <w:right w:val="none" w:sz="0" w:space="0" w:color="auto"/>
      </w:divBdr>
    </w:div>
    <w:div w:id="251474648">
      <w:bodyDiv w:val="1"/>
      <w:marLeft w:val="0"/>
      <w:marRight w:val="0"/>
      <w:marTop w:val="0"/>
      <w:marBottom w:val="0"/>
      <w:divBdr>
        <w:top w:val="none" w:sz="0" w:space="0" w:color="auto"/>
        <w:left w:val="none" w:sz="0" w:space="0" w:color="auto"/>
        <w:bottom w:val="none" w:sz="0" w:space="0" w:color="auto"/>
        <w:right w:val="none" w:sz="0" w:space="0" w:color="auto"/>
      </w:divBdr>
    </w:div>
    <w:div w:id="252057247">
      <w:bodyDiv w:val="1"/>
      <w:marLeft w:val="0"/>
      <w:marRight w:val="0"/>
      <w:marTop w:val="0"/>
      <w:marBottom w:val="0"/>
      <w:divBdr>
        <w:top w:val="none" w:sz="0" w:space="0" w:color="auto"/>
        <w:left w:val="none" w:sz="0" w:space="0" w:color="auto"/>
        <w:bottom w:val="none" w:sz="0" w:space="0" w:color="auto"/>
        <w:right w:val="none" w:sz="0" w:space="0" w:color="auto"/>
      </w:divBdr>
    </w:div>
    <w:div w:id="261959444">
      <w:bodyDiv w:val="1"/>
      <w:marLeft w:val="0"/>
      <w:marRight w:val="0"/>
      <w:marTop w:val="0"/>
      <w:marBottom w:val="0"/>
      <w:divBdr>
        <w:top w:val="none" w:sz="0" w:space="0" w:color="auto"/>
        <w:left w:val="none" w:sz="0" w:space="0" w:color="auto"/>
        <w:bottom w:val="none" w:sz="0" w:space="0" w:color="auto"/>
        <w:right w:val="none" w:sz="0" w:space="0" w:color="auto"/>
      </w:divBdr>
    </w:div>
    <w:div w:id="309024257">
      <w:bodyDiv w:val="1"/>
      <w:marLeft w:val="0"/>
      <w:marRight w:val="0"/>
      <w:marTop w:val="0"/>
      <w:marBottom w:val="0"/>
      <w:divBdr>
        <w:top w:val="none" w:sz="0" w:space="0" w:color="auto"/>
        <w:left w:val="none" w:sz="0" w:space="0" w:color="auto"/>
        <w:bottom w:val="none" w:sz="0" w:space="0" w:color="auto"/>
        <w:right w:val="none" w:sz="0" w:space="0" w:color="auto"/>
      </w:divBdr>
    </w:div>
    <w:div w:id="317153695">
      <w:bodyDiv w:val="1"/>
      <w:marLeft w:val="0"/>
      <w:marRight w:val="0"/>
      <w:marTop w:val="0"/>
      <w:marBottom w:val="0"/>
      <w:divBdr>
        <w:top w:val="none" w:sz="0" w:space="0" w:color="auto"/>
        <w:left w:val="none" w:sz="0" w:space="0" w:color="auto"/>
        <w:bottom w:val="none" w:sz="0" w:space="0" w:color="auto"/>
        <w:right w:val="none" w:sz="0" w:space="0" w:color="auto"/>
      </w:divBdr>
    </w:div>
    <w:div w:id="330723182">
      <w:bodyDiv w:val="1"/>
      <w:marLeft w:val="0"/>
      <w:marRight w:val="0"/>
      <w:marTop w:val="0"/>
      <w:marBottom w:val="0"/>
      <w:divBdr>
        <w:top w:val="none" w:sz="0" w:space="0" w:color="auto"/>
        <w:left w:val="none" w:sz="0" w:space="0" w:color="auto"/>
        <w:bottom w:val="none" w:sz="0" w:space="0" w:color="auto"/>
        <w:right w:val="none" w:sz="0" w:space="0" w:color="auto"/>
      </w:divBdr>
    </w:div>
    <w:div w:id="336927584">
      <w:bodyDiv w:val="1"/>
      <w:marLeft w:val="0"/>
      <w:marRight w:val="0"/>
      <w:marTop w:val="0"/>
      <w:marBottom w:val="0"/>
      <w:divBdr>
        <w:top w:val="none" w:sz="0" w:space="0" w:color="auto"/>
        <w:left w:val="none" w:sz="0" w:space="0" w:color="auto"/>
        <w:bottom w:val="none" w:sz="0" w:space="0" w:color="auto"/>
        <w:right w:val="none" w:sz="0" w:space="0" w:color="auto"/>
      </w:divBdr>
    </w:div>
    <w:div w:id="375587116">
      <w:bodyDiv w:val="1"/>
      <w:marLeft w:val="0"/>
      <w:marRight w:val="0"/>
      <w:marTop w:val="0"/>
      <w:marBottom w:val="0"/>
      <w:divBdr>
        <w:top w:val="none" w:sz="0" w:space="0" w:color="auto"/>
        <w:left w:val="none" w:sz="0" w:space="0" w:color="auto"/>
        <w:bottom w:val="none" w:sz="0" w:space="0" w:color="auto"/>
        <w:right w:val="none" w:sz="0" w:space="0" w:color="auto"/>
      </w:divBdr>
    </w:div>
    <w:div w:id="387388729">
      <w:bodyDiv w:val="1"/>
      <w:marLeft w:val="0"/>
      <w:marRight w:val="0"/>
      <w:marTop w:val="0"/>
      <w:marBottom w:val="0"/>
      <w:divBdr>
        <w:top w:val="none" w:sz="0" w:space="0" w:color="auto"/>
        <w:left w:val="none" w:sz="0" w:space="0" w:color="auto"/>
        <w:bottom w:val="none" w:sz="0" w:space="0" w:color="auto"/>
        <w:right w:val="none" w:sz="0" w:space="0" w:color="auto"/>
      </w:divBdr>
    </w:div>
    <w:div w:id="434059375">
      <w:bodyDiv w:val="1"/>
      <w:marLeft w:val="0"/>
      <w:marRight w:val="0"/>
      <w:marTop w:val="0"/>
      <w:marBottom w:val="0"/>
      <w:divBdr>
        <w:top w:val="none" w:sz="0" w:space="0" w:color="auto"/>
        <w:left w:val="none" w:sz="0" w:space="0" w:color="auto"/>
        <w:bottom w:val="none" w:sz="0" w:space="0" w:color="auto"/>
        <w:right w:val="none" w:sz="0" w:space="0" w:color="auto"/>
      </w:divBdr>
    </w:div>
    <w:div w:id="445782882">
      <w:bodyDiv w:val="1"/>
      <w:marLeft w:val="0"/>
      <w:marRight w:val="0"/>
      <w:marTop w:val="0"/>
      <w:marBottom w:val="0"/>
      <w:divBdr>
        <w:top w:val="none" w:sz="0" w:space="0" w:color="auto"/>
        <w:left w:val="none" w:sz="0" w:space="0" w:color="auto"/>
        <w:bottom w:val="none" w:sz="0" w:space="0" w:color="auto"/>
        <w:right w:val="none" w:sz="0" w:space="0" w:color="auto"/>
      </w:divBdr>
    </w:div>
    <w:div w:id="463961588">
      <w:bodyDiv w:val="1"/>
      <w:marLeft w:val="0"/>
      <w:marRight w:val="0"/>
      <w:marTop w:val="0"/>
      <w:marBottom w:val="0"/>
      <w:divBdr>
        <w:top w:val="none" w:sz="0" w:space="0" w:color="auto"/>
        <w:left w:val="none" w:sz="0" w:space="0" w:color="auto"/>
        <w:bottom w:val="none" w:sz="0" w:space="0" w:color="auto"/>
        <w:right w:val="none" w:sz="0" w:space="0" w:color="auto"/>
      </w:divBdr>
    </w:div>
    <w:div w:id="489255010">
      <w:bodyDiv w:val="1"/>
      <w:marLeft w:val="0"/>
      <w:marRight w:val="0"/>
      <w:marTop w:val="0"/>
      <w:marBottom w:val="0"/>
      <w:divBdr>
        <w:top w:val="none" w:sz="0" w:space="0" w:color="auto"/>
        <w:left w:val="none" w:sz="0" w:space="0" w:color="auto"/>
        <w:bottom w:val="none" w:sz="0" w:space="0" w:color="auto"/>
        <w:right w:val="none" w:sz="0" w:space="0" w:color="auto"/>
      </w:divBdr>
    </w:div>
    <w:div w:id="489566556">
      <w:bodyDiv w:val="1"/>
      <w:marLeft w:val="0"/>
      <w:marRight w:val="0"/>
      <w:marTop w:val="0"/>
      <w:marBottom w:val="0"/>
      <w:divBdr>
        <w:top w:val="none" w:sz="0" w:space="0" w:color="auto"/>
        <w:left w:val="none" w:sz="0" w:space="0" w:color="auto"/>
        <w:bottom w:val="none" w:sz="0" w:space="0" w:color="auto"/>
        <w:right w:val="none" w:sz="0" w:space="0" w:color="auto"/>
      </w:divBdr>
    </w:div>
    <w:div w:id="511068950">
      <w:bodyDiv w:val="1"/>
      <w:marLeft w:val="0"/>
      <w:marRight w:val="0"/>
      <w:marTop w:val="0"/>
      <w:marBottom w:val="0"/>
      <w:divBdr>
        <w:top w:val="none" w:sz="0" w:space="0" w:color="auto"/>
        <w:left w:val="none" w:sz="0" w:space="0" w:color="auto"/>
        <w:bottom w:val="none" w:sz="0" w:space="0" w:color="auto"/>
        <w:right w:val="none" w:sz="0" w:space="0" w:color="auto"/>
      </w:divBdr>
    </w:div>
    <w:div w:id="512652195">
      <w:bodyDiv w:val="1"/>
      <w:marLeft w:val="0"/>
      <w:marRight w:val="0"/>
      <w:marTop w:val="0"/>
      <w:marBottom w:val="0"/>
      <w:divBdr>
        <w:top w:val="none" w:sz="0" w:space="0" w:color="auto"/>
        <w:left w:val="none" w:sz="0" w:space="0" w:color="auto"/>
        <w:bottom w:val="none" w:sz="0" w:space="0" w:color="auto"/>
        <w:right w:val="none" w:sz="0" w:space="0" w:color="auto"/>
      </w:divBdr>
    </w:div>
    <w:div w:id="512693640">
      <w:bodyDiv w:val="1"/>
      <w:marLeft w:val="0"/>
      <w:marRight w:val="0"/>
      <w:marTop w:val="0"/>
      <w:marBottom w:val="0"/>
      <w:divBdr>
        <w:top w:val="none" w:sz="0" w:space="0" w:color="auto"/>
        <w:left w:val="none" w:sz="0" w:space="0" w:color="auto"/>
        <w:bottom w:val="none" w:sz="0" w:space="0" w:color="auto"/>
        <w:right w:val="none" w:sz="0" w:space="0" w:color="auto"/>
      </w:divBdr>
    </w:div>
    <w:div w:id="528641592">
      <w:bodyDiv w:val="1"/>
      <w:marLeft w:val="0"/>
      <w:marRight w:val="0"/>
      <w:marTop w:val="0"/>
      <w:marBottom w:val="0"/>
      <w:divBdr>
        <w:top w:val="none" w:sz="0" w:space="0" w:color="auto"/>
        <w:left w:val="none" w:sz="0" w:space="0" w:color="auto"/>
        <w:bottom w:val="none" w:sz="0" w:space="0" w:color="auto"/>
        <w:right w:val="none" w:sz="0" w:space="0" w:color="auto"/>
      </w:divBdr>
    </w:div>
    <w:div w:id="550847118">
      <w:bodyDiv w:val="1"/>
      <w:marLeft w:val="0"/>
      <w:marRight w:val="0"/>
      <w:marTop w:val="0"/>
      <w:marBottom w:val="0"/>
      <w:divBdr>
        <w:top w:val="none" w:sz="0" w:space="0" w:color="auto"/>
        <w:left w:val="none" w:sz="0" w:space="0" w:color="auto"/>
        <w:bottom w:val="none" w:sz="0" w:space="0" w:color="auto"/>
        <w:right w:val="none" w:sz="0" w:space="0" w:color="auto"/>
      </w:divBdr>
    </w:div>
    <w:div w:id="556476703">
      <w:bodyDiv w:val="1"/>
      <w:marLeft w:val="0"/>
      <w:marRight w:val="0"/>
      <w:marTop w:val="0"/>
      <w:marBottom w:val="0"/>
      <w:divBdr>
        <w:top w:val="none" w:sz="0" w:space="0" w:color="auto"/>
        <w:left w:val="none" w:sz="0" w:space="0" w:color="auto"/>
        <w:bottom w:val="none" w:sz="0" w:space="0" w:color="auto"/>
        <w:right w:val="none" w:sz="0" w:space="0" w:color="auto"/>
      </w:divBdr>
    </w:div>
    <w:div w:id="564725632">
      <w:bodyDiv w:val="1"/>
      <w:marLeft w:val="0"/>
      <w:marRight w:val="0"/>
      <w:marTop w:val="0"/>
      <w:marBottom w:val="0"/>
      <w:divBdr>
        <w:top w:val="none" w:sz="0" w:space="0" w:color="auto"/>
        <w:left w:val="none" w:sz="0" w:space="0" w:color="auto"/>
        <w:bottom w:val="none" w:sz="0" w:space="0" w:color="auto"/>
        <w:right w:val="none" w:sz="0" w:space="0" w:color="auto"/>
      </w:divBdr>
    </w:div>
    <w:div w:id="568686432">
      <w:bodyDiv w:val="1"/>
      <w:marLeft w:val="0"/>
      <w:marRight w:val="0"/>
      <w:marTop w:val="0"/>
      <w:marBottom w:val="0"/>
      <w:divBdr>
        <w:top w:val="none" w:sz="0" w:space="0" w:color="auto"/>
        <w:left w:val="none" w:sz="0" w:space="0" w:color="auto"/>
        <w:bottom w:val="none" w:sz="0" w:space="0" w:color="auto"/>
        <w:right w:val="none" w:sz="0" w:space="0" w:color="auto"/>
      </w:divBdr>
    </w:div>
    <w:div w:id="611596079">
      <w:bodyDiv w:val="1"/>
      <w:marLeft w:val="0"/>
      <w:marRight w:val="0"/>
      <w:marTop w:val="0"/>
      <w:marBottom w:val="0"/>
      <w:divBdr>
        <w:top w:val="none" w:sz="0" w:space="0" w:color="auto"/>
        <w:left w:val="none" w:sz="0" w:space="0" w:color="auto"/>
        <w:bottom w:val="none" w:sz="0" w:space="0" w:color="auto"/>
        <w:right w:val="none" w:sz="0" w:space="0" w:color="auto"/>
      </w:divBdr>
    </w:div>
    <w:div w:id="622687510">
      <w:bodyDiv w:val="1"/>
      <w:marLeft w:val="0"/>
      <w:marRight w:val="0"/>
      <w:marTop w:val="0"/>
      <w:marBottom w:val="0"/>
      <w:divBdr>
        <w:top w:val="none" w:sz="0" w:space="0" w:color="auto"/>
        <w:left w:val="none" w:sz="0" w:space="0" w:color="auto"/>
        <w:bottom w:val="none" w:sz="0" w:space="0" w:color="auto"/>
        <w:right w:val="none" w:sz="0" w:space="0" w:color="auto"/>
      </w:divBdr>
    </w:div>
    <w:div w:id="633950227">
      <w:bodyDiv w:val="1"/>
      <w:marLeft w:val="0"/>
      <w:marRight w:val="0"/>
      <w:marTop w:val="0"/>
      <w:marBottom w:val="0"/>
      <w:divBdr>
        <w:top w:val="none" w:sz="0" w:space="0" w:color="auto"/>
        <w:left w:val="none" w:sz="0" w:space="0" w:color="auto"/>
        <w:bottom w:val="none" w:sz="0" w:space="0" w:color="auto"/>
        <w:right w:val="none" w:sz="0" w:space="0" w:color="auto"/>
      </w:divBdr>
    </w:div>
    <w:div w:id="634527483">
      <w:bodyDiv w:val="1"/>
      <w:marLeft w:val="0"/>
      <w:marRight w:val="0"/>
      <w:marTop w:val="0"/>
      <w:marBottom w:val="0"/>
      <w:divBdr>
        <w:top w:val="none" w:sz="0" w:space="0" w:color="auto"/>
        <w:left w:val="none" w:sz="0" w:space="0" w:color="auto"/>
        <w:bottom w:val="none" w:sz="0" w:space="0" w:color="auto"/>
        <w:right w:val="none" w:sz="0" w:space="0" w:color="auto"/>
      </w:divBdr>
    </w:div>
    <w:div w:id="641158634">
      <w:bodyDiv w:val="1"/>
      <w:marLeft w:val="0"/>
      <w:marRight w:val="0"/>
      <w:marTop w:val="0"/>
      <w:marBottom w:val="0"/>
      <w:divBdr>
        <w:top w:val="none" w:sz="0" w:space="0" w:color="auto"/>
        <w:left w:val="none" w:sz="0" w:space="0" w:color="auto"/>
        <w:bottom w:val="none" w:sz="0" w:space="0" w:color="auto"/>
        <w:right w:val="none" w:sz="0" w:space="0" w:color="auto"/>
      </w:divBdr>
    </w:div>
    <w:div w:id="641809506">
      <w:bodyDiv w:val="1"/>
      <w:marLeft w:val="0"/>
      <w:marRight w:val="0"/>
      <w:marTop w:val="0"/>
      <w:marBottom w:val="0"/>
      <w:divBdr>
        <w:top w:val="none" w:sz="0" w:space="0" w:color="auto"/>
        <w:left w:val="none" w:sz="0" w:space="0" w:color="auto"/>
        <w:bottom w:val="none" w:sz="0" w:space="0" w:color="auto"/>
        <w:right w:val="none" w:sz="0" w:space="0" w:color="auto"/>
      </w:divBdr>
    </w:div>
    <w:div w:id="642543098">
      <w:bodyDiv w:val="1"/>
      <w:marLeft w:val="0"/>
      <w:marRight w:val="0"/>
      <w:marTop w:val="0"/>
      <w:marBottom w:val="0"/>
      <w:divBdr>
        <w:top w:val="none" w:sz="0" w:space="0" w:color="auto"/>
        <w:left w:val="none" w:sz="0" w:space="0" w:color="auto"/>
        <w:bottom w:val="none" w:sz="0" w:space="0" w:color="auto"/>
        <w:right w:val="none" w:sz="0" w:space="0" w:color="auto"/>
      </w:divBdr>
    </w:div>
    <w:div w:id="652376087">
      <w:bodyDiv w:val="1"/>
      <w:marLeft w:val="0"/>
      <w:marRight w:val="0"/>
      <w:marTop w:val="0"/>
      <w:marBottom w:val="0"/>
      <w:divBdr>
        <w:top w:val="none" w:sz="0" w:space="0" w:color="auto"/>
        <w:left w:val="none" w:sz="0" w:space="0" w:color="auto"/>
        <w:bottom w:val="none" w:sz="0" w:space="0" w:color="auto"/>
        <w:right w:val="none" w:sz="0" w:space="0" w:color="auto"/>
      </w:divBdr>
    </w:div>
    <w:div w:id="655306816">
      <w:bodyDiv w:val="1"/>
      <w:marLeft w:val="0"/>
      <w:marRight w:val="0"/>
      <w:marTop w:val="0"/>
      <w:marBottom w:val="0"/>
      <w:divBdr>
        <w:top w:val="none" w:sz="0" w:space="0" w:color="auto"/>
        <w:left w:val="none" w:sz="0" w:space="0" w:color="auto"/>
        <w:bottom w:val="none" w:sz="0" w:space="0" w:color="auto"/>
        <w:right w:val="none" w:sz="0" w:space="0" w:color="auto"/>
      </w:divBdr>
    </w:div>
    <w:div w:id="680818887">
      <w:bodyDiv w:val="1"/>
      <w:marLeft w:val="0"/>
      <w:marRight w:val="0"/>
      <w:marTop w:val="0"/>
      <w:marBottom w:val="0"/>
      <w:divBdr>
        <w:top w:val="none" w:sz="0" w:space="0" w:color="auto"/>
        <w:left w:val="none" w:sz="0" w:space="0" w:color="auto"/>
        <w:bottom w:val="none" w:sz="0" w:space="0" w:color="auto"/>
        <w:right w:val="none" w:sz="0" w:space="0" w:color="auto"/>
      </w:divBdr>
    </w:div>
    <w:div w:id="682439733">
      <w:bodyDiv w:val="1"/>
      <w:marLeft w:val="0"/>
      <w:marRight w:val="0"/>
      <w:marTop w:val="0"/>
      <w:marBottom w:val="0"/>
      <w:divBdr>
        <w:top w:val="none" w:sz="0" w:space="0" w:color="auto"/>
        <w:left w:val="none" w:sz="0" w:space="0" w:color="auto"/>
        <w:bottom w:val="none" w:sz="0" w:space="0" w:color="auto"/>
        <w:right w:val="none" w:sz="0" w:space="0" w:color="auto"/>
      </w:divBdr>
    </w:div>
    <w:div w:id="701058668">
      <w:bodyDiv w:val="1"/>
      <w:marLeft w:val="0"/>
      <w:marRight w:val="0"/>
      <w:marTop w:val="0"/>
      <w:marBottom w:val="0"/>
      <w:divBdr>
        <w:top w:val="none" w:sz="0" w:space="0" w:color="auto"/>
        <w:left w:val="none" w:sz="0" w:space="0" w:color="auto"/>
        <w:bottom w:val="none" w:sz="0" w:space="0" w:color="auto"/>
        <w:right w:val="none" w:sz="0" w:space="0" w:color="auto"/>
      </w:divBdr>
    </w:div>
    <w:div w:id="701635418">
      <w:bodyDiv w:val="1"/>
      <w:marLeft w:val="0"/>
      <w:marRight w:val="0"/>
      <w:marTop w:val="0"/>
      <w:marBottom w:val="0"/>
      <w:divBdr>
        <w:top w:val="none" w:sz="0" w:space="0" w:color="auto"/>
        <w:left w:val="none" w:sz="0" w:space="0" w:color="auto"/>
        <w:bottom w:val="none" w:sz="0" w:space="0" w:color="auto"/>
        <w:right w:val="none" w:sz="0" w:space="0" w:color="auto"/>
      </w:divBdr>
    </w:div>
    <w:div w:id="732776589">
      <w:bodyDiv w:val="1"/>
      <w:marLeft w:val="0"/>
      <w:marRight w:val="0"/>
      <w:marTop w:val="0"/>
      <w:marBottom w:val="0"/>
      <w:divBdr>
        <w:top w:val="none" w:sz="0" w:space="0" w:color="auto"/>
        <w:left w:val="none" w:sz="0" w:space="0" w:color="auto"/>
        <w:bottom w:val="none" w:sz="0" w:space="0" w:color="auto"/>
        <w:right w:val="none" w:sz="0" w:space="0" w:color="auto"/>
      </w:divBdr>
    </w:div>
    <w:div w:id="733040652">
      <w:bodyDiv w:val="1"/>
      <w:marLeft w:val="0"/>
      <w:marRight w:val="0"/>
      <w:marTop w:val="0"/>
      <w:marBottom w:val="0"/>
      <w:divBdr>
        <w:top w:val="none" w:sz="0" w:space="0" w:color="auto"/>
        <w:left w:val="none" w:sz="0" w:space="0" w:color="auto"/>
        <w:bottom w:val="none" w:sz="0" w:space="0" w:color="auto"/>
        <w:right w:val="none" w:sz="0" w:space="0" w:color="auto"/>
      </w:divBdr>
    </w:div>
    <w:div w:id="740755091">
      <w:bodyDiv w:val="1"/>
      <w:marLeft w:val="0"/>
      <w:marRight w:val="0"/>
      <w:marTop w:val="0"/>
      <w:marBottom w:val="0"/>
      <w:divBdr>
        <w:top w:val="none" w:sz="0" w:space="0" w:color="auto"/>
        <w:left w:val="none" w:sz="0" w:space="0" w:color="auto"/>
        <w:bottom w:val="none" w:sz="0" w:space="0" w:color="auto"/>
        <w:right w:val="none" w:sz="0" w:space="0" w:color="auto"/>
      </w:divBdr>
    </w:div>
    <w:div w:id="763036529">
      <w:bodyDiv w:val="1"/>
      <w:marLeft w:val="0"/>
      <w:marRight w:val="0"/>
      <w:marTop w:val="0"/>
      <w:marBottom w:val="0"/>
      <w:divBdr>
        <w:top w:val="none" w:sz="0" w:space="0" w:color="auto"/>
        <w:left w:val="none" w:sz="0" w:space="0" w:color="auto"/>
        <w:bottom w:val="none" w:sz="0" w:space="0" w:color="auto"/>
        <w:right w:val="none" w:sz="0" w:space="0" w:color="auto"/>
      </w:divBdr>
    </w:div>
    <w:div w:id="783158004">
      <w:bodyDiv w:val="1"/>
      <w:marLeft w:val="0"/>
      <w:marRight w:val="0"/>
      <w:marTop w:val="0"/>
      <w:marBottom w:val="0"/>
      <w:divBdr>
        <w:top w:val="none" w:sz="0" w:space="0" w:color="auto"/>
        <w:left w:val="none" w:sz="0" w:space="0" w:color="auto"/>
        <w:bottom w:val="none" w:sz="0" w:space="0" w:color="auto"/>
        <w:right w:val="none" w:sz="0" w:space="0" w:color="auto"/>
      </w:divBdr>
    </w:div>
    <w:div w:id="794451775">
      <w:bodyDiv w:val="1"/>
      <w:marLeft w:val="0"/>
      <w:marRight w:val="0"/>
      <w:marTop w:val="0"/>
      <w:marBottom w:val="0"/>
      <w:divBdr>
        <w:top w:val="none" w:sz="0" w:space="0" w:color="auto"/>
        <w:left w:val="none" w:sz="0" w:space="0" w:color="auto"/>
        <w:bottom w:val="none" w:sz="0" w:space="0" w:color="auto"/>
        <w:right w:val="none" w:sz="0" w:space="0" w:color="auto"/>
      </w:divBdr>
    </w:div>
    <w:div w:id="794953126">
      <w:bodyDiv w:val="1"/>
      <w:marLeft w:val="0"/>
      <w:marRight w:val="0"/>
      <w:marTop w:val="0"/>
      <w:marBottom w:val="0"/>
      <w:divBdr>
        <w:top w:val="none" w:sz="0" w:space="0" w:color="auto"/>
        <w:left w:val="none" w:sz="0" w:space="0" w:color="auto"/>
        <w:bottom w:val="none" w:sz="0" w:space="0" w:color="auto"/>
        <w:right w:val="none" w:sz="0" w:space="0" w:color="auto"/>
      </w:divBdr>
    </w:div>
    <w:div w:id="802696851">
      <w:bodyDiv w:val="1"/>
      <w:marLeft w:val="0"/>
      <w:marRight w:val="0"/>
      <w:marTop w:val="0"/>
      <w:marBottom w:val="0"/>
      <w:divBdr>
        <w:top w:val="none" w:sz="0" w:space="0" w:color="auto"/>
        <w:left w:val="none" w:sz="0" w:space="0" w:color="auto"/>
        <w:bottom w:val="none" w:sz="0" w:space="0" w:color="auto"/>
        <w:right w:val="none" w:sz="0" w:space="0" w:color="auto"/>
      </w:divBdr>
    </w:div>
    <w:div w:id="806124634">
      <w:bodyDiv w:val="1"/>
      <w:marLeft w:val="0"/>
      <w:marRight w:val="0"/>
      <w:marTop w:val="0"/>
      <w:marBottom w:val="0"/>
      <w:divBdr>
        <w:top w:val="none" w:sz="0" w:space="0" w:color="auto"/>
        <w:left w:val="none" w:sz="0" w:space="0" w:color="auto"/>
        <w:bottom w:val="none" w:sz="0" w:space="0" w:color="auto"/>
        <w:right w:val="none" w:sz="0" w:space="0" w:color="auto"/>
      </w:divBdr>
    </w:div>
    <w:div w:id="841313124">
      <w:bodyDiv w:val="1"/>
      <w:marLeft w:val="0"/>
      <w:marRight w:val="0"/>
      <w:marTop w:val="0"/>
      <w:marBottom w:val="0"/>
      <w:divBdr>
        <w:top w:val="none" w:sz="0" w:space="0" w:color="auto"/>
        <w:left w:val="none" w:sz="0" w:space="0" w:color="auto"/>
        <w:bottom w:val="none" w:sz="0" w:space="0" w:color="auto"/>
        <w:right w:val="none" w:sz="0" w:space="0" w:color="auto"/>
      </w:divBdr>
    </w:div>
    <w:div w:id="841507523">
      <w:bodyDiv w:val="1"/>
      <w:marLeft w:val="0"/>
      <w:marRight w:val="0"/>
      <w:marTop w:val="0"/>
      <w:marBottom w:val="0"/>
      <w:divBdr>
        <w:top w:val="none" w:sz="0" w:space="0" w:color="auto"/>
        <w:left w:val="none" w:sz="0" w:space="0" w:color="auto"/>
        <w:bottom w:val="none" w:sz="0" w:space="0" w:color="auto"/>
        <w:right w:val="none" w:sz="0" w:space="0" w:color="auto"/>
      </w:divBdr>
    </w:div>
    <w:div w:id="842015106">
      <w:bodyDiv w:val="1"/>
      <w:marLeft w:val="0"/>
      <w:marRight w:val="0"/>
      <w:marTop w:val="0"/>
      <w:marBottom w:val="0"/>
      <w:divBdr>
        <w:top w:val="none" w:sz="0" w:space="0" w:color="auto"/>
        <w:left w:val="none" w:sz="0" w:space="0" w:color="auto"/>
        <w:bottom w:val="none" w:sz="0" w:space="0" w:color="auto"/>
        <w:right w:val="none" w:sz="0" w:space="0" w:color="auto"/>
      </w:divBdr>
    </w:div>
    <w:div w:id="844900625">
      <w:bodyDiv w:val="1"/>
      <w:marLeft w:val="0"/>
      <w:marRight w:val="0"/>
      <w:marTop w:val="0"/>
      <w:marBottom w:val="0"/>
      <w:divBdr>
        <w:top w:val="none" w:sz="0" w:space="0" w:color="auto"/>
        <w:left w:val="none" w:sz="0" w:space="0" w:color="auto"/>
        <w:bottom w:val="none" w:sz="0" w:space="0" w:color="auto"/>
        <w:right w:val="none" w:sz="0" w:space="0" w:color="auto"/>
      </w:divBdr>
    </w:div>
    <w:div w:id="875315580">
      <w:bodyDiv w:val="1"/>
      <w:marLeft w:val="0"/>
      <w:marRight w:val="0"/>
      <w:marTop w:val="0"/>
      <w:marBottom w:val="0"/>
      <w:divBdr>
        <w:top w:val="none" w:sz="0" w:space="0" w:color="auto"/>
        <w:left w:val="none" w:sz="0" w:space="0" w:color="auto"/>
        <w:bottom w:val="none" w:sz="0" w:space="0" w:color="auto"/>
        <w:right w:val="none" w:sz="0" w:space="0" w:color="auto"/>
      </w:divBdr>
    </w:div>
    <w:div w:id="884021343">
      <w:bodyDiv w:val="1"/>
      <w:marLeft w:val="0"/>
      <w:marRight w:val="0"/>
      <w:marTop w:val="0"/>
      <w:marBottom w:val="0"/>
      <w:divBdr>
        <w:top w:val="none" w:sz="0" w:space="0" w:color="auto"/>
        <w:left w:val="none" w:sz="0" w:space="0" w:color="auto"/>
        <w:bottom w:val="none" w:sz="0" w:space="0" w:color="auto"/>
        <w:right w:val="none" w:sz="0" w:space="0" w:color="auto"/>
      </w:divBdr>
    </w:div>
    <w:div w:id="892039423">
      <w:bodyDiv w:val="1"/>
      <w:marLeft w:val="0"/>
      <w:marRight w:val="0"/>
      <w:marTop w:val="0"/>
      <w:marBottom w:val="0"/>
      <w:divBdr>
        <w:top w:val="none" w:sz="0" w:space="0" w:color="auto"/>
        <w:left w:val="none" w:sz="0" w:space="0" w:color="auto"/>
        <w:bottom w:val="none" w:sz="0" w:space="0" w:color="auto"/>
        <w:right w:val="none" w:sz="0" w:space="0" w:color="auto"/>
      </w:divBdr>
    </w:div>
    <w:div w:id="892622331">
      <w:bodyDiv w:val="1"/>
      <w:marLeft w:val="0"/>
      <w:marRight w:val="0"/>
      <w:marTop w:val="0"/>
      <w:marBottom w:val="0"/>
      <w:divBdr>
        <w:top w:val="none" w:sz="0" w:space="0" w:color="auto"/>
        <w:left w:val="none" w:sz="0" w:space="0" w:color="auto"/>
        <w:bottom w:val="none" w:sz="0" w:space="0" w:color="auto"/>
        <w:right w:val="none" w:sz="0" w:space="0" w:color="auto"/>
      </w:divBdr>
    </w:div>
    <w:div w:id="899632159">
      <w:bodyDiv w:val="1"/>
      <w:marLeft w:val="0"/>
      <w:marRight w:val="0"/>
      <w:marTop w:val="0"/>
      <w:marBottom w:val="0"/>
      <w:divBdr>
        <w:top w:val="none" w:sz="0" w:space="0" w:color="auto"/>
        <w:left w:val="none" w:sz="0" w:space="0" w:color="auto"/>
        <w:bottom w:val="none" w:sz="0" w:space="0" w:color="auto"/>
        <w:right w:val="none" w:sz="0" w:space="0" w:color="auto"/>
      </w:divBdr>
    </w:div>
    <w:div w:id="907617808">
      <w:bodyDiv w:val="1"/>
      <w:marLeft w:val="0"/>
      <w:marRight w:val="0"/>
      <w:marTop w:val="0"/>
      <w:marBottom w:val="0"/>
      <w:divBdr>
        <w:top w:val="none" w:sz="0" w:space="0" w:color="auto"/>
        <w:left w:val="none" w:sz="0" w:space="0" w:color="auto"/>
        <w:bottom w:val="none" w:sz="0" w:space="0" w:color="auto"/>
        <w:right w:val="none" w:sz="0" w:space="0" w:color="auto"/>
      </w:divBdr>
    </w:div>
    <w:div w:id="913274687">
      <w:bodyDiv w:val="1"/>
      <w:marLeft w:val="0"/>
      <w:marRight w:val="0"/>
      <w:marTop w:val="0"/>
      <w:marBottom w:val="0"/>
      <w:divBdr>
        <w:top w:val="none" w:sz="0" w:space="0" w:color="auto"/>
        <w:left w:val="none" w:sz="0" w:space="0" w:color="auto"/>
        <w:bottom w:val="none" w:sz="0" w:space="0" w:color="auto"/>
        <w:right w:val="none" w:sz="0" w:space="0" w:color="auto"/>
      </w:divBdr>
    </w:div>
    <w:div w:id="940183088">
      <w:bodyDiv w:val="1"/>
      <w:marLeft w:val="0"/>
      <w:marRight w:val="0"/>
      <w:marTop w:val="0"/>
      <w:marBottom w:val="0"/>
      <w:divBdr>
        <w:top w:val="none" w:sz="0" w:space="0" w:color="auto"/>
        <w:left w:val="none" w:sz="0" w:space="0" w:color="auto"/>
        <w:bottom w:val="none" w:sz="0" w:space="0" w:color="auto"/>
        <w:right w:val="none" w:sz="0" w:space="0" w:color="auto"/>
      </w:divBdr>
    </w:div>
    <w:div w:id="987125306">
      <w:bodyDiv w:val="1"/>
      <w:marLeft w:val="0"/>
      <w:marRight w:val="0"/>
      <w:marTop w:val="0"/>
      <w:marBottom w:val="0"/>
      <w:divBdr>
        <w:top w:val="none" w:sz="0" w:space="0" w:color="auto"/>
        <w:left w:val="none" w:sz="0" w:space="0" w:color="auto"/>
        <w:bottom w:val="none" w:sz="0" w:space="0" w:color="auto"/>
        <w:right w:val="none" w:sz="0" w:space="0" w:color="auto"/>
      </w:divBdr>
    </w:div>
    <w:div w:id="991299387">
      <w:bodyDiv w:val="1"/>
      <w:marLeft w:val="0"/>
      <w:marRight w:val="0"/>
      <w:marTop w:val="0"/>
      <w:marBottom w:val="0"/>
      <w:divBdr>
        <w:top w:val="none" w:sz="0" w:space="0" w:color="auto"/>
        <w:left w:val="none" w:sz="0" w:space="0" w:color="auto"/>
        <w:bottom w:val="none" w:sz="0" w:space="0" w:color="auto"/>
        <w:right w:val="none" w:sz="0" w:space="0" w:color="auto"/>
      </w:divBdr>
    </w:div>
    <w:div w:id="1007244626">
      <w:bodyDiv w:val="1"/>
      <w:marLeft w:val="0"/>
      <w:marRight w:val="0"/>
      <w:marTop w:val="0"/>
      <w:marBottom w:val="0"/>
      <w:divBdr>
        <w:top w:val="none" w:sz="0" w:space="0" w:color="auto"/>
        <w:left w:val="none" w:sz="0" w:space="0" w:color="auto"/>
        <w:bottom w:val="none" w:sz="0" w:space="0" w:color="auto"/>
        <w:right w:val="none" w:sz="0" w:space="0" w:color="auto"/>
      </w:divBdr>
    </w:div>
    <w:div w:id="1010916255">
      <w:bodyDiv w:val="1"/>
      <w:marLeft w:val="0"/>
      <w:marRight w:val="0"/>
      <w:marTop w:val="0"/>
      <w:marBottom w:val="0"/>
      <w:divBdr>
        <w:top w:val="none" w:sz="0" w:space="0" w:color="auto"/>
        <w:left w:val="none" w:sz="0" w:space="0" w:color="auto"/>
        <w:bottom w:val="none" w:sz="0" w:space="0" w:color="auto"/>
        <w:right w:val="none" w:sz="0" w:space="0" w:color="auto"/>
      </w:divBdr>
    </w:div>
    <w:div w:id="1013453793">
      <w:bodyDiv w:val="1"/>
      <w:marLeft w:val="0"/>
      <w:marRight w:val="0"/>
      <w:marTop w:val="0"/>
      <w:marBottom w:val="0"/>
      <w:divBdr>
        <w:top w:val="none" w:sz="0" w:space="0" w:color="auto"/>
        <w:left w:val="none" w:sz="0" w:space="0" w:color="auto"/>
        <w:bottom w:val="none" w:sz="0" w:space="0" w:color="auto"/>
        <w:right w:val="none" w:sz="0" w:space="0" w:color="auto"/>
      </w:divBdr>
    </w:div>
    <w:div w:id="1014722398">
      <w:bodyDiv w:val="1"/>
      <w:marLeft w:val="0"/>
      <w:marRight w:val="0"/>
      <w:marTop w:val="0"/>
      <w:marBottom w:val="0"/>
      <w:divBdr>
        <w:top w:val="none" w:sz="0" w:space="0" w:color="auto"/>
        <w:left w:val="none" w:sz="0" w:space="0" w:color="auto"/>
        <w:bottom w:val="none" w:sz="0" w:space="0" w:color="auto"/>
        <w:right w:val="none" w:sz="0" w:space="0" w:color="auto"/>
      </w:divBdr>
    </w:div>
    <w:div w:id="1021902949">
      <w:bodyDiv w:val="1"/>
      <w:marLeft w:val="0"/>
      <w:marRight w:val="0"/>
      <w:marTop w:val="0"/>
      <w:marBottom w:val="0"/>
      <w:divBdr>
        <w:top w:val="none" w:sz="0" w:space="0" w:color="auto"/>
        <w:left w:val="none" w:sz="0" w:space="0" w:color="auto"/>
        <w:bottom w:val="none" w:sz="0" w:space="0" w:color="auto"/>
        <w:right w:val="none" w:sz="0" w:space="0" w:color="auto"/>
      </w:divBdr>
    </w:div>
    <w:div w:id="1029913523">
      <w:bodyDiv w:val="1"/>
      <w:marLeft w:val="0"/>
      <w:marRight w:val="0"/>
      <w:marTop w:val="0"/>
      <w:marBottom w:val="0"/>
      <w:divBdr>
        <w:top w:val="none" w:sz="0" w:space="0" w:color="auto"/>
        <w:left w:val="none" w:sz="0" w:space="0" w:color="auto"/>
        <w:bottom w:val="none" w:sz="0" w:space="0" w:color="auto"/>
        <w:right w:val="none" w:sz="0" w:space="0" w:color="auto"/>
      </w:divBdr>
    </w:div>
    <w:div w:id="1041831216">
      <w:bodyDiv w:val="1"/>
      <w:marLeft w:val="0"/>
      <w:marRight w:val="0"/>
      <w:marTop w:val="0"/>
      <w:marBottom w:val="0"/>
      <w:divBdr>
        <w:top w:val="none" w:sz="0" w:space="0" w:color="auto"/>
        <w:left w:val="none" w:sz="0" w:space="0" w:color="auto"/>
        <w:bottom w:val="none" w:sz="0" w:space="0" w:color="auto"/>
        <w:right w:val="none" w:sz="0" w:space="0" w:color="auto"/>
      </w:divBdr>
    </w:div>
    <w:div w:id="1042944853">
      <w:bodyDiv w:val="1"/>
      <w:marLeft w:val="0"/>
      <w:marRight w:val="0"/>
      <w:marTop w:val="0"/>
      <w:marBottom w:val="0"/>
      <w:divBdr>
        <w:top w:val="none" w:sz="0" w:space="0" w:color="auto"/>
        <w:left w:val="none" w:sz="0" w:space="0" w:color="auto"/>
        <w:bottom w:val="none" w:sz="0" w:space="0" w:color="auto"/>
        <w:right w:val="none" w:sz="0" w:space="0" w:color="auto"/>
      </w:divBdr>
    </w:div>
    <w:div w:id="1058287506">
      <w:bodyDiv w:val="1"/>
      <w:marLeft w:val="0"/>
      <w:marRight w:val="0"/>
      <w:marTop w:val="0"/>
      <w:marBottom w:val="0"/>
      <w:divBdr>
        <w:top w:val="none" w:sz="0" w:space="0" w:color="auto"/>
        <w:left w:val="none" w:sz="0" w:space="0" w:color="auto"/>
        <w:bottom w:val="none" w:sz="0" w:space="0" w:color="auto"/>
        <w:right w:val="none" w:sz="0" w:space="0" w:color="auto"/>
      </w:divBdr>
    </w:div>
    <w:div w:id="1066344685">
      <w:bodyDiv w:val="1"/>
      <w:marLeft w:val="0"/>
      <w:marRight w:val="0"/>
      <w:marTop w:val="0"/>
      <w:marBottom w:val="0"/>
      <w:divBdr>
        <w:top w:val="none" w:sz="0" w:space="0" w:color="auto"/>
        <w:left w:val="none" w:sz="0" w:space="0" w:color="auto"/>
        <w:bottom w:val="none" w:sz="0" w:space="0" w:color="auto"/>
        <w:right w:val="none" w:sz="0" w:space="0" w:color="auto"/>
      </w:divBdr>
    </w:div>
    <w:div w:id="1112826738">
      <w:bodyDiv w:val="1"/>
      <w:marLeft w:val="0"/>
      <w:marRight w:val="0"/>
      <w:marTop w:val="0"/>
      <w:marBottom w:val="0"/>
      <w:divBdr>
        <w:top w:val="none" w:sz="0" w:space="0" w:color="auto"/>
        <w:left w:val="none" w:sz="0" w:space="0" w:color="auto"/>
        <w:bottom w:val="none" w:sz="0" w:space="0" w:color="auto"/>
        <w:right w:val="none" w:sz="0" w:space="0" w:color="auto"/>
      </w:divBdr>
    </w:div>
    <w:div w:id="1116681588">
      <w:bodyDiv w:val="1"/>
      <w:marLeft w:val="0"/>
      <w:marRight w:val="0"/>
      <w:marTop w:val="0"/>
      <w:marBottom w:val="0"/>
      <w:divBdr>
        <w:top w:val="none" w:sz="0" w:space="0" w:color="auto"/>
        <w:left w:val="none" w:sz="0" w:space="0" w:color="auto"/>
        <w:bottom w:val="none" w:sz="0" w:space="0" w:color="auto"/>
        <w:right w:val="none" w:sz="0" w:space="0" w:color="auto"/>
      </w:divBdr>
    </w:div>
    <w:div w:id="1120955459">
      <w:bodyDiv w:val="1"/>
      <w:marLeft w:val="0"/>
      <w:marRight w:val="0"/>
      <w:marTop w:val="0"/>
      <w:marBottom w:val="0"/>
      <w:divBdr>
        <w:top w:val="none" w:sz="0" w:space="0" w:color="auto"/>
        <w:left w:val="none" w:sz="0" w:space="0" w:color="auto"/>
        <w:bottom w:val="none" w:sz="0" w:space="0" w:color="auto"/>
        <w:right w:val="none" w:sz="0" w:space="0" w:color="auto"/>
      </w:divBdr>
    </w:div>
    <w:div w:id="1129590315">
      <w:bodyDiv w:val="1"/>
      <w:marLeft w:val="0"/>
      <w:marRight w:val="0"/>
      <w:marTop w:val="0"/>
      <w:marBottom w:val="0"/>
      <w:divBdr>
        <w:top w:val="none" w:sz="0" w:space="0" w:color="auto"/>
        <w:left w:val="none" w:sz="0" w:space="0" w:color="auto"/>
        <w:bottom w:val="none" w:sz="0" w:space="0" w:color="auto"/>
        <w:right w:val="none" w:sz="0" w:space="0" w:color="auto"/>
      </w:divBdr>
    </w:div>
    <w:div w:id="1135293298">
      <w:bodyDiv w:val="1"/>
      <w:marLeft w:val="0"/>
      <w:marRight w:val="0"/>
      <w:marTop w:val="0"/>
      <w:marBottom w:val="0"/>
      <w:divBdr>
        <w:top w:val="none" w:sz="0" w:space="0" w:color="auto"/>
        <w:left w:val="none" w:sz="0" w:space="0" w:color="auto"/>
        <w:bottom w:val="none" w:sz="0" w:space="0" w:color="auto"/>
        <w:right w:val="none" w:sz="0" w:space="0" w:color="auto"/>
      </w:divBdr>
    </w:div>
    <w:div w:id="1143230547">
      <w:bodyDiv w:val="1"/>
      <w:marLeft w:val="0"/>
      <w:marRight w:val="0"/>
      <w:marTop w:val="0"/>
      <w:marBottom w:val="0"/>
      <w:divBdr>
        <w:top w:val="none" w:sz="0" w:space="0" w:color="auto"/>
        <w:left w:val="none" w:sz="0" w:space="0" w:color="auto"/>
        <w:bottom w:val="none" w:sz="0" w:space="0" w:color="auto"/>
        <w:right w:val="none" w:sz="0" w:space="0" w:color="auto"/>
      </w:divBdr>
    </w:div>
    <w:div w:id="1149175838">
      <w:bodyDiv w:val="1"/>
      <w:marLeft w:val="0"/>
      <w:marRight w:val="0"/>
      <w:marTop w:val="0"/>
      <w:marBottom w:val="0"/>
      <w:divBdr>
        <w:top w:val="none" w:sz="0" w:space="0" w:color="auto"/>
        <w:left w:val="none" w:sz="0" w:space="0" w:color="auto"/>
        <w:bottom w:val="none" w:sz="0" w:space="0" w:color="auto"/>
        <w:right w:val="none" w:sz="0" w:space="0" w:color="auto"/>
      </w:divBdr>
    </w:div>
    <w:div w:id="1166938060">
      <w:bodyDiv w:val="1"/>
      <w:marLeft w:val="0"/>
      <w:marRight w:val="0"/>
      <w:marTop w:val="0"/>
      <w:marBottom w:val="0"/>
      <w:divBdr>
        <w:top w:val="none" w:sz="0" w:space="0" w:color="auto"/>
        <w:left w:val="none" w:sz="0" w:space="0" w:color="auto"/>
        <w:bottom w:val="none" w:sz="0" w:space="0" w:color="auto"/>
        <w:right w:val="none" w:sz="0" w:space="0" w:color="auto"/>
      </w:divBdr>
    </w:div>
    <w:div w:id="1205558701">
      <w:bodyDiv w:val="1"/>
      <w:marLeft w:val="0"/>
      <w:marRight w:val="0"/>
      <w:marTop w:val="0"/>
      <w:marBottom w:val="0"/>
      <w:divBdr>
        <w:top w:val="none" w:sz="0" w:space="0" w:color="auto"/>
        <w:left w:val="none" w:sz="0" w:space="0" w:color="auto"/>
        <w:bottom w:val="none" w:sz="0" w:space="0" w:color="auto"/>
        <w:right w:val="none" w:sz="0" w:space="0" w:color="auto"/>
      </w:divBdr>
    </w:div>
    <w:div w:id="1228032895">
      <w:bodyDiv w:val="1"/>
      <w:marLeft w:val="0"/>
      <w:marRight w:val="0"/>
      <w:marTop w:val="0"/>
      <w:marBottom w:val="0"/>
      <w:divBdr>
        <w:top w:val="none" w:sz="0" w:space="0" w:color="auto"/>
        <w:left w:val="none" w:sz="0" w:space="0" w:color="auto"/>
        <w:bottom w:val="none" w:sz="0" w:space="0" w:color="auto"/>
        <w:right w:val="none" w:sz="0" w:space="0" w:color="auto"/>
      </w:divBdr>
    </w:div>
    <w:div w:id="1228611804">
      <w:bodyDiv w:val="1"/>
      <w:marLeft w:val="0"/>
      <w:marRight w:val="0"/>
      <w:marTop w:val="0"/>
      <w:marBottom w:val="0"/>
      <w:divBdr>
        <w:top w:val="none" w:sz="0" w:space="0" w:color="auto"/>
        <w:left w:val="none" w:sz="0" w:space="0" w:color="auto"/>
        <w:bottom w:val="none" w:sz="0" w:space="0" w:color="auto"/>
        <w:right w:val="none" w:sz="0" w:space="0" w:color="auto"/>
      </w:divBdr>
    </w:div>
    <w:div w:id="1229801787">
      <w:bodyDiv w:val="1"/>
      <w:marLeft w:val="0"/>
      <w:marRight w:val="0"/>
      <w:marTop w:val="0"/>
      <w:marBottom w:val="0"/>
      <w:divBdr>
        <w:top w:val="none" w:sz="0" w:space="0" w:color="auto"/>
        <w:left w:val="none" w:sz="0" w:space="0" w:color="auto"/>
        <w:bottom w:val="none" w:sz="0" w:space="0" w:color="auto"/>
        <w:right w:val="none" w:sz="0" w:space="0" w:color="auto"/>
      </w:divBdr>
    </w:div>
    <w:div w:id="1249846996">
      <w:bodyDiv w:val="1"/>
      <w:marLeft w:val="0"/>
      <w:marRight w:val="0"/>
      <w:marTop w:val="0"/>
      <w:marBottom w:val="0"/>
      <w:divBdr>
        <w:top w:val="none" w:sz="0" w:space="0" w:color="auto"/>
        <w:left w:val="none" w:sz="0" w:space="0" w:color="auto"/>
        <w:bottom w:val="none" w:sz="0" w:space="0" w:color="auto"/>
        <w:right w:val="none" w:sz="0" w:space="0" w:color="auto"/>
      </w:divBdr>
    </w:div>
    <w:div w:id="1258099229">
      <w:bodyDiv w:val="1"/>
      <w:marLeft w:val="0"/>
      <w:marRight w:val="0"/>
      <w:marTop w:val="0"/>
      <w:marBottom w:val="0"/>
      <w:divBdr>
        <w:top w:val="none" w:sz="0" w:space="0" w:color="auto"/>
        <w:left w:val="none" w:sz="0" w:space="0" w:color="auto"/>
        <w:bottom w:val="none" w:sz="0" w:space="0" w:color="auto"/>
        <w:right w:val="none" w:sz="0" w:space="0" w:color="auto"/>
      </w:divBdr>
    </w:div>
    <w:div w:id="1261448164">
      <w:bodyDiv w:val="1"/>
      <w:marLeft w:val="0"/>
      <w:marRight w:val="0"/>
      <w:marTop w:val="0"/>
      <w:marBottom w:val="0"/>
      <w:divBdr>
        <w:top w:val="none" w:sz="0" w:space="0" w:color="auto"/>
        <w:left w:val="none" w:sz="0" w:space="0" w:color="auto"/>
        <w:bottom w:val="none" w:sz="0" w:space="0" w:color="auto"/>
        <w:right w:val="none" w:sz="0" w:space="0" w:color="auto"/>
      </w:divBdr>
    </w:div>
    <w:div w:id="1295410942">
      <w:bodyDiv w:val="1"/>
      <w:marLeft w:val="0"/>
      <w:marRight w:val="0"/>
      <w:marTop w:val="0"/>
      <w:marBottom w:val="0"/>
      <w:divBdr>
        <w:top w:val="none" w:sz="0" w:space="0" w:color="auto"/>
        <w:left w:val="none" w:sz="0" w:space="0" w:color="auto"/>
        <w:bottom w:val="none" w:sz="0" w:space="0" w:color="auto"/>
        <w:right w:val="none" w:sz="0" w:space="0" w:color="auto"/>
      </w:divBdr>
    </w:div>
    <w:div w:id="1297106732">
      <w:bodyDiv w:val="1"/>
      <w:marLeft w:val="0"/>
      <w:marRight w:val="0"/>
      <w:marTop w:val="0"/>
      <w:marBottom w:val="0"/>
      <w:divBdr>
        <w:top w:val="none" w:sz="0" w:space="0" w:color="auto"/>
        <w:left w:val="none" w:sz="0" w:space="0" w:color="auto"/>
        <w:bottom w:val="none" w:sz="0" w:space="0" w:color="auto"/>
        <w:right w:val="none" w:sz="0" w:space="0" w:color="auto"/>
      </w:divBdr>
    </w:div>
    <w:div w:id="1300068480">
      <w:bodyDiv w:val="1"/>
      <w:marLeft w:val="0"/>
      <w:marRight w:val="0"/>
      <w:marTop w:val="0"/>
      <w:marBottom w:val="0"/>
      <w:divBdr>
        <w:top w:val="none" w:sz="0" w:space="0" w:color="auto"/>
        <w:left w:val="none" w:sz="0" w:space="0" w:color="auto"/>
        <w:bottom w:val="none" w:sz="0" w:space="0" w:color="auto"/>
        <w:right w:val="none" w:sz="0" w:space="0" w:color="auto"/>
      </w:divBdr>
    </w:div>
    <w:div w:id="1307467619">
      <w:bodyDiv w:val="1"/>
      <w:marLeft w:val="0"/>
      <w:marRight w:val="0"/>
      <w:marTop w:val="0"/>
      <w:marBottom w:val="0"/>
      <w:divBdr>
        <w:top w:val="none" w:sz="0" w:space="0" w:color="auto"/>
        <w:left w:val="none" w:sz="0" w:space="0" w:color="auto"/>
        <w:bottom w:val="none" w:sz="0" w:space="0" w:color="auto"/>
        <w:right w:val="none" w:sz="0" w:space="0" w:color="auto"/>
      </w:divBdr>
    </w:div>
    <w:div w:id="1327902592">
      <w:bodyDiv w:val="1"/>
      <w:marLeft w:val="0"/>
      <w:marRight w:val="0"/>
      <w:marTop w:val="0"/>
      <w:marBottom w:val="0"/>
      <w:divBdr>
        <w:top w:val="none" w:sz="0" w:space="0" w:color="auto"/>
        <w:left w:val="none" w:sz="0" w:space="0" w:color="auto"/>
        <w:bottom w:val="none" w:sz="0" w:space="0" w:color="auto"/>
        <w:right w:val="none" w:sz="0" w:space="0" w:color="auto"/>
      </w:divBdr>
    </w:div>
    <w:div w:id="1340306334">
      <w:bodyDiv w:val="1"/>
      <w:marLeft w:val="0"/>
      <w:marRight w:val="0"/>
      <w:marTop w:val="0"/>
      <w:marBottom w:val="0"/>
      <w:divBdr>
        <w:top w:val="none" w:sz="0" w:space="0" w:color="auto"/>
        <w:left w:val="none" w:sz="0" w:space="0" w:color="auto"/>
        <w:bottom w:val="none" w:sz="0" w:space="0" w:color="auto"/>
        <w:right w:val="none" w:sz="0" w:space="0" w:color="auto"/>
      </w:divBdr>
    </w:div>
    <w:div w:id="1350595153">
      <w:bodyDiv w:val="1"/>
      <w:marLeft w:val="0"/>
      <w:marRight w:val="0"/>
      <w:marTop w:val="0"/>
      <w:marBottom w:val="0"/>
      <w:divBdr>
        <w:top w:val="none" w:sz="0" w:space="0" w:color="auto"/>
        <w:left w:val="none" w:sz="0" w:space="0" w:color="auto"/>
        <w:bottom w:val="none" w:sz="0" w:space="0" w:color="auto"/>
        <w:right w:val="none" w:sz="0" w:space="0" w:color="auto"/>
      </w:divBdr>
    </w:div>
    <w:div w:id="1373382777">
      <w:bodyDiv w:val="1"/>
      <w:marLeft w:val="0"/>
      <w:marRight w:val="0"/>
      <w:marTop w:val="0"/>
      <w:marBottom w:val="0"/>
      <w:divBdr>
        <w:top w:val="none" w:sz="0" w:space="0" w:color="auto"/>
        <w:left w:val="none" w:sz="0" w:space="0" w:color="auto"/>
        <w:bottom w:val="none" w:sz="0" w:space="0" w:color="auto"/>
        <w:right w:val="none" w:sz="0" w:space="0" w:color="auto"/>
      </w:divBdr>
    </w:div>
    <w:div w:id="1377854090">
      <w:bodyDiv w:val="1"/>
      <w:marLeft w:val="0"/>
      <w:marRight w:val="0"/>
      <w:marTop w:val="0"/>
      <w:marBottom w:val="0"/>
      <w:divBdr>
        <w:top w:val="none" w:sz="0" w:space="0" w:color="auto"/>
        <w:left w:val="none" w:sz="0" w:space="0" w:color="auto"/>
        <w:bottom w:val="none" w:sz="0" w:space="0" w:color="auto"/>
        <w:right w:val="none" w:sz="0" w:space="0" w:color="auto"/>
      </w:divBdr>
    </w:div>
    <w:div w:id="1387297574">
      <w:bodyDiv w:val="1"/>
      <w:marLeft w:val="0"/>
      <w:marRight w:val="0"/>
      <w:marTop w:val="0"/>
      <w:marBottom w:val="0"/>
      <w:divBdr>
        <w:top w:val="none" w:sz="0" w:space="0" w:color="auto"/>
        <w:left w:val="none" w:sz="0" w:space="0" w:color="auto"/>
        <w:bottom w:val="none" w:sz="0" w:space="0" w:color="auto"/>
        <w:right w:val="none" w:sz="0" w:space="0" w:color="auto"/>
      </w:divBdr>
    </w:div>
    <w:div w:id="1417509577">
      <w:bodyDiv w:val="1"/>
      <w:marLeft w:val="0"/>
      <w:marRight w:val="0"/>
      <w:marTop w:val="0"/>
      <w:marBottom w:val="0"/>
      <w:divBdr>
        <w:top w:val="none" w:sz="0" w:space="0" w:color="auto"/>
        <w:left w:val="none" w:sz="0" w:space="0" w:color="auto"/>
        <w:bottom w:val="none" w:sz="0" w:space="0" w:color="auto"/>
        <w:right w:val="none" w:sz="0" w:space="0" w:color="auto"/>
      </w:divBdr>
    </w:div>
    <w:div w:id="1417752896">
      <w:bodyDiv w:val="1"/>
      <w:marLeft w:val="0"/>
      <w:marRight w:val="0"/>
      <w:marTop w:val="0"/>
      <w:marBottom w:val="0"/>
      <w:divBdr>
        <w:top w:val="none" w:sz="0" w:space="0" w:color="auto"/>
        <w:left w:val="none" w:sz="0" w:space="0" w:color="auto"/>
        <w:bottom w:val="none" w:sz="0" w:space="0" w:color="auto"/>
        <w:right w:val="none" w:sz="0" w:space="0" w:color="auto"/>
      </w:divBdr>
    </w:div>
    <w:div w:id="1437599078">
      <w:bodyDiv w:val="1"/>
      <w:marLeft w:val="0"/>
      <w:marRight w:val="0"/>
      <w:marTop w:val="0"/>
      <w:marBottom w:val="0"/>
      <w:divBdr>
        <w:top w:val="none" w:sz="0" w:space="0" w:color="auto"/>
        <w:left w:val="none" w:sz="0" w:space="0" w:color="auto"/>
        <w:bottom w:val="none" w:sz="0" w:space="0" w:color="auto"/>
        <w:right w:val="none" w:sz="0" w:space="0" w:color="auto"/>
      </w:divBdr>
    </w:div>
    <w:div w:id="1466584697">
      <w:bodyDiv w:val="1"/>
      <w:marLeft w:val="0"/>
      <w:marRight w:val="0"/>
      <w:marTop w:val="0"/>
      <w:marBottom w:val="0"/>
      <w:divBdr>
        <w:top w:val="none" w:sz="0" w:space="0" w:color="auto"/>
        <w:left w:val="none" w:sz="0" w:space="0" w:color="auto"/>
        <w:bottom w:val="none" w:sz="0" w:space="0" w:color="auto"/>
        <w:right w:val="none" w:sz="0" w:space="0" w:color="auto"/>
      </w:divBdr>
    </w:div>
    <w:div w:id="1480196531">
      <w:bodyDiv w:val="1"/>
      <w:marLeft w:val="0"/>
      <w:marRight w:val="0"/>
      <w:marTop w:val="0"/>
      <w:marBottom w:val="0"/>
      <w:divBdr>
        <w:top w:val="none" w:sz="0" w:space="0" w:color="auto"/>
        <w:left w:val="none" w:sz="0" w:space="0" w:color="auto"/>
        <w:bottom w:val="none" w:sz="0" w:space="0" w:color="auto"/>
        <w:right w:val="none" w:sz="0" w:space="0" w:color="auto"/>
      </w:divBdr>
    </w:div>
    <w:div w:id="1480996618">
      <w:bodyDiv w:val="1"/>
      <w:marLeft w:val="0"/>
      <w:marRight w:val="0"/>
      <w:marTop w:val="0"/>
      <w:marBottom w:val="0"/>
      <w:divBdr>
        <w:top w:val="none" w:sz="0" w:space="0" w:color="auto"/>
        <w:left w:val="none" w:sz="0" w:space="0" w:color="auto"/>
        <w:bottom w:val="none" w:sz="0" w:space="0" w:color="auto"/>
        <w:right w:val="none" w:sz="0" w:space="0" w:color="auto"/>
      </w:divBdr>
    </w:div>
    <w:div w:id="1503396630">
      <w:bodyDiv w:val="1"/>
      <w:marLeft w:val="0"/>
      <w:marRight w:val="0"/>
      <w:marTop w:val="0"/>
      <w:marBottom w:val="0"/>
      <w:divBdr>
        <w:top w:val="none" w:sz="0" w:space="0" w:color="auto"/>
        <w:left w:val="none" w:sz="0" w:space="0" w:color="auto"/>
        <w:bottom w:val="none" w:sz="0" w:space="0" w:color="auto"/>
        <w:right w:val="none" w:sz="0" w:space="0" w:color="auto"/>
      </w:divBdr>
    </w:div>
    <w:div w:id="1572808923">
      <w:bodyDiv w:val="1"/>
      <w:marLeft w:val="0"/>
      <w:marRight w:val="0"/>
      <w:marTop w:val="0"/>
      <w:marBottom w:val="0"/>
      <w:divBdr>
        <w:top w:val="none" w:sz="0" w:space="0" w:color="auto"/>
        <w:left w:val="none" w:sz="0" w:space="0" w:color="auto"/>
        <w:bottom w:val="none" w:sz="0" w:space="0" w:color="auto"/>
        <w:right w:val="none" w:sz="0" w:space="0" w:color="auto"/>
      </w:divBdr>
    </w:div>
    <w:div w:id="1580479300">
      <w:bodyDiv w:val="1"/>
      <w:marLeft w:val="0"/>
      <w:marRight w:val="0"/>
      <w:marTop w:val="0"/>
      <w:marBottom w:val="0"/>
      <w:divBdr>
        <w:top w:val="none" w:sz="0" w:space="0" w:color="auto"/>
        <w:left w:val="none" w:sz="0" w:space="0" w:color="auto"/>
        <w:bottom w:val="none" w:sz="0" w:space="0" w:color="auto"/>
        <w:right w:val="none" w:sz="0" w:space="0" w:color="auto"/>
      </w:divBdr>
    </w:div>
    <w:div w:id="1581938692">
      <w:bodyDiv w:val="1"/>
      <w:marLeft w:val="0"/>
      <w:marRight w:val="0"/>
      <w:marTop w:val="0"/>
      <w:marBottom w:val="0"/>
      <w:divBdr>
        <w:top w:val="none" w:sz="0" w:space="0" w:color="auto"/>
        <w:left w:val="none" w:sz="0" w:space="0" w:color="auto"/>
        <w:bottom w:val="none" w:sz="0" w:space="0" w:color="auto"/>
        <w:right w:val="none" w:sz="0" w:space="0" w:color="auto"/>
      </w:divBdr>
    </w:div>
    <w:div w:id="1609000625">
      <w:bodyDiv w:val="1"/>
      <w:marLeft w:val="0"/>
      <w:marRight w:val="0"/>
      <w:marTop w:val="0"/>
      <w:marBottom w:val="0"/>
      <w:divBdr>
        <w:top w:val="none" w:sz="0" w:space="0" w:color="auto"/>
        <w:left w:val="none" w:sz="0" w:space="0" w:color="auto"/>
        <w:bottom w:val="none" w:sz="0" w:space="0" w:color="auto"/>
        <w:right w:val="none" w:sz="0" w:space="0" w:color="auto"/>
      </w:divBdr>
    </w:div>
    <w:div w:id="1615791111">
      <w:bodyDiv w:val="1"/>
      <w:marLeft w:val="0"/>
      <w:marRight w:val="0"/>
      <w:marTop w:val="0"/>
      <w:marBottom w:val="0"/>
      <w:divBdr>
        <w:top w:val="none" w:sz="0" w:space="0" w:color="auto"/>
        <w:left w:val="none" w:sz="0" w:space="0" w:color="auto"/>
        <w:bottom w:val="none" w:sz="0" w:space="0" w:color="auto"/>
        <w:right w:val="none" w:sz="0" w:space="0" w:color="auto"/>
      </w:divBdr>
    </w:div>
    <w:div w:id="1668748175">
      <w:bodyDiv w:val="1"/>
      <w:marLeft w:val="0"/>
      <w:marRight w:val="0"/>
      <w:marTop w:val="0"/>
      <w:marBottom w:val="0"/>
      <w:divBdr>
        <w:top w:val="none" w:sz="0" w:space="0" w:color="auto"/>
        <w:left w:val="none" w:sz="0" w:space="0" w:color="auto"/>
        <w:bottom w:val="none" w:sz="0" w:space="0" w:color="auto"/>
        <w:right w:val="none" w:sz="0" w:space="0" w:color="auto"/>
      </w:divBdr>
    </w:div>
    <w:div w:id="1676689182">
      <w:bodyDiv w:val="1"/>
      <w:marLeft w:val="0"/>
      <w:marRight w:val="0"/>
      <w:marTop w:val="0"/>
      <w:marBottom w:val="0"/>
      <w:divBdr>
        <w:top w:val="none" w:sz="0" w:space="0" w:color="auto"/>
        <w:left w:val="none" w:sz="0" w:space="0" w:color="auto"/>
        <w:bottom w:val="none" w:sz="0" w:space="0" w:color="auto"/>
        <w:right w:val="none" w:sz="0" w:space="0" w:color="auto"/>
      </w:divBdr>
    </w:div>
    <w:div w:id="1676766441">
      <w:bodyDiv w:val="1"/>
      <w:marLeft w:val="0"/>
      <w:marRight w:val="0"/>
      <w:marTop w:val="0"/>
      <w:marBottom w:val="0"/>
      <w:divBdr>
        <w:top w:val="none" w:sz="0" w:space="0" w:color="auto"/>
        <w:left w:val="none" w:sz="0" w:space="0" w:color="auto"/>
        <w:bottom w:val="none" w:sz="0" w:space="0" w:color="auto"/>
        <w:right w:val="none" w:sz="0" w:space="0" w:color="auto"/>
      </w:divBdr>
    </w:div>
    <w:div w:id="1701780571">
      <w:bodyDiv w:val="1"/>
      <w:marLeft w:val="0"/>
      <w:marRight w:val="0"/>
      <w:marTop w:val="0"/>
      <w:marBottom w:val="0"/>
      <w:divBdr>
        <w:top w:val="none" w:sz="0" w:space="0" w:color="auto"/>
        <w:left w:val="none" w:sz="0" w:space="0" w:color="auto"/>
        <w:bottom w:val="none" w:sz="0" w:space="0" w:color="auto"/>
        <w:right w:val="none" w:sz="0" w:space="0" w:color="auto"/>
      </w:divBdr>
    </w:div>
    <w:div w:id="1728260342">
      <w:bodyDiv w:val="1"/>
      <w:marLeft w:val="0"/>
      <w:marRight w:val="0"/>
      <w:marTop w:val="0"/>
      <w:marBottom w:val="0"/>
      <w:divBdr>
        <w:top w:val="none" w:sz="0" w:space="0" w:color="auto"/>
        <w:left w:val="none" w:sz="0" w:space="0" w:color="auto"/>
        <w:bottom w:val="none" w:sz="0" w:space="0" w:color="auto"/>
        <w:right w:val="none" w:sz="0" w:space="0" w:color="auto"/>
      </w:divBdr>
    </w:div>
    <w:div w:id="1731684282">
      <w:bodyDiv w:val="1"/>
      <w:marLeft w:val="0"/>
      <w:marRight w:val="0"/>
      <w:marTop w:val="0"/>
      <w:marBottom w:val="0"/>
      <w:divBdr>
        <w:top w:val="none" w:sz="0" w:space="0" w:color="auto"/>
        <w:left w:val="none" w:sz="0" w:space="0" w:color="auto"/>
        <w:bottom w:val="none" w:sz="0" w:space="0" w:color="auto"/>
        <w:right w:val="none" w:sz="0" w:space="0" w:color="auto"/>
      </w:divBdr>
    </w:div>
    <w:div w:id="1737582528">
      <w:bodyDiv w:val="1"/>
      <w:marLeft w:val="0"/>
      <w:marRight w:val="0"/>
      <w:marTop w:val="0"/>
      <w:marBottom w:val="0"/>
      <w:divBdr>
        <w:top w:val="none" w:sz="0" w:space="0" w:color="auto"/>
        <w:left w:val="none" w:sz="0" w:space="0" w:color="auto"/>
        <w:bottom w:val="none" w:sz="0" w:space="0" w:color="auto"/>
        <w:right w:val="none" w:sz="0" w:space="0" w:color="auto"/>
      </w:divBdr>
    </w:div>
    <w:div w:id="1759907065">
      <w:bodyDiv w:val="1"/>
      <w:marLeft w:val="0"/>
      <w:marRight w:val="0"/>
      <w:marTop w:val="0"/>
      <w:marBottom w:val="0"/>
      <w:divBdr>
        <w:top w:val="none" w:sz="0" w:space="0" w:color="auto"/>
        <w:left w:val="none" w:sz="0" w:space="0" w:color="auto"/>
        <w:bottom w:val="none" w:sz="0" w:space="0" w:color="auto"/>
        <w:right w:val="none" w:sz="0" w:space="0" w:color="auto"/>
      </w:divBdr>
    </w:div>
    <w:div w:id="1817608031">
      <w:bodyDiv w:val="1"/>
      <w:marLeft w:val="0"/>
      <w:marRight w:val="0"/>
      <w:marTop w:val="0"/>
      <w:marBottom w:val="0"/>
      <w:divBdr>
        <w:top w:val="none" w:sz="0" w:space="0" w:color="auto"/>
        <w:left w:val="none" w:sz="0" w:space="0" w:color="auto"/>
        <w:bottom w:val="none" w:sz="0" w:space="0" w:color="auto"/>
        <w:right w:val="none" w:sz="0" w:space="0" w:color="auto"/>
      </w:divBdr>
    </w:div>
    <w:div w:id="1821580352">
      <w:bodyDiv w:val="1"/>
      <w:marLeft w:val="0"/>
      <w:marRight w:val="0"/>
      <w:marTop w:val="0"/>
      <w:marBottom w:val="0"/>
      <w:divBdr>
        <w:top w:val="none" w:sz="0" w:space="0" w:color="auto"/>
        <w:left w:val="none" w:sz="0" w:space="0" w:color="auto"/>
        <w:bottom w:val="none" w:sz="0" w:space="0" w:color="auto"/>
        <w:right w:val="none" w:sz="0" w:space="0" w:color="auto"/>
      </w:divBdr>
    </w:div>
    <w:div w:id="1843928922">
      <w:bodyDiv w:val="1"/>
      <w:marLeft w:val="0"/>
      <w:marRight w:val="0"/>
      <w:marTop w:val="0"/>
      <w:marBottom w:val="0"/>
      <w:divBdr>
        <w:top w:val="none" w:sz="0" w:space="0" w:color="auto"/>
        <w:left w:val="none" w:sz="0" w:space="0" w:color="auto"/>
        <w:bottom w:val="none" w:sz="0" w:space="0" w:color="auto"/>
        <w:right w:val="none" w:sz="0" w:space="0" w:color="auto"/>
      </w:divBdr>
    </w:div>
    <w:div w:id="1894267845">
      <w:bodyDiv w:val="1"/>
      <w:marLeft w:val="0"/>
      <w:marRight w:val="0"/>
      <w:marTop w:val="0"/>
      <w:marBottom w:val="0"/>
      <w:divBdr>
        <w:top w:val="none" w:sz="0" w:space="0" w:color="auto"/>
        <w:left w:val="none" w:sz="0" w:space="0" w:color="auto"/>
        <w:bottom w:val="none" w:sz="0" w:space="0" w:color="auto"/>
        <w:right w:val="none" w:sz="0" w:space="0" w:color="auto"/>
      </w:divBdr>
    </w:div>
    <w:div w:id="1904103746">
      <w:bodyDiv w:val="1"/>
      <w:marLeft w:val="0"/>
      <w:marRight w:val="0"/>
      <w:marTop w:val="0"/>
      <w:marBottom w:val="0"/>
      <w:divBdr>
        <w:top w:val="none" w:sz="0" w:space="0" w:color="auto"/>
        <w:left w:val="none" w:sz="0" w:space="0" w:color="auto"/>
        <w:bottom w:val="none" w:sz="0" w:space="0" w:color="auto"/>
        <w:right w:val="none" w:sz="0" w:space="0" w:color="auto"/>
      </w:divBdr>
    </w:div>
    <w:div w:id="1973556151">
      <w:bodyDiv w:val="1"/>
      <w:marLeft w:val="0"/>
      <w:marRight w:val="0"/>
      <w:marTop w:val="0"/>
      <w:marBottom w:val="0"/>
      <w:divBdr>
        <w:top w:val="none" w:sz="0" w:space="0" w:color="auto"/>
        <w:left w:val="none" w:sz="0" w:space="0" w:color="auto"/>
        <w:bottom w:val="none" w:sz="0" w:space="0" w:color="auto"/>
        <w:right w:val="none" w:sz="0" w:space="0" w:color="auto"/>
      </w:divBdr>
    </w:div>
    <w:div w:id="1976837065">
      <w:bodyDiv w:val="1"/>
      <w:marLeft w:val="0"/>
      <w:marRight w:val="0"/>
      <w:marTop w:val="0"/>
      <w:marBottom w:val="0"/>
      <w:divBdr>
        <w:top w:val="none" w:sz="0" w:space="0" w:color="auto"/>
        <w:left w:val="none" w:sz="0" w:space="0" w:color="auto"/>
        <w:bottom w:val="none" w:sz="0" w:space="0" w:color="auto"/>
        <w:right w:val="none" w:sz="0" w:space="0" w:color="auto"/>
      </w:divBdr>
    </w:div>
    <w:div w:id="1980766918">
      <w:bodyDiv w:val="1"/>
      <w:marLeft w:val="0"/>
      <w:marRight w:val="0"/>
      <w:marTop w:val="0"/>
      <w:marBottom w:val="0"/>
      <w:divBdr>
        <w:top w:val="none" w:sz="0" w:space="0" w:color="auto"/>
        <w:left w:val="none" w:sz="0" w:space="0" w:color="auto"/>
        <w:bottom w:val="none" w:sz="0" w:space="0" w:color="auto"/>
        <w:right w:val="none" w:sz="0" w:space="0" w:color="auto"/>
      </w:divBdr>
    </w:div>
    <w:div w:id="1982493158">
      <w:bodyDiv w:val="1"/>
      <w:marLeft w:val="0"/>
      <w:marRight w:val="0"/>
      <w:marTop w:val="0"/>
      <w:marBottom w:val="0"/>
      <w:divBdr>
        <w:top w:val="none" w:sz="0" w:space="0" w:color="auto"/>
        <w:left w:val="none" w:sz="0" w:space="0" w:color="auto"/>
        <w:bottom w:val="none" w:sz="0" w:space="0" w:color="auto"/>
        <w:right w:val="none" w:sz="0" w:space="0" w:color="auto"/>
      </w:divBdr>
    </w:div>
    <w:div w:id="1993099512">
      <w:bodyDiv w:val="1"/>
      <w:marLeft w:val="0"/>
      <w:marRight w:val="0"/>
      <w:marTop w:val="0"/>
      <w:marBottom w:val="0"/>
      <w:divBdr>
        <w:top w:val="none" w:sz="0" w:space="0" w:color="auto"/>
        <w:left w:val="none" w:sz="0" w:space="0" w:color="auto"/>
        <w:bottom w:val="none" w:sz="0" w:space="0" w:color="auto"/>
        <w:right w:val="none" w:sz="0" w:space="0" w:color="auto"/>
      </w:divBdr>
    </w:div>
    <w:div w:id="2007434677">
      <w:bodyDiv w:val="1"/>
      <w:marLeft w:val="0"/>
      <w:marRight w:val="0"/>
      <w:marTop w:val="0"/>
      <w:marBottom w:val="0"/>
      <w:divBdr>
        <w:top w:val="none" w:sz="0" w:space="0" w:color="auto"/>
        <w:left w:val="none" w:sz="0" w:space="0" w:color="auto"/>
        <w:bottom w:val="none" w:sz="0" w:space="0" w:color="auto"/>
        <w:right w:val="none" w:sz="0" w:space="0" w:color="auto"/>
      </w:divBdr>
    </w:div>
    <w:div w:id="2008711068">
      <w:bodyDiv w:val="1"/>
      <w:marLeft w:val="0"/>
      <w:marRight w:val="0"/>
      <w:marTop w:val="0"/>
      <w:marBottom w:val="0"/>
      <w:divBdr>
        <w:top w:val="none" w:sz="0" w:space="0" w:color="auto"/>
        <w:left w:val="none" w:sz="0" w:space="0" w:color="auto"/>
        <w:bottom w:val="none" w:sz="0" w:space="0" w:color="auto"/>
        <w:right w:val="none" w:sz="0" w:space="0" w:color="auto"/>
      </w:divBdr>
    </w:div>
    <w:div w:id="2013218245">
      <w:bodyDiv w:val="1"/>
      <w:marLeft w:val="0"/>
      <w:marRight w:val="0"/>
      <w:marTop w:val="0"/>
      <w:marBottom w:val="0"/>
      <w:divBdr>
        <w:top w:val="none" w:sz="0" w:space="0" w:color="auto"/>
        <w:left w:val="none" w:sz="0" w:space="0" w:color="auto"/>
        <w:bottom w:val="none" w:sz="0" w:space="0" w:color="auto"/>
        <w:right w:val="none" w:sz="0" w:space="0" w:color="auto"/>
      </w:divBdr>
    </w:div>
    <w:div w:id="2028631081">
      <w:bodyDiv w:val="1"/>
      <w:marLeft w:val="0"/>
      <w:marRight w:val="0"/>
      <w:marTop w:val="0"/>
      <w:marBottom w:val="0"/>
      <w:divBdr>
        <w:top w:val="none" w:sz="0" w:space="0" w:color="auto"/>
        <w:left w:val="none" w:sz="0" w:space="0" w:color="auto"/>
        <w:bottom w:val="none" w:sz="0" w:space="0" w:color="auto"/>
        <w:right w:val="none" w:sz="0" w:space="0" w:color="auto"/>
      </w:divBdr>
    </w:div>
    <w:div w:id="2034307666">
      <w:bodyDiv w:val="1"/>
      <w:marLeft w:val="0"/>
      <w:marRight w:val="0"/>
      <w:marTop w:val="0"/>
      <w:marBottom w:val="0"/>
      <w:divBdr>
        <w:top w:val="none" w:sz="0" w:space="0" w:color="auto"/>
        <w:left w:val="none" w:sz="0" w:space="0" w:color="auto"/>
        <w:bottom w:val="none" w:sz="0" w:space="0" w:color="auto"/>
        <w:right w:val="none" w:sz="0" w:space="0" w:color="auto"/>
      </w:divBdr>
    </w:div>
    <w:div w:id="2054500704">
      <w:bodyDiv w:val="1"/>
      <w:marLeft w:val="0"/>
      <w:marRight w:val="0"/>
      <w:marTop w:val="0"/>
      <w:marBottom w:val="0"/>
      <w:divBdr>
        <w:top w:val="none" w:sz="0" w:space="0" w:color="auto"/>
        <w:left w:val="none" w:sz="0" w:space="0" w:color="auto"/>
        <w:bottom w:val="none" w:sz="0" w:space="0" w:color="auto"/>
        <w:right w:val="none" w:sz="0" w:space="0" w:color="auto"/>
      </w:divBdr>
    </w:div>
    <w:div w:id="2066683968">
      <w:bodyDiv w:val="1"/>
      <w:marLeft w:val="0"/>
      <w:marRight w:val="0"/>
      <w:marTop w:val="0"/>
      <w:marBottom w:val="0"/>
      <w:divBdr>
        <w:top w:val="none" w:sz="0" w:space="0" w:color="auto"/>
        <w:left w:val="none" w:sz="0" w:space="0" w:color="auto"/>
        <w:bottom w:val="none" w:sz="0" w:space="0" w:color="auto"/>
        <w:right w:val="none" w:sz="0" w:space="0" w:color="auto"/>
      </w:divBdr>
    </w:div>
    <w:div w:id="2086218247">
      <w:bodyDiv w:val="1"/>
      <w:marLeft w:val="0"/>
      <w:marRight w:val="0"/>
      <w:marTop w:val="0"/>
      <w:marBottom w:val="0"/>
      <w:divBdr>
        <w:top w:val="none" w:sz="0" w:space="0" w:color="auto"/>
        <w:left w:val="none" w:sz="0" w:space="0" w:color="auto"/>
        <w:bottom w:val="none" w:sz="0" w:space="0" w:color="auto"/>
        <w:right w:val="none" w:sz="0" w:space="0" w:color="auto"/>
      </w:divBdr>
    </w:div>
    <w:div w:id="2097508537">
      <w:bodyDiv w:val="1"/>
      <w:marLeft w:val="0"/>
      <w:marRight w:val="0"/>
      <w:marTop w:val="0"/>
      <w:marBottom w:val="0"/>
      <w:divBdr>
        <w:top w:val="none" w:sz="0" w:space="0" w:color="auto"/>
        <w:left w:val="none" w:sz="0" w:space="0" w:color="auto"/>
        <w:bottom w:val="none" w:sz="0" w:space="0" w:color="auto"/>
        <w:right w:val="none" w:sz="0" w:space="0" w:color="auto"/>
      </w:divBdr>
    </w:div>
    <w:div w:id="2102413889">
      <w:bodyDiv w:val="1"/>
      <w:marLeft w:val="0"/>
      <w:marRight w:val="0"/>
      <w:marTop w:val="0"/>
      <w:marBottom w:val="0"/>
      <w:divBdr>
        <w:top w:val="none" w:sz="0" w:space="0" w:color="auto"/>
        <w:left w:val="none" w:sz="0" w:space="0" w:color="auto"/>
        <w:bottom w:val="none" w:sz="0" w:space="0" w:color="auto"/>
        <w:right w:val="none" w:sz="0" w:space="0" w:color="auto"/>
      </w:divBdr>
    </w:div>
    <w:div w:id="213262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document/COM20180250.do" TargetMode="External" Id="rId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yperlink" Target="http://www.ipex.eu/IPEXL-WEB/dossier/document/COM20180252.do"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www.ipex.eu/IPEXL-WEB/dossier/document/COM20180091.do" TargetMode="Externa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http://www.ipex.eu/IPEXL-WEB/dossier/document/COM20180139.do" TargetMode="External" Id="rId10" /><Relationship Type="http://schemas.openxmlformats.org/officeDocument/2006/relationships/settings" Target="settings.xml" Id="rId4" /><Relationship Type="http://schemas.openxmlformats.org/officeDocument/2006/relationships/hyperlink" Target="http://www.ipex.eu/IPEXL-WEB/dossier/document/COM20180251.do" TargetMode="External" Id="rId9" /><Relationship Type="http://schemas.openxmlformats.org/officeDocument/2006/relationships/hyperlink" Target="http://ec.europa.eu/yourvoice/consultations/index_nl.htm"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2730</ap:Words>
  <ap:Characters>17872</ap:Characters>
  <ap:DocSecurity>4</ap:DocSecurity>
  <ap:Lines>148</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2018-03-22T16:05:00.0000000Z</dcterms:created>
  <dcterms:modified xsi:type="dcterms:W3CDTF">2018-03-22T16:05:00.0000000Z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0x01010045E5BAE7BC7DB94CAB33FF1516D3648F</vt:lpwstr>
  </property>
</Properties>
</file>