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W w:w="15967" w:type="dxa"/>
        <w:jc w:val="center"/>
        <w:tblInd w:w="-2940" w:type="dxa"/>
        <w:tblLook w:val="04A0"/>
      </w:tblPr>
      <w:tblGrid>
        <w:gridCol w:w="2107"/>
        <w:gridCol w:w="2014"/>
        <w:gridCol w:w="2243"/>
        <w:gridCol w:w="3418"/>
        <w:gridCol w:w="3536"/>
        <w:gridCol w:w="2649"/>
      </w:tblGrid>
      <w:tr w:rsidRPr="0058381E" w:rsidR="0058381E" w:rsidTr="0058381E">
        <w:trPr>
          <w:trHeight w:val="198"/>
          <w:jc w:val="center"/>
        </w:trPr>
        <w:tc>
          <w:tcPr>
            <w:tcW w:w="2111" w:type="dxa"/>
            <w:shd w:val="clear" w:color="auto" w:fill="4F81BD" w:themeFill="accent1"/>
            <w:vAlign w:val="center"/>
          </w:tcPr>
          <w:p w:rsidRPr="0058381E" w:rsidR="00445E31" w:rsidP="001D553D" w:rsidRDefault="00445E31">
            <w:pPr>
              <w:pStyle w:val="Lijstalinea"/>
              <w:spacing w:line="360" w:lineRule="auto"/>
              <w:ind w:left="0"/>
              <w:jc w:val="center"/>
              <w:rPr>
                <w:rFonts w:cs="Arial"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4F81BD" w:themeFill="accent1"/>
            <w:vAlign w:val="center"/>
          </w:tcPr>
          <w:p w:rsidRPr="0058381E" w:rsidR="00445E31" w:rsidP="001D553D" w:rsidRDefault="00445E31">
            <w:pPr>
              <w:pStyle w:val="Lijstalinea"/>
              <w:spacing w:before="120" w:line="360" w:lineRule="auto"/>
              <w:ind w:left="0"/>
              <w:rPr>
                <w:rFonts w:cs="Arial" w:asciiTheme="minorHAnsi" w:hAnsiTheme="minorHAnsi"/>
                <w:b/>
                <w:color w:val="FFFFFF" w:themeColor="background1"/>
                <w:sz w:val="16"/>
                <w:szCs w:val="16"/>
              </w:rPr>
            </w:pPr>
            <w:r w:rsidRPr="0058381E">
              <w:rPr>
                <w:rFonts w:cs="Arial" w:asciiTheme="minorHAnsi" w:hAnsiTheme="minorHAnsi"/>
                <w:b/>
                <w:color w:val="FFFFFF" w:themeColor="background1"/>
                <w:sz w:val="16"/>
                <w:szCs w:val="16"/>
              </w:rPr>
              <w:t>Institutionele opzet</w:t>
            </w:r>
          </w:p>
        </w:tc>
        <w:tc>
          <w:tcPr>
            <w:tcW w:w="2244" w:type="dxa"/>
            <w:shd w:val="clear" w:color="auto" w:fill="4F81BD" w:themeFill="accent1"/>
            <w:vAlign w:val="center"/>
          </w:tcPr>
          <w:p w:rsidRPr="0058381E" w:rsidR="00445E31" w:rsidP="001D553D" w:rsidRDefault="00445E31">
            <w:pPr>
              <w:pStyle w:val="Lijstalinea"/>
              <w:spacing w:before="120" w:line="360" w:lineRule="auto"/>
              <w:ind w:left="0"/>
              <w:rPr>
                <w:rFonts w:cs="Arial" w:asciiTheme="minorHAnsi" w:hAnsiTheme="minorHAnsi"/>
                <w:b/>
                <w:color w:val="FFFFFF" w:themeColor="background1"/>
                <w:sz w:val="16"/>
                <w:szCs w:val="16"/>
              </w:rPr>
            </w:pPr>
            <w:r w:rsidRPr="0058381E">
              <w:rPr>
                <w:rFonts w:cs="Arial" w:asciiTheme="minorHAnsi" w:hAnsiTheme="minorHAnsi"/>
                <w:b/>
                <w:color w:val="FFFFFF" w:themeColor="background1"/>
                <w:sz w:val="16"/>
                <w:szCs w:val="16"/>
              </w:rPr>
              <w:t>Besluitvorming</w:t>
            </w:r>
            <w:r w:rsidRPr="0058381E" w:rsidR="000360C2">
              <w:rPr>
                <w:rFonts w:cs="Arial" w:asciiTheme="minorHAnsi" w:hAnsiTheme="minorHAnsi"/>
                <w:b/>
                <w:color w:val="FFFFFF" w:themeColor="background1"/>
                <w:sz w:val="16"/>
                <w:szCs w:val="16"/>
              </w:rPr>
              <w:t xml:space="preserve"> programma’s en uitkeringen</w:t>
            </w:r>
          </w:p>
        </w:tc>
        <w:tc>
          <w:tcPr>
            <w:tcW w:w="3426" w:type="dxa"/>
            <w:shd w:val="clear" w:color="auto" w:fill="4F81BD" w:themeFill="accent1"/>
            <w:vAlign w:val="center"/>
          </w:tcPr>
          <w:p w:rsidRPr="0058381E" w:rsidR="00445E31" w:rsidP="001D553D" w:rsidRDefault="00445E31">
            <w:pPr>
              <w:pStyle w:val="Lijstalinea"/>
              <w:spacing w:before="120" w:line="360" w:lineRule="auto"/>
              <w:ind w:left="0"/>
              <w:rPr>
                <w:rFonts w:cs="Arial" w:asciiTheme="minorHAnsi" w:hAnsiTheme="minorHAnsi"/>
                <w:b/>
                <w:color w:val="FFFFFF" w:themeColor="background1"/>
                <w:sz w:val="16"/>
                <w:szCs w:val="16"/>
              </w:rPr>
            </w:pPr>
            <w:r w:rsidRPr="0058381E">
              <w:rPr>
                <w:rFonts w:cs="Arial" w:asciiTheme="minorHAnsi" w:hAnsiTheme="minorHAnsi"/>
                <w:b/>
                <w:color w:val="FFFFFF" w:themeColor="background1"/>
                <w:sz w:val="16"/>
                <w:szCs w:val="16"/>
              </w:rPr>
              <w:t>Nieuwe instrumenten</w:t>
            </w:r>
          </w:p>
        </w:tc>
        <w:tc>
          <w:tcPr>
            <w:tcW w:w="3544" w:type="dxa"/>
            <w:shd w:val="clear" w:color="auto" w:fill="4F81BD" w:themeFill="accent1"/>
            <w:vAlign w:val="center"/>
          </w:tcPr>
          <w:p w:rsidRPr="0058381E" w:rsidR="00445E31" w:rsidP="006131CC" w:rsidRDefault="00445E31">
            <w:pPr>
              <w:pStyle w:val="Lijstalinea"/>
              <w:spacing w:before="120" w:line="360" w:lineRule="auto"/>
              <w:ind w:left="0"/>
              <w:rPr>
                <w:rFonts w:cs="Arial" w:asciiTheme="minorHAnsi" w:hAnsiTheme="minorHAnsi"/>
                <w:b/>
                <w:color w:val="FFFFFF" w:themeColor="background1"/>
                <w:sz w:val="16"/>
                <w:szCs w:val="16"/>
              </w:rPr>
            </w:pPr>
            <w:r w:rsidRPr="0058381E">
              <w:rPr>
                <w:rFonts w:cs="Arial" w:asciiTheme="minorHAnsi" w:hAnsiTheme="minorHAnsi"/>
                <w:b/>
                <w:color w:val="FFFFFF" w:themeColor="background1"/>
                <w:sz w:val="16"/>
                <w:szCs w:val="16"/>
              </w:rPr>
              <w:t xml:space="preserve">Taken </w:t>
            </w:r>
          </w:p>
        </w:tc>
        <w:tc>
          <w:tcPr>
            <w:tcW w:w="2652" w:type="dxa"/>
            <w:shd w:val="clear" w:color="auto" w:fill="4F81BD" w:themeFill="accent1"/>
            <w:vAlign w:val="center"/>
          </w:tcPr>
          <w:p w:rsidRPr="0058381E" w:rsidR="00445E31" w:rsidP="001D553D" w:rsidRDefault="001A1FBB">
            <w:pPr>
              <w:pStyle w:val="Lijstalinea"/>
              <w:spacing w:before="120" w:line="360" w:lineRule="auto"/>
              <w:ind w:left="0"/>
              <w:rPr>
                <w:rFonts w:cs="Arial" w:asciiTheme="minorHAnsi" w:hAnsiTheme="minorHAnsi"/>
                <w:b/>
                <w:color w:val="FFFFFF" w:themeColor="background1"/>
                <w:sz w:val="16"/>
                <w:szCs w:val="16"/>
              </w:rPr>
            </w:pPr>
            <w:proofErr w:type="spellStart"/>
            <w:r>
              <w:rPr>
                <w:rFonts w:cs="Arial" w:asciiTheme="minorHAnsi" w:hAnsiTheme="minorHAnsi"/>
                <w:b/>
                <w:color w:val="FFFFFF" w:themeColor="background1"/>
                <w:sz w:val="16"/>
                <w:szCs w:val="16"/>
              </w:rPr>
              <w:t>Sovereign</w:t>
            </w:r>
            <w:proofErr w:type="spellEnd"/>
            <w:r>
              <w:rPr>
                <w:rFonts w:cs="Arial" w:asciiTheme="minorHAnsi" w:hAnsiTheme="minorHAnsi"/>
                <w:b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 w:asciiTheme="minorHAnsi" w:hAnsiTheme="minorHAnsi"/>
                <w:b/>
                <w:color w:val="FFFFFF" w:themeColor="background1"/>
                <w:sz w:val="16"/>
                <w:szCs w:val="16"/>
              </w:rPr>
              <w:t>Debt</w:t>
            </w:r>
            <w:proofErr w:type="spellEnd"/>
            <w:r>
              <w:rPr>
                <w:rFonts w:cs="Arial" w:asciiTheme="minorHAnsi" w:hAnsiTheme="minorHAnsi"/>
                <w:b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 w:asciiTheme="minorHAnsi" w:hAnsiTheme="minorHAnsi"/>
                <w:b/>
                <w:color w:val="FFFFFF" w:themeColor="background1"/>
                <w:sz w:val="16"/>
                <w:szCs w:val="16"/>
              </w:rPr>
              <w:t>Restructuring</w:t>
            </w:r>
            <w:proofErr w:type="spellEnd"/>
            <w:r>
              <w:rPr>
                <w:rFonts w:cs="Arial" w:asciiTheme="minorHAnsi" w:hAnsiTheme="minorHAnsi"/>
                <w:b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 w:asciiTheme="minorHAnsi" w:hAnsiTheme="minorHAnsi"/>
                <w:b/>
                <w:color w:val="FFFFFF" w:themeColor="background1"/>
                <w:sz w:val="16"/>
                <w:szCs w:val="16"/>
              </w:rPr>
              <w:t>Mechanism</w:t>
            </w:r>
            <w:proofErr w:type="spellEnd"/>
          </w:p>
        </w:tc>
      </w:tr>
      <w:tr w:rsidRPr="0058381E" w:rsidR="0058381E" w:rsidTr="0058381E">
        <w:trPr>
          <w:trHeight w:val="146"/>
          <w:jc w:val="center"/>
        </w:trPr>
        <w:tc>
          <w:tcPr>
            <w:tcW w:w="2111" w:type="dxa"/>
            <w:shd w:val="clear" w:color="auto" w:fill="DDD9C3" w:themeFill="background2" w:themeFillShade="E6"/>
            <w:vAlign w:val="center"/>
          </w:tcPr>
          <w:p w:rsidRPr="0058381E" w:rsidR="00445E31" w:rsidP="007422F0" w:rsidRDefault="00445E31">
            <w:pPr>
              <w:pStyle w:val="Lijstalinea"/>
              <w:spacing w:line="360" w:lineRule="auto"/>
              <w:ind w:left="0"/>
              <w:rPr>
                <w:rFonts w:cs="Arial" w:asciiTheme="minorHAnsi" w:hAnsiTheme="minorHAnsi"/>
                <w:b/>
                <w:sz w:val="16"/>
                <w:szCs w:val="16"/>
              </w:rPr>
            </w:pPr>
            <w:r w:rsidRPr="0058381E">
              <w:rPr>
                <w:rFonts w:cs="Arial" w:asciiTheme="minorHAnsi" w:hAnsiTheme="minorHAnsi"/>
                <w:b/>
                <w:sz w:val="16"/>
                <w:szCs w:val="16"/>
              </w:rPr>
              <w:t>Huidige opzet ESM</w:t>
            </w:r>
          </w:p>
        </w:tc>
        <w:tc>
          <w:tcPr>
            <w:tcW w:w="1990" w:type="dxa"/>
          </w:tcPr>
          <w:p w:rsidRPr="0058381E" w:rsidR="007A3F76" w:rsidP="00445E31" w:rsidRDefault="007A3F76">
            <w:pPr>
              <w:pStyle w:val="Lijstalinea"/>
              <w:spacing w:line="276" w:lineRule="auto"/>
              <w:ind w:left="0"/>
              <w:rPr>
                <w:rFonts w:cs="Arial" w:asciiTheme="minorHAnsi" w:hAnsiTheme="minorHAnsi"/>
                <w:sz w:val="16"/>
                <w:szCs w:val="16"/>
              </w:rPr>
            </w:pPr>
          </w:p>
          <w:p w:rsidRPr="0058381E" w:rsidR="00445E31" w:rsidP="00445E31" w:rsidRDefault="00445E31">
            <w:pPr>
              <w:pStyle w:val="Lijstalinea"/>
              <w:spacing w:line="276" w:lineRule="auto"/>
              <w:ind w:left="0"/>
              <w:rPr>
                <w:rFonts w:cs="Arial" w:asciiTheme="minorHAnsi" w:hAnsiTheme="minorHAnsi"/>
                <w:sz w:val="16"/>
                <w:szCs w:val="16"/>
              </w:rPr>
            </w:pPr>
            <w:r w:rsidRPr="0058381E">
              <w:rPr>
                <w:rFonts w:cs="Arial" w:asciiTheme="minorHAnsi" w:hAnsiTheme="minorHAnsi"/>
                <w:sz w:val="16"/>
                <w:szCs w:val="16"/>
              </w:rPr>
              <w:t>Intergouvernementeel</w:t>
            </w:r>
          </w:p>
        </w:tc>
        <w:tc>
          <w:tcPr>
            <w:tcW w:w="2244" w:type="dxa"/>
          </w:tcPr>
          <w:p w:rsidRPr="0058381E" w:rsidR="00445E31" w:rsidP="00445E31" w:rsidRDefault="00445E31">
            <w:pPr>
              <w:pStyle w:val="Lijstalinea"/>
              <w:numPr>
                <w:ilvl w:val="0"/>
                <w:numId w:val="1"/>
              </w:numPr>
              <w:spacing w:line="276" w:lineRule="auto"/>
              <w:ind w:left="170" w:hanging="170"/>
              <w:rPr>
                <w:rFonts w:cs="Arial" w:asciiTheme="minorHAnsi" w:hAnsiTheme="minorHAnsi"/>
                <w:sz w:val="16"/>
                <w:szCs w:val="16"/>
              </w:rPr>
            </w:pPr>
            <w:r w:rsidRPr="0058381E">
              <w:rPr>
                <w:rFonts w:cs="Arial" w:asciiTheme="minorHAnsi" w:hAnsiTheme="minorHAnsi"/>
                <w:sz w:val="16"/>
                <w:szCs w:val="16"/>
              </w:rPr>
              <w:t>Unanimiteit</w:t>
            </w:r>
          </w:p>
          <w:p w:rsidRPr="0058381E" w:rsidR="00445E31" w:rsidP="00445E31" w:rsidRDefault="00445E31">
            <w:pPr>
              <w:pStyle w:val="Lijstalinea"/>
              <w:numPr>
                <w:ilvl w:val="0"/>
                <w:numId w:val="1"/>
              </w:numPr>
              <w:spacing w:line="276" w:lineRule="auto"/>
              <w:ind w:left="170" w:hanging="170"/>
              <w:rPr>
                <w:rFonts w:cs="Arial" w:asciiTheme="minorHAnsi" w:hAnsiTheme="minorHAnsi"/>
                <w:sz w:val="16"/>
                <w:szCs w:val="16"/>
              </w:rPr>
            </w:pPr>
            <w:r w:rsidRPr="0058381E">
              <w:rPr>
                <w:rFonts w:cs="Arial" w:asciiTheme="minorHAnsi" w:hAnsiTheme="minorHAnsi"/>
                <w:sz w:val="16"/>
                <w:szCs w:val="16"/>
              </w:rPr>
              <w:t xml:space="preserve">Tenzij  noodprocedure </w:t>
            </w:r>
            <w:r w:rsidRPr="0058381E">
              <w:rPr>
                <w:rFonts w:cs="Arial" w:asciiTheme="minorHAnsi" w:hAnsiTheme="minorHAnsi"/>
                <w:sz w:val="16"/>
                <w:szCs w:val="16"/>
              </w:rPr>
              <w:sym w:font="Wingdings" w:char="F0E0"/>
            </w:r>
            <w:r w:rsidRPr="0058381E" w:rsidR="00D239C5">
              <w:rPr>
                <w:rFonts w:cs="Arial" w:asciiTheme="minorHAnsi" w:hAnsiTheme="minorHAnsi"/>
                <w:sz w:val="16"/>
                <w:szCs w:val="16"/>
              </w:rPr>
              <w:t xml:space="preserve"> als</w:t>
            </w:r>
            <w:r w:rsidRPr="0058381E">
              <w:rPr>
                <w:rFonts w:cs="Arial" w:asciiTheme="minorHAnsi" w:hAnsiTheme="minorHAnsi"/>
                <w:sz w:val="16"/>
                <w:szCs w:val="16"/>
              </w:rPr>
              <w:t xml:space="preserve"> de economische en financiële</w:t>
            </w:r>
            <w:r w:rsidRPr="0058381E" w:rsidR="00D239C5">
              <w:rPr>
                <w:rFonts w:cs="Arial" w:asciiTheme="minorHAnsi" w:hAnsiTheme="minorHAnsi"/>
                <w:sz w:val="16"/>
                <w:szCs w:val="16"/>
              </w:rPr>
              <w:t xml:space="preserve"> stabiliteit van de eurozone </w:t>
            </w:r>
            <w:r w:rsidRPr="0058381E">
              <w:rPr>
                <w:rFonts w:cs="Arial" w:asciiTheme="minorHAnsi" w:hAnsiTheme="minorHAnsi"/>
                <w:sz w:val="16"/>
                <w:szCs w:val="16"/>
              </w:rPr>
              <w:t>volgens Commissie en de ECB in het geding</w:t>
            </w:r>
            <w:r w:rsidRPr="0058381E" w:rsidR="00D239C5">
              <w:rPr>
                <w:rFonts w:cs="Arial" w:asciiTheme="minorHAnsi" w:hAnsiTheme="minorHAnsi"/>
                <w:sz w:val="16"/>
                <w:szCs w:val="16"/>
              </w:rPr>
              <w:t xml:space="preserve"> is</w:t>
            </w:r>
            <w:r w:rsidRPr="0058381E">
              <w:rPr>
                <w:rFonts w:cs="Arial" w:asciiTheme="minorHAnsi" w:hAnsiTheme="minorHAnsi"/>
                <w:sz w:val="16"/>
                <w:szCs w:val="16"/>
              </w:rPr>
              <w:t xml:space="preserve"> </w:t>
            </w:r>
            <w:r w:rsidRPr="0058381E">
              <w:rPr>
                <w:rFonts w:cs="Arial" w:asciiTheme="minorHAnsi" w:hAnsiTheme="minorHAnsi"/>
                <w:sz w:val="16"/>
                <w:szCs w:val="16"/>
              </w:rPr>
              <w:sym w:font="Wingdings" w:char="F0E0"/>
            </w:r>
            <w:r w:rsidRPr="0058381E">
              <w:rPr>
                <w:rFonts w:cs="Arial" w:asciiTheme="minorHAnsi" w:hAnsiTheme="minorHAnsi"/>
                <w:sz w:val="16"/>
                <w:szCs w:val="16"/>
              </w:rPr>
              <w:t xml:space="preserve"> 85% van de stemmen </w:t>
            </w:r>
          </w:p>
          <w:p w:rsidRPr="0058381E" w:rsidR="00445E31" w:rsidP="00445E31" w:rsidRDefault="00445E31">
            <w:pPr>
              <w:pStyle w:val="Lijstalinea"/>
              <w:spacing w:line="276" w:lineRule="auto"/>
              <w:ind w:left="0"/>
              <w:rPr>
                <w:rFonts w:cs="Arial" w:asciiTheme="minorHAnsi" w:hAnsiTheme="minorHAnsi"/>
                <w:sz w:val="16"/>
                <w:szCs w:val="16"/>
              </w:rPr>
            </w:pPr>
          </w:p>
        </w:tc>
        <w:tc>
          <w:tcPr>
            <w:tcW w:w="3426" w:type="dxa"/>
          </w:tcPr>
          <w:p w:rsidRPr="0058381E" w:rsidR="00445E31" w:rsidP="00445E31" w:rsidRDefault="00C0468B">
            <w:pPr>
              <w:pStyle w:val="Lijstalinea"/>
              <w:spacing w:line="276" w:lineRule="auto"/>
              <w:ind w:left="0"/>
              <w:rPr>
                <w:rFonts w:cs="Arial" w:asciiTheme="minorHAnsi" w:hAnsiTheme="minorHAnsi"/>
                <w:sz w:val="16"/>
                <w:szCs w:val="16"/>
              </w:rPr>
            </w:pPr>
            <w:r w:rsidRPr="0058381E">
              <w:rPr>
                <w:rFonts w:cs="Arial" w:asciiTheme="minorHAnsi" w:hAnsiTheme="minorHAnsi"/>
                <w:sz w:val="16"/>
                <w:szCs w:val="16"/>
              </w:rPr>
              <w:t xml:space="preserve">Kunnen worden toegevoegd </w:t>
            </w:r>
            <w:r w:rsidRPr="0058381E" w:rsidR="001D553D">
              <w:rPr>
                <w:rFonts w:cs="Arial" w:asciiTheme="minorHAnsi" w:hAnsiTheme="minorHAnsi"/>
                <w:sz w:val="16"/>
                <w:szCs w:val="16"/>
              </w:rPr>
              <w:t xml:space="preserve">op basis van unanimiteit. </w:t>
            </w:r>
          </w:p>
        </w:tc>
        <w:tc>
          <w:tcPr>
            <w:tcW w:w="3544" w:type="dxa"/>
          </w:tcPr>
          <w:p w:rsidRPr="0058381E" w:rsidR="00445E31" w:rsidP="00445E31" w:rsidRDefault="00445E31">
            <w:pPr>
              <w:pStyle w:val="Lijstalinea"/>
              <w:numPr>
                <w:ilvl w:val="0"/>
                <w:numId w:val="1"/>
              </w:numPr>
              <w:spacing w:line="276" w:lineRule="auto"/>
              <w:ind w:left="142" w:hanging="142"/>
              <w:rPr>
                <w:rFonts w:cs="Arial" w:asciiTheme="minorHAnsi" w:hAnsiTheme="minorHAnsi"/>
                <w:sz w:val="16"/>
                <w:szCs w:val="16"/>
              </w:rPr>
            </w:pPr>
            <w:r w:rsidRPr="0058381E">
              <w:rPr>
                <w:rFonts w:cs="Arial" w:asciiTheme="minorHAnsi" w:hAnsiTheme="minorHAnsi"/>
                <w:sz w:val="16"/>
                <w:szCs w:val="16"/>
              </w:rPr>
              <w:t>Het ESM is in de huidige opzet enkel verantwoordelijk voor financiering.</w:t>
            </w:r>
          </w:p>
          <w:p w:rsidRPr="0058381E" w:rsidR="00445E31" w:rsidP="00445E31" w:rsidRDefault="00445E31">
            <w:pPr>
              <w:pStyle w:val="Lijstalinea"/>
              <w:numPr>
                <w:ilvl w:val="0"/>
                <w:numId w:val="1"/>
              </w:numPr>
              <w:spacing w:line="276" w:lineRule="auto"/>
              <w:ind w:left="142" w:hanging="142"/>
              <w:rPr>
                <w:rFonts w:cs="Arial" w:asciiTheme="minorHAnsi" w:hAnsiTheme="minorHAnsi"/>
                <w:sz w:val="16"/>
                <w:szCs w:val="16"/>
              </w:rPr>
            </w:pPr>
            <w:r w:rsidRPr="0058381E">
              <w:rPr>
                <w:rFonts w:cs="Arial" w:asciiTheme="minorHAnsi" w:hAnsiTheme="minorHAnsi"/>
                <w:sz w:val="16"/>
                <w:szCs w:val="16"/>
              </w:rPr>
              <w:t xml:space="preserve">Commissie en de ECB (+ evt. IMF) in de leiding bij uitvoeren DSA, uitonderhandelen MoU en het monitoren van voorwaarden.  </w:t>
            </w:r>
          </w:p>
        </w:tc>
        <w:tc>
          <w:tcPr>
            <w:tcW w:w="2652" w:type="dxa"/>
          </w:tcPr>
          <w:p w:rsidRPr="0058381E" w:rsidR="00445E31" w:rsidP="00445E31" w:rsidRDefault="00445E31">
            <w:pPr>
              <w:pStyle w:val="Lijstalinea"/>
              <w:spacing w:line="276" w:lineRule="auto"/>
              <w:ind w:left="0"/>
              <w:rPr>
                <w:rFonts w:cs="Arial" w:asciiTheme="minorHAnsi" w:hAnsiTheme="minorHAnsi"/>
                <w:sz w:val="16"/>
                <w:szCs w:val="16"/>
              </w:rPr>
            </w:pPr>
            <w:r w:rsidRPr="0058381E">
              <w:rPr>
                <w:rFonts w:cs="Arial" w:asciiTheme="minorHAnsi" w:hAnsiTheme="minorHAnsi"/>
                <w:sz w:val="16"/>
                <w:szCs w:val="16"/>
              </w:rPr>
              <w:t>Enkel haakje in de preambule naar deelname van de private sector</w:t>
            </w:r>
          </w:p>
        </w:tc>
      </w:tr>
      <w:tr w:rsidRPr="0058381E" w:rsidR="0058381E" w:rsidTr="0058381E">
        <w:trPr>
          <w:trHeight w:val="146"/>
          <w:jc w:val="center"/>
        </w:trPr>
        <w:tc>
          <w:tcPr>
            <w:tcW w:w="2111" w:type="dxa"/>
            <w:shd w:val="clear" w:color="auto" w:fill="DDD9C3" w:themeFill="background2" w:themeFillShade="E6"/>
            <w:vAlign w:val="center"/>
          </w:tcPr>
          <w:p w:rsidRPr="0058381E" w:rsidR="00445E31" w:rsidP="001D553D" w:rsidRDefault="00445E31">
            <w:pPr>
              <w:pStyle w:val="Lijstalinea"/>
              <w:spacing w:line="360" w:lineRule="auto"/>
              <w:ind w:left="0"/>
              <w:rPr>
                <w:rFonts w:cs="Arial" w:asciiTheme="minorHAnsi" w:hAnsiTheme="minorHAnsi"/>
                <w:b/>
                <w:sz w:val="16"/>
                <w:szCs w:val="16"/>
              </w:rPr>
            </w:pPr>
            <w:r w:rsidRPr="0058381E">
              <w:rPr>
                <w:rFonts w:cs="Arial" w:asciiTheme="minorHAnsi" w:hAnsiTheme="minorHAnsi"/>
                <w:b/>
                <w:sz w:val="16"/>
                <w:szCs w:val="16"/>
              </w:rPr>
              <w:t>Voorstel Commissie</w:t>
            </w:r>
          </w:p>
        </w:tc>
        <w:tc>
          <w:tcPr>
            <w:tcW w:w="1990" w:type="dxa"/>
          </w:tcPr>
          <w:p w:rsidRPr="0058381E" w:rsidR="007A3F76" w:rsidP="00445E31" w:rsidRDefault="007A3F76">
            <w:pPr>
              <w:pStyle w:val="Lijstalinea"/>
              <w:spacing w:line="276" w:lineRule="auto"/>
              <w:ind w:left="0"/>
              <w:rPr>
                <w:rFonts w:cs="Arial" w:asciiTheme="minorHAnsi" w:hAnsiTheme="minorHAnsi"/>
                <w:sz w:val="16"/>
                <w:szCs w:val="16"/>
              </w:rPr>
            </w:pPr>
          </w:p>
          <w:p w:rsidRPr="0058381E" w:rsidR="00445E31" w:rsidP="00445E31" w:rsidRDefault="00445E31">
            <w:pPr>
              <w:pStyle w:val="Lijstalinea"/>
              <w:spacing w:line="276" w:lineRule="auto"/>
              <w:ind w:left="0"/>
              <w:rPr>
                <w:rFonts w:cs="Arial" w:asciiTheme="minorHAnsi" w:hAnsiTheme="minorHAnsi"/>
                <w:sz w:val="16"/>
                <w:szCs w:val="16"/>
              </w:rPr>
            </w:pPr>
            <w:r w:rsidRPr="0058381E">
              <w:rPr>
                <w:rFonts w:cs="Arial" w:asciiTheme="minorHAnsi" w:hAnsiTheme="minorHAnsi"/>
                <w:sz w:val="16"/>
                <w:szCs w:val="16"/>
              </w:rPr>
              <w:t>Communautair</w:t>
            </w:r>
          </w:p>
        </w:tc>
        <w:tc>
          <w:tcPr>
            <w:tcW w:w="2244" w:type="dxa"/>
          </w:tcPr>
          <w:p w:rsidRPr="0058381E" w:rsidR="007A3F76" w:rsidP="007A3F76" w:rsidRDefault="000360C2">
            <w:pPr>
              <w:pStyle w:val="Lijstalinea"/>
              <w:numPr>
                <w:ilvl w:val="0"/>
                <w:numId w:val="1"/>
              </w:numPr>
              <w:spacing w:line="276" w:lineRule="auto"/>
              <w:ind w:left="170" w:hanging="170"/>
              <w:rPr>
                <w:rFonts w:cs="Arial" w:asciiTheme="minorHAnsi" w:hAnsiTheme="minorHAnsi"/>
                <w:sz w:val="16"/>
                <w:szCs w:val="16"/>
              </w:rPr>
            </w:pPr>
            <w:r w:rsidRPr="0058381E">
              <w:rPr>
                <w:rFonts w:cs="Arial" w:asciiTheme="minorHAnsi" w:hAnsiTheme="minorHAnsi"/>
                <w:sz w:val="16"/>
                <w:szCs w:val="16"/>
              </w:rPr>
              <w:t xml:space="preserve">Versterkte </w:t>
            </w:r>
            <w:r w:rsidRPr="0058381E" w:rsidR="00445E31">
              <w:rPr>
                <w:rFonts w:cs="Arial" w:asciiTheme="minorHAnsi" w:hAnsiTheme="minorHAnsi"/>
                <w:sz w:val="16"/>
                <w:szCs w:val="16"/>
              </w:rPr>
              <w:t xml:space="preserve">QMV </w:t>
            </w:r>
            <w:r w:rsidRPr="0058381E" w:rsidR="00445E31">
              <w:rPr>
                <w:rFonts w:cs="Arial" w:asciiTheme="minorHAnsi" w:hAnsiTheme="minorHAnsi"/>
                <w:sz w:val="16"/>
                <w:szCs w:val="16"/>
              </w:rPr>
              <w:sym w:font="Wingdings" w:char="F0E0"/>
            </w:r>
            <w:r w:rsidRPr="0058381E" w:rsidR="00445E31">
              <w:rPr>
                <w:rFonts w:cs="Arial" w:asciiTheme="minorHAnsi" w:hAnsiTheme="minorHAnsi"/>
                <w:sz w:val="16"/>
                <w:szCs w:val="16"/>
              </w:rPr>
              <w:t xml:space="preserve"> 85% van de stemmen </w:t>
            </w:r>
          </w:p>
          <w:p w:rsidRPr="0058381E" w:rsidR="00445E31" w:rsidP="00AD05D8" w:rsidRDefault="00AD05D8">
            <w:pPr>
              <w:pStyle w:val="Lijstalinea"/>
              <w:numPr>
                <w:ilvl w:val="0"/>
                <w:numId w:val="1"/>
              </w:numPr>
              <w:spacing w:line="276" w:lineRule="auto"/>
              <w:ind w:left="170" w:hanging="170"/>
              <w:rPr>
                <w:rFonts w:cs="Arial" w:asciiTheme="minorHAnsi" w:hAnsiTheme="minorHAnsi"/>
                <w:sz w:val="16"/>
                <w:szCs w:val="16"/>
              </w:rPr>
            </w:pPr>
            <w:r w:rsidRPr="0058381E">
              <w:rPr>
                <w:rFonts w:cs="Arial" w:asciiTheme="minorHAnsi" w:hAnsiTheme="minorHAnsi"/>
                <w:sz w:val="16"/>
                <w:szCs w:val="16"/>
              </w:rPr>
              <w:t>Goedkeuring gebruik</w:t>
            </w:r>
            <w:r w:rsidRPr="0058381E" w:rsidR="000360C2">
              <w:rPr>
                <w:rFonts w:cs="Arial" w:asciiTheme="minorHAnsi" w:hAnsiTheme="minorHAnsi"/>
                <w:sz w:val="16"/>
                <w:szCs w:val="16"/>
              </w:rPr>
              <w:t xml:space="preserve"> kredietlijn</w:t>
            </w:r>
            <w:r w:rsidRPr="0058381E">
              <w:rPr>
                <w:rFonts w:cs="Arial" w:asciiTheme="minorHAnsi" w:hAnsiTheme="minorHAnsi"/>
                <w:sz w:val="16"/>
                <w:szCs w:val="16"/>
              </w:rPr>
              <w:t>/garanties</w:t>
            </w:r>
            <w:r w:rsidRPr="0058381E" w:rsidR="000360C2">
              <w:rPr>
                <w:rFonts w:cs="Arial" w:asciiTheme="minorHAnsi" w:hAnsiTheme="minorHAnsi"/>
                <w:sz w:val="16"/>
                <w:szCs w:val="16"/>
              </w:rPr>
              <w:t xml:space="preserve"> SRB door uitvoerend directeur.</w:t>
            </w:r>
          </w:p>
        </w:tc>
        <w:tc>
          <w:tcPr>
            <w:tcW w:w="3426" w:type="dxa"/>
          </w:tcPr>
          <w:p w:rsidRPr="0058381E" w:rsidR="00904E85" w:rsidP="00C0468B" w:rsidRDefault="00904E85">
            <w:pPr>
              <w:pStyle w:val="Lijstalinea"/>
              <w:numPr>
                <w:ilvl w:val="0"/>
                <w:numId w:val="1"/>
              </w:numPr>
              <w:spacing w:line="276" w:lineRule="auto"/>
              <w:ind w:left="142" w:hanging="142"/>
              <w:rPr>
                <w:rFonts w:cs="Arial" w:asciiTheme="minorHAnsi" w:hAnsiTheme="minorHAnsi"/>
                <w:sz w:val="16"/>
                <w:szCs w:val="16"/>
              </w:rPr>
            </w:pPr>
            <w:r w:rsidRPr="0058381E">
              <w:rPr>
                <w:rFonts w:cs="Arial" w:asciiTheme="minorHAnsi" w:hAnsiTheme="minorHAnsi"/>
                <w:sz w:val="16"/>
                <w:szCs w:val="16"/>
              </w:rPr>
              <w:t>Stelt voor om een kredietlijn of garanties aan SRB als instrument toe te voegen</w:t>
            </w:r>
            <w:r w:rsidRPr="0058381E" w:rsidR="00217538">
              <w:rPr>
                <w:rFonts w:cs="Arial" w:asciiTheme="minorHAnsi" w:hAnsiTheme="minorHAnsi"/>
                <w:sz w:val="16"/>
                <w:szCs w:val="16"/>
              </w:rPr>
              <w:t>, in 2019</w:t>
            </w:r>
            <w:r w:rsidRPr="0058381E">
              <w:rPr>
                <w:rFonts w:cs="Arial" w:asciiTheme="minorHAnsi" w:hAnsiTheme="minorHAnsi"/>
                <w:sz w:val="16"/>
                <w:szCs w:val="16"/>
              </w:rPr>
              <w:t xml:space="preserve">. </w:t>
            </w:r>
          </w:p>
          <w:p w:rsidRPr="0058381E" w:rsidR="00C0468B" w:rsidP="00C0468B" w:rsidRDefault="00904E85">
            <w:pPr>
              <w:pStyle w:val="Lijstalinea"/>
              <w:numPr>
                <w:ilvl w:val="0"/>
                <w:numId w:val="1"/>
              </w:numPr>
              <w:spacing w:line="276" w:lineRule="auto"/>
              <w:ind w:left="142" w:hanging="142"/>
              <w:rPr>
                <w:rFonts w:cs="Arial" w:asciiTheme="minorHAnsi" w:hAnsiTheme="minorHAnsi"/>
                <w:sz w:val="16"/>
                <w:szCs w:val="16"/>
              </w:rPr>
            </w:pPr>
            <w:r w:rsidRPr="0058381E">
              <w:rPr>
                <w:rFonts w:cs="Arial" w:asciiTheme="minorHAnsi" w:hAnsiTheme="minorHAnsi"/>
                <w:sz w:val="16"/>
                <w:szCs w:val="16"/>
              </w:rPr>
              <w:t xml:space="preserve">Houdt optie om </w:t>
            </w:r>
            <w:r w:rsidRPr="0058381E" w:rsidR="001D553D">
              <w:rPr>
                <w:rFonts w:cs="Arial" w:asciiTheme="minorHAnsi" w:hAnsiTheme="minorHAnsi"/>
                <w:sz w:val="16"/>
                <w:szCs w:val="16"/>
              </w:rPr>
              <w:t>later</w:t>
            </w:r>
            <w:r w:rsidRPr="0058381E">
              <w:rPr>
                <w:rFonts w:cs="Arial" w:asciiTheme="minorHAnsi" w:hAnsiTheme="minorHAnsi"/>
                <w:sz w:val="16"/>
                <w:szCs w:val="16"/>
              </w:rPr>
              <w:t xml:space="preserve"> ook andere instrumenten toe te voegen open</w:t>
            </w:r>
            <w:r w:rsidRPr="0058381E" w:rsidR="001D553D">
              <w:rPr>
                <w:rFonts w:cs="Arial" w:asciiTheme="minorHAnsi" w:hAnsiTheme="minorHAnsi"/>
                <w:sz w:val="16"/>
                <w:szCs w:val="16"/>
              </w:rPr>
              <w:t xml:space="preserve">. </w:t>
            </w:r>
            <w:r w:rsidRPr="0058381E" w:rsidR="00C0468B">
              <w:rPr>
                <w:rFonts w:cs="Arial" w:asciiTheme="minorHAnsi" w:hAnsiTheme="minorHAnsi"/>
                <w:sz w:val="16"/>
                <w:szCs w:val="16"/>
              </w:rPr>
              <w:t xml:space="preserve"> </w:t>
            </w:r>
          </w:p>
          <w:p w:rsidRPr="0058381E" w:rsidR="00445E31" w:rsidP="00C0468B" w:rsidRDefault="001D553D">
            <w:pPr>
              <w:pStyle w:val="Lijstalinea"/>
              <w:numPr>
                <w:ilvl w:val="0"/>
                <w:numId w:val="1"/>
              </w:numPr>
              <w:spacing w:line="276" w:lineRule="auto"/>
              <w:ind w:left="142" w:hanging="142"/>
              <w:rPr>
                <w:rFonts w:cs="Arial" w:asciiTheme="minorHAnsi" w:hAnsiTheme="minorHAnsi"/>
                <w:sz w:val="16"/>
                <w:szCs w:val="16"/>
              </w:rPr>
            </w:pPr>
            <w:r w:rsidRPr="0058381E">
              <w:rPr>
                <w:rFonts w:cs="Arial" w:asciiTheme="minorHAnsi" w:hAnsiTheme="minorHAnsi"/>
                <w:sz w:val="16"/>
                <w:szCs w:val="16"/>
              </w:rPr>
              <w:t>Commissie is</w:t>
            </w:r>
            <w:r w:rsidRPr="0058381E" w:rsidR="00C0468B">
              <w:rPr>
                <w:rFonts w:cs="Arial" w:asciiTheme="minorHAnsi" w:hAnsiTheme="minorHAnsi"/>
                <w:sz w:val="16"/>
                <w:szCs w:val="16"/>
              </w:rPr>
              <w:t xml:space="preserve"> een v</w:t>
            </w:r>
            <w:r w:rsidRPr="0058381E" w:rsidR="00445E31">
              <w:rPr>
                <w:rFonts w:cs="Arial" w:asciiTheme="minorHAnsi" w:hAnsiTheme="minorHAnsi"/>
                <w:sz w:val="16"/>
                <w:szCs w:val="16"/>
              </w:rPr>
              <w:t>oorstander van stabilisatiefunctie</w:t>
            </w:r>
            <w:r w:rsidRPr="0058381E" w:rsidR="00217538">
              <w:rPr>
                <w:rFonts w:cs="Arial" w:asciiTheme="minorHAnsi" w:hAnsiTheme="minorHAnsi"/>
                <w:sz w:val="16"/>
                <w:szCs w:val="16"/>
              </w:rPr>
              <w:t>.</w:t>
            </w:r>
          </w:p>
        </w:tc>
        <w:tc>
          <w:tcPr>
            <w:tcW w:w="3544" w:type="dxa"/>
          </w:tcPr>
          <w:p w:rsidRPr="0058381E" w:rsidR="00C0468B" w:rsidP="00C0468B" w:rsidRDefault="00C0468B">
            <w:pPr>
              <w:pStyle w:val="Lijstalinea"/>
              <w:numPr>
                <w:ilvl w:val="0"/>
                <w:numId w:val="1"/>
              </w:numPr>
              <w:spacing w:line="276" w:lineRule="auto"/>
              <w:ind w:left="142" w:hanging="142"/>
              <w:contextualSpacing/>
              <w:rPr>
                <w:rFonts w:cs="Arial" w:asciiTheme="minorHAnsi" w:hAnsiTheme="minorHAnsi"/>
                <w:sz w:val="16"/>
                <w:szCs w:val="16"/>
              </w:rPr>
            </w:pPr>
            <w:r w:rsidRPr="0058381E">
              <w:rPr>
                <w:rFonts w:cs="Arial" w:asciiTheme="minorHAnsi" w:hAnsiTheme="minorHAnsi"/>
                <w:sz w:val="16"/>
                <w:szCs w:val="16"/>
              </w:rPr>
              <w:t>Het EMF krijgt een rol, naast de Commissie</w:t>
            </w:r>
            <w:r w:rsidRPr="0058381E" w:rsidR="00AD05D8">
              <w:rPr>
                <w:rFonts w:cs="Arial" w:asciiTheme="minorHAnsi" w:hAnsiTheme="minorHAnsi"/>
                <w:sz w:val="16"/>
                <w:szCs w:val="16"/>
              </w:rPr>
              <w:t>,</w:t>
            </w:r>
            <w:r w:rsidRPr="0058381E">
              <w:rPr>
                <w:rFonts w:cs="Arial" w:asciiTheme="minorHAnsi" w:hAnsiTheme="minorHAnsi"/>
                <w:sz w:val="16"/>
                <w:szCs w:val="16"/>
              </w:rPr>
              <w:t xml:space="preserve"> binnen de totstandkoming programma’s </w:t>
            </w:r>
          </w:p>
          <w:p w:rsidR="00445E31" w:rsidP="007A3F76" w:rsidRDefault="00C0468B">
            <w:pPr>
              <w:pStyle w:val="Lijstalinea"/>
              <w:numPr>
                <w:ilvl w:val="0"/>
                <w:numId w:val="1"/>
              </w:numPr>
              <w:spacing w:line="276" w:lineRule="auto"/>
              <w:ind w:left="142" w:hanging="142"/>
              <w:contextualSpacing/>
              <w:rPr>
                <w:rFonts w:cs="Arial" w:asciiTheme="minorHAnsi" w:hAnsiTheme="minorHAnsi"/>
                <w:sz w:val="16"/>
                <w:szCs w:val="16"/>
              </w:rPr>
            </w:pPr>
            <w:r w:rsidRPr="0058381E">
              <w:rPr>
                <w:rFonts w:cs="Arial" w:asciiTheme="minorHAnsi" w:hAnsiTheme="minorHAnsi"/>
                <w:sz w:val="16"/>
                <w:szCs w:val="16"/>
              </w:rPr>
              <w:t xml:space="preserve">Commissie behoudt op punten (DSA en monitoren) </w:t>
            </w:r>
            <w:r w:rsidRPr="0058381E" w:rsidR="00AD05D8">
              <w:rPr>
                <w:rFonts w:cs="Arial" w:asciiTheme="minorHAnsi" w:hAnsiTheme="minorHAnsi"/>
                <w:sz w:val="16"/>
                <w:szCs w:val="16"/>
              </w:rPr>
              <w:t xml:space="preserve">exclusieve </w:t>
            </w:r>
            <w:r w:rsidRPr="0058381E" w:rsidR="007A3F76">
              <w:rPr>
                <w:rFonts w:cs="Arial" w:asciiTheme="minorHAnsi" w:hAnsiTheme="minorHAnsi"/>
                <w:sz w:val="16"/>
                <w:szCs w:val="16"/>
              </w:rPr>
              <w:t>verantwoordelijkheid</w:t>
            </w:r>
            <w:r w:rsidR="0026160C">
              <w:rPr>
                <w:rFonts w:cs="Arial" w:asciiTheme="minorHAnsi" w:hAnsiTheme="minorHAnsi"/>
                <w:sz w:val="16"/>
                <w:szCs w:val="16"/>
              </w:rPr>
              <w:t>.</w:t>
            </w:r>
          </w:p>
          <w:p w:rsidRPr="0058381E" w:rsidR="0026160C" w:rsidP="007A3F76" w:rsidRDefault="0026160C">
            <w:pPr>
              <w:pStyle w:val="Lijstalinea"/>
              <w:numPr>
                <w:ilvl w:val="0"/>
                <w:numId w:val="1"/>
              </w:numPr>
              <w:spacing w:line="276" w:lineRule="auto"/>
              <w:ind w:left="142" w:hanging="142"/>
              <w:contextualSpacing/>
              <w:rPr>
                <w:rFonts w:cs="Arial" w:asciiTheme="minorHAnsi" w:hAnsiTheme="minorHAnsi"/>
                <w:sz w:val="16"/>
                <w:szCs w:val="16"/>
              </w:rPr>
            </w:pPr>
            <w:r>
              <w:rPr>
                <w:rFonts w:cs="Arial" w:asciiTheme="minorHAnsi" w:hAnsiTheme="minorHAnsi"/>
                <w:sz w:val="16"/>
                <w:szCs w:val="16"/>
              </w:rPr>
              <w:t xml:space="preserve">Geen rol voorzien voor het IMF. </w:t>
            </w:r>
          </w:p>
        </w:tc>
        <w:tc>
          <w:tcPr>
            <w:tcW w:w="2652" w:type="dxa"/>
          </w:tcPr>
          <w:p w:rsidRPr="0058381E" w:rsidR="00445E31" w:rsidP="00445E31" w:rsidRDefault="00445E31">
            <w:pPr>
              <w:pStyle w:val="Lijstalinea"/>
              <w:spacing w:line="276" w:lineRule="auto"/>
              <w:ind w:left="0"/>
              <w:rPr>
                <w:rFonts w:cs="Arial" w:asciiTheme="minorHAnsi" w:hAnsiTheme="minorHAnsi"/>
                <w:sz w:val="16"/>
                <w:szCs w:val="16"/>
              </w:rPr>
            </w:pPr>
            <w:r w:rsidRPr="0058381E">
              <w:rPr>
                <w:rFonts w:cs="Arial" w:asciiTheme="minorHAnsi" w:hAnsiTheme="minorHAnsi"/>
                <w:sz w:val="16"/>
                <w:szCs w:val="16"/>
              </w:rPr>
              <w:t>n.v.t.</w:t>
            </w:r>
          </w:p>
        </w:tc>
      </w:tr>
      <w:tr w:rsidRPr="0058381E" w:rsidR="0058381E" w:rsidTr="0058381E">
        <w:trPr>
          <w:trHeight w:val="631"/>
          <w:jc w:val="center"/>
        </w:trPr>
        <w:tc>
          <w:tcPr>
            <w:tcW w:w="2111" w:type="dxa"/>
            <w:shd w:val="clear" w:color="auto" w:fill="DDD9C3" w:themeFill="background2" w:themeFillShade="E6"/>
            <w:vAlign w:val="center"/>
          </w:tcPr>
          <w:p w:rsidRPr="0058381E" w:rsidR="00445E31" w:rsidP="001D553D" w:rsidRDefault="00445E31">
            <w:pPr>
              <w:pStyle w:val="Lijstalinea"/>
              <w:spacing w:line="360" w:lineRule="auto"/>
              <w:ind w:left="0"/>
              <w:rPr>
                <w:rFonts w:cs="Arial" w:asciiTheme="minorHAnsi" w:hAnsiTheme="minorHAnsi"/>
                <w:b/>
                <w:sz w:val="16"/>
                <w:szCs w:val="16"/>
              </w:rPr>
            </w:pPr>
          </w:p>
          <w:p w:rsidRPr="0058381E" w:rsidR="00445E31" w:rsidP="001D553D" w:rsidRDefault="00445E31">
            <w:pPr>
              <w:pStyle w:val="Lijstalinea"/>
              <w:spacing w:line="360" w:lineRule="auto"/>
              <w:ind w:left="0"/>
              <w:rPr>
                <w:rFonts w:cs="Arial" w:asciiTheme="minorHAnsi" w:hAnsiTheme="minorHAnsi"/>
                <w:b/>
                <w:sz w:val="16"/>
                <w:szCs w:val="16"/>
              </w:rPr>
            </w:pPr>
            <w:r w:rsidRPr="0058381E">
              <w:rPr>
                <w:rFonts w:cs="Arial" w:asciiTheme="minorHAnsi" w:hAnsiTheme="minorHAnsi"/>
                <w:b/>
                <w:sz w:val="16"/>
                <w:szCs w:val="16"/>
              </w:rPr>
              <w:t>Inzet Nederland</w:t>
            </w:r>
          </w:p>
        </w:tc>
        <w:tc>
          <w:tcPr>
            <w:tcW w:w="1990" w:type="dxa"/>
          </w:tcPr>
          <w:p w:rsidRPr="0058381E" w:rsidR="007A3F76" w:rsidP="00445E31" w:rsidRDefault="007A3F76">
            <w:pPr>
              <w:pStyle w:val="Lijstalinea"/>
              <w:spacing w:line="276" w:lineRule="auto"/>
              <w:ind w:left="0"/>
              <w:rPr>
                <w:rFonts w:cs="Arial" w:asciiTheme="minorHAnsi" w:hAnsiTheme="minorHAnsi"/>
                <w:sz w:val="16"/>
                <w:szCs w:val="16"/>
              </w:rPr>
            </w:pPr>
          </w:p>
          <w:p w:rsidRPr="0058381E" w:rsidR="00445E31" w:rsidP="00445E31" w:rsidRDefault="00445E31">
            <w:pPr>
              <w:pStyle w:val="Lijstalinea"/>
              <w:spacing w:line="276" w:lineRule="auto"/>
              <w:ind w:left="0"/>
              <w:rPr>
                <w:rFonts w:cs="Arial" w:asciiTheme="minorHAnsi" w:hAnsiTheme="minorHAnsi"/>
                <w:sz w:val="16"/>
                <w:szCs w:val="16"/>
              </w:rPr>
            </w:pPr>
            <w:r w:rsidRPr="0058381E">
              <w:rPr>
                <w:rFonts w:cs="Arial" w:asciiTheme="minorHAnsi" w:hAnsiTheme="minorHAnsi"/>
                <w:sz w:val="16"/>
                <w:szCs w:val="16"/>
              </w:rPr>
              <w:t>Intergouvernementeel</w:t>
            </w:r>
          </w:p>
        </w:tc>
        <w:tc>
          <w:tcPr>
            <w:tcW w:w="2244" w:type="dxa"/>
          </w:tcPr>
          <w:p w:rsidRPr="0058381E" w:rsidR="00C0468B" w:rsidP="007A3F76" w:rsidRDefault="00C0468B">
            <w:pPr>
              <w:pStyle w:val="Lijstalinea"/>
              <w:numPr>
                <w:ilvl w:val="0"/>
                <w:numId w:val="1"/>
              </w:numPr>
              <w:spacing w:line="276" w:lineRule="auto"/>
              <w:ind w:left="170" w:hanging="170"/>
              <w:rPr>
                <w:rFonts w:cs="Arial" w:asciiTheme="minorHAnsi" w:hAnsiTheme="minorHAnsi"/>
                <w:sz w:val="16"/>
                <w:szCs w:val="16"/>
              </w:rPr>
            </w:pPr>
            <w:r w:rsidRPr="0058381E">
              <w:rPr>
                <w:rFonts w:cs="Arial" w:asciiTheme="minorHAnsi" w:hAnsiTheme="minorHAnsi"/>
                <w:sz w:val="16"/>
                <w:szCs w:val="16"/>
              </w:rPr>
              <w:t>Behoud bestaande besluitvormingsproce</w:t>
            </w:r>
            <w:r w:rsidRPr="0058381E" w:rsidR="00217538">
              <w:rPr>
                <w:rFonts w:cs="Arial" w:asciiTheme="minorHAnsi" w:hAnsiTheme="minorHAnsi"/>
                <w:sz w:val="16"/>
                <w:szCs w:val="16"/>
              </w:rPr>
              <w:t>-</w:t>
            </w:r>
            <w:r w:rsidRPr="0058381E">
              <w:rPr>
                <w:rFonts w:cs="Arial" w:asciiTheme="minorHAnsi" w:hAnsiTheme="minorHAnsi"/>
                <w:sz w:val="16"/>
                <w:szCs w:val="16"/>
              </w:rPr>
              <w:t xml:space="preserve">dure = unanimiteit, tenzij noodprocedure. </w:t>
            </w:r>
          </w:p>
          <w:p w:rsidRPr="0058381E" w:rsidR="00DA52A1" w:rsidP="00DA52A1" w:rsidRDefault="00AD05D8">
            <w:pPr>
              <w:pStyle w:val="Lijstalinea"/>
              <w:numPr>
                <w:ilvl w:val="0"/>
                <w:numId w:val="1"/>
              </w:numPr>
              <w:spacing w:line="276" w:lineRule="auto"/>
              <w:ind w:left="170" w:hanging="170"/>
              <w:rPr>
                <w:rFonts w:cs="Arial" w:asciiTheme="minorHAnsi" w:hAnsiTheme="minorHAnsi"/>
                <w:sz w:val="16"/>
                <w:szCs w:val="16"/>
              </w:rPr>
            </w:pPr>
            <w:r w:rsidRPr="0058381E">
              <w:rPr>
                <w:rFonts w:cs="Arial" w:asciiTheme="minorHAnsi" w:hAnsiTheme="minorHAnsi"/>
                <w:sz w:val="16"/>
                <w:szCs w:val="16"/>
              </w:rPr>
              <w:t xml:space="preserve">Goedkeuring gebruik </w:t>
            </w:r>
            <w:r w:rsidRPr="0058381E" w:rsidR="00217538">
              <w:rPr>
                <w:rFonts w:cs="Arial" w:asciiTheme="minorHAnsi" w:hAnsiTheme="minorHAnsi"/>
                <w:sz w:val="16"/>
                <w:szCs w:val="16"/>
              </w:rPr>
              <w:t>van eventueel in te stellen</w:t>
            </w:r>
            <w:r w:rsidRPr="0058381E" w:rsidR="00DA52A1">
              <w:rPr>
                <w:rFonts w:cs="Arial" w:asciiTheme="minorHAnsi" w:hAnsiTheme="minorHAnsi"/>
                <w:sz w:val="16"/>
                <w:szCs w:val="16"/>
              </w:rPr>
              <w:t xml:space="preserve"> kredietlijn SRB unaniem in Raad van</w:t>
            </w:r>
            <w:r w:rsidRPr="0058381E" w:rsidR="007C2E3E">
              <w:rPr>
                <w:rFonts w:cs="Arial" w:asciiTheme="minorHAnsi" w:hAnsiTheme="minorHAnsi"/>
                <w:sz w:val="16"/>
                <w:szCs w:val="16"/>
              </w:rPr>
              <w:t xml:space="preserve"> bewind</w:t>
            </w:r>
            <w:r w:rsidRPr="0058381E" w:rsidR="00DA52A1">
              <w:rPr>
                <w:rFonts w:cs="Arial"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3426" w:type="dxa"/>
          </w:tcPr>
          <w:p w:rsidRPr="0058381E" w:rsidR="00445E31" w:rsidP="00904E85" w:rsidRDefault="00904E85">
            <w:pPr>
              <w:pStyle w:val="Lijstalinea"/>
              <w:numPr>
                <w:ilvl w:val="0"/>
                <w:numId w:val="1"/>
              </w:numPr>
              <w:spacing w:line="276" w:lineRule="auto"/>
              <w:ind w:left="142" w:hanging="142"/>
              <w:rPr>
                <w:rFonts w:cs="Arial" w:asciiTheme="minorHAnsi" w:hAnsiTheme="minorHAnsi"/>
                <w:sz w:val="16"/>
                <w:szCs w:val="16"/>
              </w:rPr>
            </w:pPr>
            <w:r w:rsidRPr="0058381E">
              <w:rPr>
                <w:rFonts w:cs="Arial" w:asciiTheme="minorHAnsi" w:hAnsiTheme="minorHAnsi"/>
                <w:sz w:val="16"/>
                <w:szCs w:val="16"/>
              </w:rPr>
              <w:t>Staat open</w:t>
            </w:r>
            <w:r w:rsidRPr="0058381E" w:rsidR="007A3F76">
              <w:rPr>
                <w:rFonts w:cs="Arial" w:asciiTheme="minorHAnsi" w:hAnsiTheme="minorHAnsi"/>
                <w:sz w:val="16"/>
                <w:szCs w:val="16"/>
              </w:rPr>
              <w:t xml:space="preserve"> </w:t>
            </w:r>
            <w:r w:rsidRPr="0058381E">
              <w:rPr>
                <w:rFonts w:cs="Arial" w:asciiTheme="minorHAnsi" w:hAnsiTheme="minorHAnsi"/>
                <w:sz w:val="16"/>
                <w:szCs w:val="16"/>
              </w:rPr>
              <w:t xml:space="preserve">voor kredietlijn of garanties van </w:t>
            </w:r>
            <w:r w:rsidRPr="0058381E" w:rsidR="000360C2">
              <w:rPr>
                <w:rFonts w:cs="Arial" w:asciiTheme="minorHAnsi" w:hAnsiTheme="minorHAnsi"/>
                <w:sz w:val="16"/>
                <w:szCs w:val="16"/>
              </w:rPr>
              <w:t>ESM/</w:t>
            </w:r>
            <w:r w:rsidRPr="0058381E">
              <w:rPr>
                <w:rFonts w:cs="Arial" w:asciiTheme="minorHAnsi" w:hAnsiTheme="minorHAnsi"/>
                <w:sz w:val="16"/>
                <w:szCs w:val="16"/>
              </w:rPr>
              <w:t>E</w:t>
            </w:r>
            <w:r w:rsidRPr="0058381E" w:rsidR="00EB155C">
              <w:rPr>
                <w:rFonts w:cs="Arial" w:asciiTheme="minorHAnsi" w:hAnsiTheme="minorHAnsi"/>
                <w:sz w:val="16"/>
                <w:szCs w:val="16"/>
              </w:rPr>
              <w:t>MF</w:t>
            </w:r>
            <w:r w:rsidRPr="0058381E">
              <w:rPr>
                <w:rFonts w:cs="Arial" w:asciiTheme="minorHAnsi" w:hAnsiTheme="minorHAnsi"/>
                <w:sz w:val="16"/>
                <w:szCs w:val="16"/>
              </w:rPr>
              <w:t xml:space="preserve"> aan SRB, als dit de beste manier blijkt te zijn om de gemeenschappelijke achter</w:t>
            </w:r>
            <w:r w:rsidRPr="0058381E" w:rsidR="007A3F76">
              <w:rPr>
                <w:rFonts w:cs="Arial" w:asciiTheme="minorHAnsi" w:hAnsiTheme="minorHAnsi"/>
                <w:sz w:val="16"/>
                <w:szCs w:val="16"/>
              </w:rPr>
              <w:t>vang voor het SRF in te richten</w:t>
            </w:r>
            <w:r w:rsidRPr="0058381E" w:rsidR="00217538">
              <w:rPr>
                <w:rFonts w:cs="Arial" w:asciiTheme="minorHAnsi" w:hAnsiTheme="minorHAnsi"/>
                <w:sz w:val="16"/>
                <w:szCs w:val="16"/>
              </w:rPr>
              <w:t xml:space="preserve">. Opties worden momenteel nog verkend in ambtelijke werkgroep. Eerdere </w:t>
            </w:r>
            <w:r w:rsidR="00DD4EEB">
              <w:rPr>
                <w:rFonts w:cs="Arial" w:asciiTheme="minorHAnsi" w:hAnsiTheme="minorHAnsi"/>
                <w:sz w:val="16"/>
                <w:szCs w:val="16"/>
              </w:rPr>
              <w:t>inwerkingstelling</w:t>
            </w:r>
            <w:r w:rsidRPr="0058381E" w:rsidR="00DD4EEB">
              <w:rPr>
                <w:rFonts w:cs="Arial" w:asciiTheme="minorHAnsi" w:hAnsiTheme="minorHAnsi"/>
                <w:sz w:val="16"/>
                <w:szCs w:val="16"/>
              </w:rPr>
              <w:t xml:space="preserve"> </w:t>
            </w:r>
            <w:r w:rsidRPr="0058381E" w:rsidR="000E1EF5">
              <w:rPr>
                <w:rFonts w:cs="Arial" w:asciiTheme="minorHAnsi" w:hAnsiTheme="minorHAnsi"/>
                <w:sz w:val="16"/>
                <w:szCs w:val="16"/>
              </w:rPr>
              <w:t>dan eind</w:t>
            </w:r>
            <w:r w:rsidRPr="0058381E" w:rsidR="00217538">
              <w:rPr>
                <w:rFonts w:cs="Arial" w:asciiTheme="minorHAnsi" w:hAnsiTheme="minorHAnsi"/>
                <w:sz w:val="16"/>
                <w:szCs w:val="16"/>
              </w:rPr>
              <w:t xml:space="preserve"> 2023 alleen na risicoreductie</w:t>
            </w:r>
            <w:r w:rsidR="002A1464">
              <w:rPr>
                <w:rFonts w:cs="Arial" w:asciiTheme="minorHAnsi" w:hAnsiTheme="minorHAnsi"/>
                <w:sz w:val="16"/>
                <w:szCs w:val="16"/>
              </w:rPr>
              <w:t xml:space="preserve"> conform afspraken </w:t>
            </w:r>
            <w:r w:rsidR="0026160C">
              <w:rPr>
                <w:rFonts w:cs="Arial" w:asciiTheme="minorHAnsi" w:hAnsiTheme="minorHAnsi"/>
                <w:sz w:val="16"/>
                <w:szCs w:val="16"/>
              </w:rPr>
              <w:t xml:space="preserve">uit de </w:t>
            </w:r>
            <w:r w:rsidR="002A1464">
              <w:rPr>
                <w:rFonts w:cs="Arial" w:asciiTheme="minorHAnsi" w:hAnsiTheme="minorHAnsi"/>
                <w:sz w:val="16"/>
                <w:szCs w:val="16"/>
              </w:rPr>
              <w:t xml:space="preserve">routekaart </w:t>
            </w:r>
            <w:r w:rsidR="0026160C">
              <w:rPr>
                <w:rFonts w:cs="Arial" w:asciiTheme="minorHAnsi" w:hAnsiTheme="minorHAnsi"/>
                <w:sz w:val="16"/>
                <w:szCs w:val="16"/>
              </w:rPr>
              <w:t>die de Raad is overeengekomen in</w:t>
            </w:r>
            <w:r w:rsidR="002A1464">
              <w:rPr>
                <w:rFonts w:cs="Arial" w:asciiTheme="minorHAnsi" w:hAnsiTheme="minorHAnsi"/>
                <w:sz w:val="16"/>
                <w:szCs w:val="16"/>
              </w:rPr>
              <w:t xml:space="preserve"> 2016</w:t>
            </w:r>
            <w:r w:rsidRPr="0058381E" w:rsidR="00217538">
              <w:rPr>
                <w:rFonts w:cs="Arial" w:asciiTheme="minorHAnsi" w:hAnsiTheme="minorHAnsi"/>
                <w:sz w:val="16"/>
                <w:szCs w:val="16"/>
              </w:rPr>
              <w:t>.</w:t>
            </w:r>
          </w:p>
          <w:p w:rsidRPr="0058381E" w:rsidR="00932D6A" w:rsidP="00904E85" w:rsidRDefault="00932D6A">
            <w:pPr>
              <w:pStyle w:val="Lijstalinea"/>
              <w:numPr>
                <w:ilvl w:val="0"/>
                <w:numId w:val="1"/>
              </w:numPr>
              <w:spacing w:line="276" w:lineRule="auto"/>
              <w:ind w:left="142" w:hanging="142"/>
              <w:rPr>
                <w:rFonts w:cs="Arial" w:asciiTheme="minorHAnsi" w:hAnsiTheme="minorHAnsi"/>
                <w:sz w:val="16"/>
                <w:szCs w:val="16"/>
              </w:rPr>
            </w:pPr>
            <w:r w:rsidRPr="0058381E">
              <w:rPr>
                <w:rFonts w:cs="Arial" w:asciiTheme="minorHAnsi" w:hAnsiTheme="minorHAnsi"/>
                <w:sz w:val="16"/>
                <w:szCs w:val="16"/>
              </w:rPr>
              <w:t xml:space="preserve">Geen voorstander van een stabilisatiefunctie. </w:t>
            </w:r>
          </w:p>
        </w:tc>
        <w:tc>
          <w:tcPr>
            <w:tcW w:w="3544" w:type="dxa"/>
          </w:tcPr>
          <w:p w:rsidRPr="0058381E" w:rsidR="00DF3F97" w:rsidP="00DF3F97" w:rsidRDefault="00C0468B">
            <w:pPr>
              <w:pStyle w:val="Lijstalinea"/>
              <w:numPr>
                <w:ilvl w:val="0"/>
                <w:numId w:val="1"/>
              </w:numPr>
              <w:spacing w:line="276" w:lineRule="auto"/>
              <w:ind w:left="142" w:hanging="142"/>
              <w:contextualSpacing/>
              <w:rPr>
                <w:rFonts w:cs="Arial" w:asciiTheme="minorHAnsi" w:hAnsiTheme="minorHAnsi"/>
                <w:b/>
                <w:sz w:val="16"/>
                <w:szCs w:val="16"/>
              </w:rPr>
            </w:pPr>
            <w:r w:rsidRPr="0058381E">
              <w:rPr>
                <w:rFonts w:cs="Arial" w:asciiTheme="minorHAnsi" w:hAnsiTheme="minorHAnsi"/>
                <w:sz w:val="16"/>
                <w:szCs w:val="16"/>
              </w:rPr>
              <w:t>Het EMF krijgt een meer zelfstandige rol bij de totstandkoming programma’s (DSA, uitonderhandelen MoU en monitoren)</w:t>
            </w:r>
            <w:r w:rsidRPr="0058381E" w:rsidR="007A3F76">
              <w:rPr>
                <w:rFonts w:cs="Arial" w:asciiTheme="minorHAnsi" w:hAnsiTheme="minorHAnsi"/>
                <w:sz w:val="16"/>
                <w:szCs w:val="16"/>
              </w:rPr>
              <w:t>.</w:t>
            </w:r>
          </w:p>
          <w:p w:rsidRPr="0058381E" w:rsidR="00DF3F97" w:rsidP="00DF3F97" w:rsidRDefault="00DF3F97">
            <w:pPr>
              <w:pStyle w:val="Lijstalinea"/>
              <w:numPr>
                <w:ilvl w:val="0"/>
                <w:numId w:val="1"/>
              </w:numPr>
              <w:spacing w:line="276" w:lineRule="auto"/>
              <w:ind w:left="142" w:hanging="142"/>
              <w:contextualSpacing/>
              <w:rPr>
                <w:rFonts w:cs="Arial" w:asciiTheme="minorHAnsi" w:hAnsiTheme="minorHAnsi"/>
                <w:b/>
                <w:sz w:val="16"/>
                <w:szCs w:val="16"/>
              </w:rPr>
            </w:pPr>
            <w:r w:rsidRPr="0058381E">
              <w:rPr>
                <w:rFonts w:cs="Arial" w:asciiTheme="minorHAnsi" w:hAnsiTheme="minorHAnsi"/>
                <w:sz w:val="16"/>
                <w:szCs w:val="16"/>
              </w:rPr>
              <w:t xml:space="preserve">Betrokkenheid IMF moet per geval bezien worden. </w:t>
            </w:r>
          </w:p>
          <w:p w:rsidRPr="0058381E" w:rsidR="007A3F76" w:rsidP="00DF3F97" w:rsidRDefault="007A3F76">
            <w:pPr>
              <w:pStyle w:val="Lijstalinea"/>
              <w:spacing w:line="276" w:lineRule="auto"/>
              <w:ind w:left="142"/>
              <w:contextualSpacing/>
              <w:rPr>
                <w:rFonts w:cs="Arial"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652" w:type="dxa"/>
          </w:tcPr>
          <w:p w:rsidRPr="0058381E" w:rsidR="00445E31" w:rsidP="00616116" w:rsidRDefault="00445E31">
            <w:pPr>
              <w:pStyle w:val="Lijstalinea"/>
              <w:spacing w:line="276" w:lineRule="auto"/>
              <w:ind w:left="0"/>
              <w:rPr>
                <w:rFonts w:cs="Arial" w:asciiTheme="minorHAnsi" w:hAnsiTheme="minorHAnsi"/>
                <w:sz w:val="16"/>
                <w:szCs w:val="16"/>
              </w:rPr>
            </w:pPr>
            <w:r w:rsidRPr="0058381E">
              <w:rPr>
                <w:rFonts w:cs="Arial" w:asciiTheme="minorHAnsi" w:hAnsiTheme="minorHAnsi"/>
                <w:sz w:val="16"/>
                <w:szCs w:val="16"/>
              </w:rPr>
              <w:t>Voorstander</w:t>
            </w:r>
            <w:r w:rsidRPr="0058381E">
              <w:rPr>
                <w:rFonts w:cs="Arial" w:asciiTheme="minorHAnsi" w:hAnsiTheme="minorHAnsi"/>
                <w:b/>
                <w:sz w:val="16"/>
                <w:szCs w:val="16"/>
              </w:rPr>
              <w:t xml:space="preserve"> </w:t>
            </w:r>
            <w:r w:rsidRPr="0058381E" w:rsidR="00DF3F97">
              <w:rPr>
                <w:rFonts w:cs="Arial" w:asciiTheme="minorHAnsi" w:hAnsiTheme="minorHAnsi"/>
                <w:sz w:val="16"/>
                <w:szCs w:val="16"/>
              </w:rPr>
              <w:t>van</w:t>
            </w:r>
            <w:r w:rsidRPr="0058381E" w:rsidR="00217538">
              <w:rPr>
                <w:rFonts w:cs="Arial" w:asciiTheme="minorHAnsi" w:hAnsiTheme="minorHAnsi"/>
                <w:sz w:val="16"/>
                <w:szCs w:val="16"/>
              </w:rPr>
              <w:t xml:space="preserve"> raamwerk voor</w:t>
            </w:r>
            <w:r w:rsidRPr="0058381E" w:rsidR="00DF3F97">
              <w:rPr>
                <w:rFonts w:cs="Arial" w:asciiTheme="minorHAnsi" w:hAnsiTheme="minorHAnsi"/>
                <w:sz w:val="16"/>
                <w:szCs w:val="16"/>
              </w:rPr>
              <w:t xml:space="preserve"> </w:t>
            </w:r>
            <w:r w:rsidRPr="0058381E">
              <w:rPr>
                <w:rFonts w:cs="Arial" w:asciiTheme="minorHAnsi" w:hAnsiTheme="minorHAnsi"/>
                <w:sz w:val="16"/>
                <w:szCs w:val="16"/>
              </w:rPr>
              <w:t>schuldherstructurering indien overheidschuld van aanvragende lidstaat onhoudbaar is.</w:t>
            </w:r>
          </w:p>
        </w:tc>
      </w:tr>
    </w:tbl>
    <w:p w:rsidRPr="007422F0" w:rsidR="00A17C6E" w:rsidP="0058381E" w:rsidRDefault="00A17C6E">
      <w:pPr>
        <w:spacing w:after="0"/>
        <w:rPr>
          <w:b/>
          <w:szCs w:val="18"/>
        </w:rPr>
      </w:pPr>
    </w:p>
    <w:sectPr w:rsidRPr="007422F0" w:rsidR="00A17C6E" w:rsidSect="005838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FBB" w:rsidRDefault="001A1FBB" w:rsidP="00904E85">
      <w:pPr>
        <w:spacing w:after="0" w:line="240" w:lineRule="auto"/>
      </w:pPr>
      <w:r>
        <w:separator/>
      </w:r>
    </w:p>
  </w:endnote>
  <w:endnote w:type="continuationSeparator" w:id="0">
    <w:p w:rsidR="001A1FBB" w:rsidRDefault="001A1FBB" w:rsidP="00904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FBB" w:rsidRDefault="001A1FBB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FBB" w:rsidRDefault="001A1FBB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FBB" w:rsidRDefault="001A1FBB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FBB" w:rsidRDefault="001A1FBB" w:rsidP="00904E85">
      <w:pPr>
        <w:spacing w:after="0" w:line="240" w:lineRule="auto"/>
      </w:pPr>
      <w:r>
        <w:separator/>
      </w:r>
    </w:p>
  </w:footnote>
  <w:footnote w:type="continuationSeparator" w:id="0">
    <w:p w:rsidR="001A1FBB" w:rsidRDefault="001A1FBB" w:rsidP="00904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FBB" w:rsidRDefault="001A1FBB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FBB" w:rsidRPr="0058381E" w:rsidRDefault="001A1FBB" w:rsidP="0058381E">
    <w:pPr>
      <w:spacing w:after="0"/>
      <w:rPr>
        <w:rFonts w:asciiTheme="minorHAnsi" w:hAnsiTheme="minorHAnsi"/>
        <w:b/>
        <w:sz w:val="16"/>
        <w:szCs w:val="16"/>
      </w:rPr>
    </w:pPr>
    <w:r>
      <w:rPr>
        <w:rFonts w:asciiTheme="minorHAnsi" w:hAnsiTheme="minorHAnsi"/>
        <w:b/>
        <w:sz w:val="16"/>
        <w:szCs w:val="16"/>
      </w:rPr>
      <w:t>Annex – Schema Doorontwikkeling Europees Stabiliteitsmechanisme (ESM) in Europees Monetair Fonds (EMF)</w:t>
    </w:r>
  </w:p>
  <w:p w:rsidR="001A1FBB" w:rsidRDefault="001A1FBB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FBB" w:rsidRDefault="001A1FBB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919BA"/>
    <w:multiLevelType w:val="hybridMultilevel"/>
    <w:tmpl w:val="F0C67BE0"/>
    <w:lvl w:ilvl="0" w:tplc="BA4A4C90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97BAF"/>
    <w:multiLevelType w:val="hybridMultilevel"/>
    <w:tmpl w:val="F4B2F3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6D86"/>
    <w:rsid w:val="000360C2"/>
    <w:rsid w:val="000E1EF5"/>
    <w:rsid w:val="000E4456"/>
    <w:rsid w:val="0011317A"/>
    <w:rsid w:val="001A1FBB"/>
    <w:rsid w:val="001D553D"/>
    <w:rsid w:val="00217538"/>
    <w:rsid w:val="0026160C"/>
    <w:rsid w:val="002A1464"/>
    <w:rsid w:val="002B564A"/>
    <w:rsid w:val="002C1F2E"/>
    <w:rsid w:val="002E6EEE"/>
    <w:rsid w:val="00305486"/>
    <w:rsid w:val="0036754D"/>
    <w:rsid w:val="003E02D4"/>
    <w:rsid w:val="0041392D"/>
    <w:rsid w:val="00445E31"/>
    <w:rsid w:val="00494C1A"/>
    <w:rsid w:val="004E6E01"/>
    <w:rsid w:val="0054412B"/>
    <w:rsid w:val="0058381E"/>
    <w:rsid w:val="005F7EA8"/>
    <w:rsid w:val="006131CC"/>
    <w:rsid w:val="00616116"/>
    <w:rsid w:val="006B5866"/>
    <w:rsid w:val="006D605D"/>
    <w:rsid w:val="00716D86"/>
    <w:rsid w:val="007422F0"/>
    <w:rsid w:val="00756389"/>
    <w:rsid w:val="007768AB"/>
    <w:rsid w:val="00782BE5"/>
    <w:rsid w:val="007A3F76"/>
    <w:rsid w:val="007B76A0"/>
    <w:rsid w:val="007C2E3E"/>
    <w:rsid w:val="007E763A"/>
    <w:rsid w:val="007E7E0D"/>
    <w:rsid w:val="007F1230"/>
    <w:rsid w:val="00801007"/>
    <w:rsid w:val="008A59CF"/>
    <w:rsid w:val="00904E85"/>
    <w:rsid w:val="00905545"/>
    <w:rsid w:val="00932D6A"/>
    <w:rsid w:val="009929FC"/>
    <w:rsid w:val="00A17C6E"/>
    <w:rsid w:val="00AD05D8"/>
    <w:rsid w:val="00B61FFE"/>
    <w:rsid w:val="00B731D9"/>
    <w:rsid w:val="00BD5BB5"/>
    <w:rsid w:val="00BE7495"/>
    <w:rsid w:val="00C0468B"/>
    <w:rsid w:val="00CD74AE"/>
    <w:rsid w:val="00D11EE8"/>
    <w:rsid w:val="00D239C5"/>
    <w:rsid w:val="00D711D1"/>
    <w:rsid w:val="00D72340"/>
    <w:rsid w:val="00D83BA3"/>
    <w:rsid w:val="00DA52A1"/>
    <w:rsid w:val="00DD4EEB"/>
    <w:rsid w:val="00DE67DA"/>
    <w:rsid w:val="00DF3F97"/>
    <w:rsid w:val="00E45362"/>
    <w:rsid w:val="00EB155C"/>
    <w:rsid w:val="00F22CDC"/>
    <w:rsid w:val="00F539DF"/>
    <w:rsid w:val="00F61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16D86"/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D83B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83BA3"/>
    <w:pPr>
      <w:spacing w:after="0" w:line="240" w:lineRule="auto"/>
    </w:pPr>
    <w:rPr>
      <w:rFonts w:ascii="Verdana" w:hAnsi="Verdana"/>
      <w:sz w:val="18"/>
    </w:rPr>
  </w:style>
  <w:style w:type="character" w:customStyle="1" w:styleId="Kop1Char">
    <w:name w:val="Kop 1 Char"/>
    <w:basedOn w:val="Standaardalinea-lettertype"/>
    <w:link w:val="Kop1"/>
    <w:uiPriority w:val="9"/>
    <w:rsid w:val="00D83B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jstalinea">
    <w:name w:val="List Paragraph"/>
    <w:aliases w:val="Dot pt,F5 List Paragraph,List Paragraph1,No Spacing1,List Paragraph Char Char Char,Indicator Text,Numbered Para 1,Bullet 1,Bullet Points,Párrafo de lista,MAIN CONTENT,Recommendation,List Paragraph2,Normal numbere,Colorful List - Accent 11"/>
    <w:basedOn w:val="Standaard"/>
    <w:link w:val="LijstalineaChar"/>
    <w:uiPriority w:val="34"/>
    <w:qFormat/>
    <w:rsid w:val="00716D86"/>
    <w:pPr>
      <w:spacing w:after="0" w:line="240" w:lineRule="auto"/>
      <w:ind w:left="720"/>
    </w:pPr>
    <w:rPr>
      <w:rFonts w:ascii="Calibri" w:hAnsi="Calibri" w:cs="Calibri"/>
      <w:sz w:val="22"/>
      <w:lang w:eastAsia="nl-NL"/>
    </w:rPr>
  </w:style>
  <w:style w:type="character" w:customStyle="1" w:styleId="LijstalineaChar">
    <w:name w:val="Lijstalinea Char"/>
    <w:aliases w:val="Dot pt Char,F5 List Paragraph Char,List Paragraph1 Char,No Spacing1 Char,List Paragraph Char Char Char Char,Indicator Text Char,Numbered Para 1 Char,Bullet 1 Char,Bullet Points Char,Párrafo de lista Char,MAIN CONTENT Char"/>
    <w:basedOn w:val="Standaardalinea-lettertype"/>
    <w:link w:val="Lijstalinea"/>
    <w:uiPriority w:val="34"/>
    <w:qFormat/>
    <w:locked/>
    <w:rsid w:val="00716D86"/>
    <w:rPr>
      <w:rFonts w:ascii="Calibri" w:hAnsi="Calibri" w:cs="Calibri"/>
      <w:lang w:eastAsia="nl-NL"/>
    </w:rPr>
  </w:style>
  <w:style w:type="table" w:styleId="Tabelraster">
    <w:name w:val="Table Grid"/>
    <w:basedOn w:val="Standaardtabel"/>
    <w:uiPriority w:val="59"/>
    <w:rsid w:val="00716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semiHidden/>
    <w:unhideWhenUsed/>
    <w:rsid w:val="00904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04E85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904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904E85"/>
    <w:rPr>
      <w:rFonts w:ascii="Verdana" w:hAnsi="Verdana"/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B155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B15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B155C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B155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B155C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B1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B15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325</ap:Words>
  <ap:Characters>1792</ap:Characters>
  <ap:DocSecurity>0</ap:DocSecurity>
  <ap:Lines>14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2018-02-01T17:19:00.0000000Z</lastPrinted>
  <dcterms:created xsi:type="dcterms:W3CDTF">2018-02-01T17:22:00.0000000Z</dcterms:created>
  <dcterms:modified xsi:type="dcterms:W3CDTF">2018-02-02T08:52:00.0000000Z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0x010100D2B926B0928C1545A9BF6ED857168A07</vt:lpwstr>
  </property>
</Properties>
</file>