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650B3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W13.17.0322/III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10 november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FF1528" w:rsidRDefault="00AA5436">
              <w:r>
                <w:t>Bij Kabinetsmissive van 3 oktober 2017, no.2017001660, heeft Uwe Majesteit, op voordracht van de Minister van Volksgezondheid, Welzijn en Sport, bij de Afdeling advisering van de Raad van State ter overweging aanhangig gemaakt het voorstel van wet houdende wijziging van diverse wetten op het terrein van de volksgezondheid in verband met de versterking van het handhavingsinstrumentarium van de Inspectie voor de Gezondheidszorg en enkele andere wijzigingen, met memorie van toelichting.</w:t>
              </w:r>
            </w:p>
          </w:sdtContent>
        </w:sdt>
        <w:p w:rsidR="0071031E" w:rsidRDefault="0071031E"/>
        <w:sdt>
          <w:sdtPr>
            <w:alias w:val="VrijeTekst1"/>
            <w:tag w:val="VrijeTekst1"/>
            <w:id w:val="-437221631"/>
            <w:lock w:val="sdtLocked"/>
          </w:sdtPr>
          <w:sdtContent>
            <w:sdt>
              <w:sdtPr>
                <w:alias w:val="VrijeTekst1"/>
                <w:tag w:val="VrijeTekst1"/>
                <w:id w:val="-927726107"/>
              </w:sdtPr>
              <w:sdtContent>
                <w:p w:rsidR="00AC62C8" w:rsidP="00A542E9" w:rsidRDefault="00AA5436">
                  <w:r>
                    <w:t xml:space="preserve">Het voorstel strekt tot wijziging van enkele wetten ter versterking van het </w:t>
                  </w:r>
                  <w:proofErr w:type="spellStart"/>
                  <w:r>
                    <w:t>handhavingsinstrumentarium</w:t>
                  </w:r>
                  <w:proofErr w:type="spellEnd"/>
                  <w:r>
                    <w:t xml:space="preserve"> van de Inspectie voor de Gezondheidszorg (IGZ). Deze versterking vloeit voort uit een analyse van knelpunten die de IGZ bij het uitoefenen van haar toezichthoudende taak ervaart. In reactie op deze analyse is, zoals in de toelichting uiteengezet, een drietal maatregelen voorgesteld om de IGZ ruggensteun te geven.</w:t>
                  </w:r>
                </w:p>
                <w:p w:rsidR="00633A24" w:rsidP="00A542E9" w:rsidRDefault="00385B9F"/>
                <w:p w:rsidR="00AC62C8" w:rsidP="00A542E9" w:rsidRDefault="00AA5436">
                  <w:r>
                    <w:t xml:space="preserve">De Afdeling heeft geen opmerkingen over de voorgestelde versterking van het </w:t>
                  </w:r>
                  <w:proofErr w:type="spellStart"/>
                  <w:r>
                    <w:t>handhavingsinstrumentarium</w:t>
                  </w:r>
                  <w:proofErr w:type="spellEnd"/>
                  <w:r>
                    <w:t xml:space="preserve">. De bij het voorstel gevoegde toelichting vormt evenwel aanleiding om opmerkingen te maken over maatregelen die eveneens voortvloeien uit voornoemde </w:t>
                  </w:r>
                  <w:r>
                    <w:rPr>
                      <w:szCs w:val="18"/>
                    </w:rPr>
                    <w:t>knelpuntenanalyse</w:t>
                  </w:r>
                  <w:r>
                    <w:t>. Dit betreft de wijze waarop de onafhankelijkheid van het toezicht door de IGZ wordt gemarkeerd alsmede de over de mandatering aan de IGZ van de aanwijzingsbevoegdheid ten aanzien van instellingen.</w:t>
                  </w:r>
                </w:p>
                <w:p w:rsidR="00AC62C8" w:rsidP="00A542E9" w:rsidRDefault="00385B9F"/>
                <w:p w:rsidR="00AC62C8" w:rsidP="00A542E9" w:rsidRDefault="00AA5436">
                  <w:r>
                    <w:t xml:space="preserve">1. </w:t>
                  </w:r>
                  <w:r>
                    <w:tab/>
                  </w:r>
                  <w:r w:rsidRPr="002641B4">
                    <w:rPr>
                      <w:u w:val="single"/>
                    </w:rPr>
                    <w:t>Verhouding Minister en IGZ</w:t>
                  </w:r>
                </w:p>
                <w:p w:rsidR="00AC62C8" w:rsidP="00A542E9" w:rsidRDefault="00385B9F"/>
                <w:p w:rsidR="00AC62C8" w:rsidP="00A542E9" w:rsidRDefault="00AA5436">
                  <w:r>
                    <w:t xml:space="preserve">In de toelichting wordt ingegaan op het nieuwe Ministerieel Besluit taakuitoefening IGZ waarmee de onafhankelijkheid van het toezicht door de IGZ wordt gemarkeerd. Dit besluit is een reactie op een aanbeveling uit de ‘Thematische </w:t>
                  </w:r>
                  <w:proofErr w:type="spellStart"/>
                  <w:r>
                    <w:t>Wetsevaluatie</w:t>
                  </w:r>
                  <w:proofErr w:type="spellEnd"/>
                  <w:r>
                    <w:t xml:space="preserve"> bestuursrechtelijk toezicht op de kwaliteit van de zorg’ van 2013 waarnaar in de toelichting wordt verwezen.</w:t>
                  </w:r>
                  <w:r>
                    <w:rPr>
                      <w:rStyle w:val="Voetnootmarkering"/>
                    </w:rPr>
                    <w:footnoteReference w:id="1"/>
                  </w:r>
                  <w:r>
                    <w:t xml:space="preserve"> Deze aanbeveling hield in dat in de wet zou moeten worden vastgelegd dat de minister van VWS zich onthoudt van het geven van aanwijzingen met betrekking tot de in rapportages neergelegde oordelen van de IGZ over de kwaliteit van de zorg. De regering heeft deze aanbeveling terecht niet overgenomen. Niettemin heeft de regering besloten om, zoals zij zelf stelt, door middel van een ministeriële regeling,</w:t>
                  </w:r>
                  <w:r>
                    <w:rPr>
                      <w:rStyle w:val="Voetnootmarkering"/>
                    </w:rPr>
                    <w:footnoteReference w:id="2"/>
                  </w:r>
                  <w:r>
                    <w:t xml:space="preserve"> de onafhankelijkheid van de inspecties ‘steviger te markeren’.</w:t>
                  </w:r>
                  <w:r>
                    <w:rPr>
                      <w:rStyle w:val="Voetnootmarkering"/>
                    </w:rPr>
                    <w:footnoteReference w:id="3"/>
                  </w:r>
                  <w:r>
                    <w:t xml:space="preserve"> </w:t>
                  </w:r>
                </w:p>
                <w:p w:rsidR="00AC62C8" w:rsidP="00A542E9" w:rsidRDefault="00385B9F"/>
                <w:p w:rsidR="00AC62C8" w:rsidP="00A542E9" w:rsidRDefault="00AA5436">
                  <w:r>
                    <w:t>In het Besluit taakuitoefening IGZ zijn, aldus de regering, regels vastgelegd voor de taakuitoefening van de IGZ en de verhouding tussen de bewindspersonen van het ministerie en de inspecteur-generaal van de IGZ.</w:t>
                  </w:r>
                  <w:r>
                    <w:rPr>
                      <w:rStyle w:val="Voetnootmarkering"/>
                    </w:rPr>
                    <w:footnoteReference w:id="4"/>
                  </w:r>
                  <w:r>
                    <w:t xml:space="preserve"> Volgens de toelichting op het onderhavige wetsvoorstel is in dit besluit onafhankelijk en onpartijdig toezicht door de IGZ aldus gewaarborgd dat de minister aanwijzingen kan geven over de algemene manier van werken van de inspectie, maar “zich niet mag mengen in de wijze waarop een specifiek onderzoek wordt verricht of in de bevindingen, oordelen en adviezen van </w:t>
                  </w:r>
                  <w:r>
                    <w:lastRenderedPageBreak/>
                    <w:t>de IGZ”.</w:t>
                  </w:r>
                  <w:r>
                    <w:rPr>
                      <w:rStyle w:val="Voetnootmarkering"/>
                    </w:rPr>
                    <w:footnoteReference w:id="5"/>
                  </w:r>
                  <w:r>
                    <w:t xml:space="preserve"> Voor de taakuitoefening van de nieuwe Inspectie gezondheidszorg en jeugd (IGJ) zal worden voorzien in een vergelijkbaar besluit.</w:t>
                  </w:r>
                </w:p>
                <w:p w:rsidR="00AC62C8" w:rsidP="00A542E9" w:rsidRDefault="00385B9F"/>
                <w:p w:rsidR="00AC62C8" w:rsidP="00A542E9" w:rsidRDefault="00AA5436">
                  <w:r>
                    <w:t>De onafhankelijke taakuitoefening door de IGZ laat, zoals eerder is vermeld, de ministeriële verantwoordelijkheid van de Minister van VWS voor de IGZ onverlet.</w:t>
                  </w:r>
                  <w:r>
                    <w:rPr>
                      <w:rStyle w:val="Voetnootmarkering"/>
                    </w:rPr>
                    <w:footnoteReference w:id="6"/>
                  </w:r>
                  <w:r>
                    <w:t xml:space="preserve"> Gelet daarop acht de Afdeling het Besluit taakuitoefening IGZ en de uitleg die daaraan blijkens de toelichting op het wetsvoorstel wordt gegeven, niet juist. Deze komt immers blijkens de gebruikte formuleringen erop neer dat de minister niet meer bevoegd zou zijn aanwijzingen in specifieke gevallen te geven.</w:t>
                  </w:r>
                  <w:r>
                    <w:rPr>
                      <w:rStyle w:val="Voetnootmarkering"/>
                    </w:rPr>
                    <w:footnoteReference w:id="7"/>
                  </w:r>
                  <w:r>
                    <w:t xml:space="preserve"> Het betreffende ministerieel besluit kan echter, gelet op de wettelijke regeling, dit rechtsgevolg niet hebben. Anders dan de toelichting stelt mag de minister </w:t>
                  </w:r>
                  <w:bookmarkStart w:name="_GoBack" w:id="0"/>
                  <w:bookmarkEnd w:id="0"/>
                  <w:r>
                    <w:t xml:space="preserve"> ondanks het ministerieel besluit, nog steeds de IGZ de aanwijzingen geven die hij gelet op zijn verantwoordelijkheid nodig acht. Bij lagere regeling kan de wettelijke bevoegdheidstoedeling niet worden doorkruist of beperkt.</w:t>
                  </w:r>
                </w:p>
                <w:p w:rsidR="00116BB2" w:rsidP="00A542E9" w:rsidRDefault="00385B9F"/>
                <w:p w:rsidR="00AC62C8" w:rsidP="00A542E9" w:rsidRDefault="00AA5436">
                  <w:r>
                    <w:t>Het voorgaande laat onverlet dat de minister er verstandig aan doet zich te onthouden van inmenging in werkwijze en bevindingen in een specifiek onderzoek: onafhankelijke oordeelsvorming is immers een belangrijk aspect van het functioneren van de IGZ en, in de toekomst, van de IGJ. Onafhankelijk en onpartijdig toezicht is echter, zoals de regering terecht heeft gesteld, heel goed mogelijk binnen de ministeriële verantwoordelijkheid.</w:t>
                  </w:r>
                  <w:r>
                    <w:rPr>
                      <w:rStyle w:val="Voetnootmarkering"/>
                    </w:rPr>
                    <w:footnoteReference w:id="8"/>
                  </w:r>
                  <w:r>
                    <w:t xml:space="preserve"> Indien het gewenst zou zijn dit te markeren kan deze handelwijze worden vastgesteld in werkafspraken en in de toelichting op het wetsvoorstel worden opgenomen dat het vast beleid is dat de minister zich niet mengt in de werkwijze en oordeelsvorming van de IGZ, en later de IGJ, in een specifiek onderzoek. Het parlement kan de minister zo nodig daarop aanspreken. </w:t>
                  </w:r>
                </w:p>
                <w:p w:rsidR="00AC62C8" w:rsidP="00A542E9" w:rsidRDefault="00385B9F"/>
                <w:p w:rsidR="00AC62C8" w:rsidP="00A542E9" w:rsidRDefault="00AA5436">
                  <w:r>
                    <w:t>De Afdeling adviseert de toelichting in het licht van het bovenstaande aan te passen. Zij adviseert voorts met het oog op de toekomstige positie van de IGJ van een ministerieel besluit zoals thans geldt af te zien en zo nodig te volstaan met de mededeling van vast beleid, inhoudende dat de minister aan de IGJ geen aanwijzingen zal geven met betrekking tot specifieke onderzoeken.</w:t>
                  </w:r>
                </w:p>
                <w:p w:rsidR="00AC62C8" w:rsidP="00A542E9" w:rsidRDefault="00385B9F"/>
                <w:p w:rsidRPr="002641B4" w:rsidR="00AC62C8" w:rsidP="00A542E9" w:rsidRDefault="00AA5436">
                  <w:pPr>
                    <w:rPr>
                      <w:u w:val="single"/>
                    </w:rPr>
                  </w:pPr>
                  <w:r>
                    <w:t>2.</w:t>
                  </w:r>
                  <w:r>
                    <w:tab/>
                  </w:r>
                  <w:r>
                    <w:rPr>
                      <w:u w:val="single"/>
                    </w:rPr>
                    <w:t>Mandaat</w:t>
                  </w:r>
                </w:p>
                <w:p w:rsidR="00AC62C8" w:rsidP="00A542E9" w:rsidRDefault="00385B9F"/>
                <w:p w:rsidR="00AC62C8" w:rsidP="00A542E9" w:rsidRDefault="00AA5436">
                  <w:r>
                    <w:t xml:space="preserve">De toelichting bij het voorstel besteedt eveneens aandacht aan een ander onderdeel van het drieluik aan maatregelen ter versterking van de IGZ. Dit betreft het </w:t>
                  </w:r>
                  <w:r w:rsidRPr="00A07045">
                    <w:t>beleidskader waarin uiteengezet is op welke wijze de taken en verantwoordelijkheden van de IGZ beter tot zijn recht komen bij gebruikmaking van de ministeriële aanwijzingsbevoegdheid.</w:t>
                  </w:r>
                  <w:r>
                    <w:t xml:space="preserve"> De Afdeling merkt hierover het volgende op.</w:t>
                  </w:r>
                  <w:r>
                    <w:br/>
                  </w:r>
                  <w:r>
                    <w:br/>
                    <w:t xml:space="preserve">De IGZ beschikt over een aantal </w:t>
                  </w:r>
                  <w:proofErr w:type="spellStart"/>
                  <w:r>
                    <w:t>toezichtsbevoegheden</w:t>
                  </w:r>
                  <w:proofErr w:type="spellEnd"/>
                  <w:r>
                    <w:t xml:space="preserve"> ten aanzien van instellingen. De aanwijzingsbevoegdheid aan instellingen is echter toebedeeld aan de Minister van </w:t>
                  </w:r>
                  <w:r>
                    <w:lastRenderedPageBreak/>
                    <w:t>VWS. In het kader van de “ruggensteun aan de IGZ” is ervoor gekozen deze bevoegdheid te mandateren aan de IGZ. Dat is inmiddels per 1 januari 2016 gebeurd in een gewijzigde Mandaatregeling VWS.</w:t>
                  </w:r>
                  <w:r>
                    <w:rPr>
                      <w:rStyle w:val="Voetnootmarkering"/>
                    </w:rPr>
                    <w:footnoteReference w:id="9"/>
                  </w:r>
                  <w:r>
                    <w:t xml:space="preserve"> </w:t>
                  </w:r>
                </w:p>
                <w:p w:rsidRPr="00893E77" w:rsidR="00AC62C8" w:rsidP="00A542E9" w:rsidRDefault="00AA5436">
                  <w:pPr>
                    <w:rPr>
                      <w:szCs w:val="22"/>
                    </w:rPr>
                  </w:pPr>
                  <w:r w:rsidRPr="00893E77">
                    <w:rPr>
                      <w:szCs w:val="22"/>
                    </w:rPr>
                    <w:t xml:space="preserve">De Afdeling </w:t>
                  </w:r>
                  <w:r>
                    <w:rPr>
                      <w:szCs w:val="22"/>
                    </w:rPr>
                    <w:t xml:space="preserve">wijst er evenwel op dat </w:t>
                  </w:r>
                  <w:r w:rsidRPr="00893E77">
                    <w:rPr>
                      <w:szCs w:val="22"/>
                    </w:rPr>
                    <w:t>het Besluit taakuitoefening IGZ</w:t>
                  </w:r>
                  <w:r>
                    <w:rPr>
                      <w:szCs w:val="22"/>
                    </w:rPr>
                    <w:t xml:space="preserve"> </w:t>
                  </w:r>
                  <w:r w:rsidRPr="00893E77">
                    <w:rPr>
                      <w:szCs w:val="22"/>
                    </w:rPr>
                    <w:t>bepaal</w:t>
                  </w:r>
                  <w:r>
                    <w:rPr>
                      <w:szCs w:val="22"/>
                    </w:rPr>
                    <w:t>t</w:t>
                  </w:r>
                  <w:r w:rsidRPr="00893E77">
                    <w:rPr>
                      <w:szCs w:val="22"/>
                    </w:rPr>
                    <w:t xml:space="preserve"> dat de </w:t>
                  </w:r>
                  <w:r w:rsidRPr="00A542E9">
                    <w:rPr>
                      <w:color w:val="000000"/>
                      <w:szCs w:val="22"/>
                    </w:rPr>
                    <w:t xml:space="preserve">bevoegdheid tot het geven van aanwijzingen aan de inspectie niet </w:t>
                  </w:r>
                  <w:r>
                    <w:rPr>
                      <w:color w:val="000000"/>
                      <w:szCs w:val="22"/>
                    </w:rPr>
                    <w:t xml:space="preserve">wordt </w:t>
                  </w:r>
                  <w:r w:rsidRPr="00A542E9">
                    <w:rPr>
                      <w:color w:val="000000"/>
                      <w:szCs w:val="22"/>
                    </w:rPr>
                    <w:t>gemandateerd.</w:t>
                  </w:r>
                  <w:r w:rsidRPr="00A542E9">
                    <w:rPr>
                      <w:rStyle w:val="Voetnootmarkering"/>
                      <w:color w:val="000000"/>
                      <w:szCs w:val="22"/>
                    </w:rPr>
                    <w:footnoteReference w:id="10"/>
                  </w:r>
                  <w:r>
                    <w:rPr>
                      <w:color w:val="000000"/>
                      <w:szCs w:val="22"/>
                    </w:rPr>
                    <w:t xml:space="preserve"> De aanpassing van voornoemde mandaatregeling staat derhalve op gespannen voet met het Besluit taakuitoefening IGZ.</w:t>
                  </w:r>
                </w:p>
                <w:p w:rsidR="00AC62C8" w:rsidP="00A542E9" w:rsidRDefault="00AA5436">
                  <w:r>
                    <w:t xml:space="preserve">   </w:t>
                  </w:r>
                </w:p>
                <w:p w:rsidR="00AC62C8" w:rsidP="00A542E9" w:rsidRDefault="00AA5436">
                  <w:r>
                    <w:t xml:space="preserve">De Afdeling adviseert gelet hierop de genoemde mandaatregeling dan wel het Besluit taakuitoefening IGZ aan te passen. </w:t>
                  </w:r>
                </w:p>
              </w:sdtContent>
            </w:sdt>
          </w:sdtContent>
        </w:sdt>
        <w:p w:rsidR="003A1FC7" w:rsidRDefault="003A1FC7"/>
        <w:sdt>
          <w:sdtPr>
            <w:alias w:val="Dictum"/>
            <w:tag w:val="Dictum"/>
            <w:id w:val="1621489950"/>
            <w:lock w:val="sdtContentLocked"/>
            <w:placeholder>
              <w:docPart w:val="DefaultPlaceholder_1082065158"/>
            </w:placeholder>
            <w:text w:multiLine="1"/>
          </w:sdtPr>
          <w:sdtContent>
            <w:p w:rsidR="00FF1528" w:rsidRDefault="00AA543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FF1528"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A1" w:rsidRDefault="00AA5436" w:rsidP="005B3E03">
      <w:r>
        <w:separator/>
      </w:r>
    </w:p>
    <w:p w:rsidR="00FB10A1" w:rsidRDefault="00385B9F"/>
  </w:endnote>
  <w:endnote w:type="continuationSeparator" w:id="0">
    <w:p w:rsidR="00FB10A1" w:rsidRDefault="00AA5436" w:rsidP="005B3E03">
      <w:r>
        <w:continuationSeparator/>
      </w:r>
    </w:p>
    <w:p w:rsidR="00FB10A1" w:rsidRDefault="00385B9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BC" w:rsidRDefault="004862B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BC" w:rsidRDefault="004862B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650B34">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A1" w:rsidRDefault="00AA5436" w:rsidP="005B3E03">
      <w:r>
        <w:separator/>
      </w:r>
    </w:p>
    <w:p w:rsidR="00FB10A1" w:rsidRDefault="00385B9F"/>
  </w:footnote>
  <w:footnote w:type="continuationSeparator" w:id="0">
    <w:p w:rsidR="00FB10A1" w:rsidRDefault="00AA5436" w:rsidP="005B3E03">
      <w:r>
        <w:continuationSeparator/>
      </w:r>
    </w:p>
    <w:p w:rsidR="00FB10A1" w:rsidRDefault="00385B9F"/>
  </w:footnote>
  <w:footnote w:id="1">
    <w:p w:rsidR="00AC62C8" w:rsidRDefault="00AA5436" w:rsidP="00AC62C8">
      <w:pPr>
        <w:pStyle w:val="Voetnoottekst"/>
      </w:pPr>
      <w:r>
        <w:rPr>
          <w:rStyle w:val="Voetnootmarkering"/>
        </w:rPr>
        <w:footnoteRef/>
      </w:r>
      <w:r>
        <w:tab/>
        <w:t>Kamerstukken II 2013/14, 31 765, nr. 83.</w:t>
      </w:r>
    </w:p>
  </w:footnote>
  <w:footnote w:id="2">
    <w:p w:rsidR="00AC62C8" w:rsidRDefault="00AA5436" w:rsidP="00AC62C8">
      <w:pPr>
        <w:pStyle w:val="Voetnoottekst"/>
      </w:pPr>
      <w:r>
        <w:rPr>
          <w:rStyle w:val="Voetnootmarkering"/>
        </w:rPr>
        <w:footnoteRef/>
      </w:r>
      <w:r>
        <w:tab/>
      </w:r>
      <w:r w:rsidRPr="00116BB2">
        <w:t>Besluit taakuitoefening IGZ</w:t>
      </w:r>
      <w:r>
        <w:t xml:space="preserve">, </w:t>
      </w:r>
      <w:proofErr w:type="spellStart"/>
      <w:r>
        <w:t>Stcrt</w:t>
      </w:r>
      <w:proofErr w:type="spellEnd"/>
      <w:r>
        <w:t xml:space="preserve">. 2015, 20226. </w:t>
      </w:r>
    </w:p>
  </w:footnote>
  <w:footnote w:id="3">
    <w:p w:rsidR="00AC62C8" w:rsidRDefault="00AA5436" w:rsidP="00AC62C8">
      <w:pPr>
        <w:pStyle w:val="Voetnoottekst"/>
      </w:pPr>
      <w:r>
        <w:rPr>
          <w:rStyle w:val="Voetnootmarkering"/>
        </w:rPr>
        <w:footnoteRef/>
      </w:r>
      <w:r>
        <w:tab/>
        <w:t>Kamerstukken II 2014/15, 33 149, nr. 36, blz. 6.</w:t>
      </w:r>
    </w:p>
  </w:footnote>
  <w:footnote w:id="4">
    <w:p w:rsidR="00AC62C8" w:rsidRDefault="00AA5436" w:rsidP="00AC62C8">
      <w:pPr>
        <w:pStyle w:val="Voetnoottekst"/>
      </w:pPr>
      <w:r>
        <w:rPr>
          <w:rStyle w:val="Voetnootmarkering"/>
        </w:rPr>
        <w:footnoteRef/>
      </w:r>
      <w:r>
        <w:tab/>
        <w:t>Kamerstukken I 2014/15, 33 149, A</w:t>
      </w:r>
    </w:p>
  </w:footnote>
  <w:footnote w:id="5">
    <w:p w:rsidR="00AC62C8" w:rsidRDefault="00AA5436" w:rsidP="00AC62C8">
      <w:pPr>
        <w:pStyle w:val="Voetnoottekst"/>
      </w:pPr>
      <w:r>
        <w:rPr>
          <w:rStyle w:val="Voetnootmarkering"/>
        </w:rPr>
        <w:footnoteRef/>
      </w:r>
      <w:r>
        <w:tab/>
        <w:t>Zie artikel 3, tweede lid, van het Besluit taakuitoefening IGZ. Bij gebruikmaking van de aanwijzingsbevoegdheid dient dit schriftelijk te gebeuren en dient hij, zo vermeldt ook de toelichting, daarvan onverwijld mededeling te doen aan de Staten-Generaal (artikel 3, eerste en derde lid van het Besluit taakuitoefening IGZ).</w:t>
      </w:r>
    </w:p>
  </w:footnote>
  <w:footnote w:id="6">
    <w:p w:rsidR="00AC62C8" w:rsidRDefault="00AA5436" w:rsidP="00AC62C8">
      <w:pPr>
        <w:pStyle w:val="Voetnoottekst"/>
      </w:pPr>
      <w:r>
        <w:rPr>
          <w:rStyle w:val="Voetnootmarkering"/>
        </w:rPr>
        <w:footnoteRef/>
      </w:r>
      <w:r>
        <w:t xml:space="preserve"> </w:t>
      </w:r>
      <w:r>
        <w:tab/>
        <w:t>Kamerstukken II 2014/15, 33 149, nr. 36, blz. 2.</w:t>
      </w:r>
    </w:p>
  </w:footnote>
  <w:footnote w:id="7">
    <w:p w:rsidR="00AC62C8" w:rsidRDefault="00AA5436" w:rsidP="00AC62C8">
      <w:pPr>
        <w:pStyle w:val="Voetnoottekst"/>
      </w:pPr>
      <w:r>
        <w:rPr>
          <w:rStyle w:val="Voetnootmarkering"/>
        </w:rPr>
        <w:footnoteRef/>
      </w:r>
      <w:r>
        <w:tab/>
        <w:t>De bepalingen van het Besluit taakuitoefening IGZ lijken te zijn geïnspireerd door de beperking van de aanwijzingsbevoegdheid van de minister van Justitie jegens het OM zoals geregeld in artikel 127 en 128 Wet RO. Het betreft hier echter een wet in formele zin.</w:t>
      </w:r>
    </w:p>
  </w:footnote>
  <w:footnote w:id="8">
    <w:p w:rsidR="00AC62C8" w:rsidRDefault="00AA5436" w:rsidP="00AC62C8">
      <w:pPr>
        <w:pStyle w:val="Voetnoottekst"/>
      </w:pPr>
      <w:r>
        <w:rPr>
          <w:rStyle w:val="Voetnootmarkering"/>
        </w:rPr>
        <w:footnoteRef/>
      </w:r>
      <w:r>
        <w:t xml:space="preserve">   Kamerstukken II 2014/15, 33 149, nr. 36, blz. 6.</w:t>
      </w:r>
    </w:p>
  </w:footnote>
  <w:footnote w:id="9">
    <w:p w:rsidR="00AC62C8" w:rsidRDefault="00AA5436" w:rsidP="00AC62C8">
      <w:pPr>
        <w:pStyle w:val="Voetnoottekst"/>
      </w:pPr>
      <w:r>
        <w:rPr>
          <w:rStyle w:val="Voetnootmarkering"/>
        </w:rPr>
        <w:footnoteRef/>
      </w:r>
      <w:r>
        <w:tab/>
      </w:r>
      <w:proofErr w:type="spellStart"/>
      <w:r>
        <w:t>Stcrt</w:t>
      </w:r>
      <w:proofErr w:type="spellEnd"/>
      <w:r>
        <w:t>. 2015, 46047.</w:t>
      </w:r>
    </w:p>
  </w:footnote>
  <w:footnote w:id="10">
    <w:p w:rsidR="00AC62C8" w:rsidRDefault="00AA5436" w:rsidP="00AC62C8">
      <w:pPr>
        <w:pStyle w:val="Voetnoottekst"/>
      </w:pPr>
      <w:r>
        <w:rPr>
          <w:rStyle w:val="Voetnootmarkering"/>
        </w:rPr>
        <w:footnoteRef/>
      </w:r>
      <w:r>
        <w:tab/>
        <w:t>Artikel 3, vierde lid, Besluit taakuitoefening IGZ.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BC" w:rsidRDefault="004862B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650B34">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385B9F">
      <w:rPr>
        <w:rStyle w:val="Paginanummer"/>
        <w:noProof/>
      </w:rPr>
      <w:t>3</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BC" w:rsidRDefault="004862BC">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85B9F"/>
    <w:rsid w:val="003A1FC7"/>
    <w:rsid w:val="004421C1"/>
    <w:rsid w:val="004862BC"/>
    <w:rsid w:val="004C120D"/>
    <w:rsid w:val="00503044"/>
    <w:rsid w:val="00650B34"/>
    <w:rsid w:val="006D3E6B"/>
    <w:rsid w:val="0071031E"/>
    <w:rsid w:val="00724C4B"/>
    <w:rsid w:val="00743D19"/>
    <w:rsid w:val="00831756"/>
    <w:rsid w:val="008B00DF"/>
    <w:rsid w:val="009E72D2"/>
    <w:rsid w:val="00A349AF"/>
    <w:rsid w:val="00AA44F3"/>
    <w:rsid w:val="00AA5436"/>
    <w:rsid w:val="00B03C96"/>
    <w:rsid w:val="00B44919"/>
    <w:rsid w:val="00C02F92"/>
    <w:rsid w:val="00C5066A"/>
    <w:rsid w:val="00C50D4F"/>
    <w:rsid w:val="00C94D31"/>
    <w:rsid w:val="00D32A9E"/>
    <w:rsid w:val="00D76613"/>
    <w:rsid w:val="00DE075A"/>
    <w:rsid w:val="00DE1A79"/>
    <w:rsid w:val="00DF6602"/>
    <w:rsid w:val="00E722B1"/>
    <w:rsid w:val="00E905C7"/>
    <w:rsid w:val="00FF1528"/>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2641B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D4D99"/>
    <w:rPr>
      <w:sz w:val="16"/>
      <w:szCs w:val="16"/>
    </w:rPr>
  </w:style>
  <w:style w:type="paragraph" w:styleId="Tekstopmerking">
    <w:name w:val="annotation text"/>
    <w:basedOn w:val="Standaard"/>
    <w:link w:val="TekstopmerkingChar"/>
    <w:rsid w:val="002D4D99"/>
    <w:rPr>
      <w:sz w:val="20"/>
      <w:szCs w:val="20"/>
    </w:rPr>
  </w:style>
  <w:style w:type="character" w:customStyle="1" w:styleId="TekstopmerkingChar">
    <w:name w:val="Tekst opmerking Char"/>
    <w:basedOn w:val="Standaardalinea-lettertype"/>
    <w:link w:val="Tekstopmerking"/>
    <w:rsid w:val="002D4D99"/>
    <w:rPr>
      <w:rFonts w:ascii="Univers" w:hAnsi="Univers"/>
    </w:rPr>
  </w:style>
  <w:style w:type="paragraph" w:styleId="Onderwerpvanopmerking">
    <w:name w:val="annotation subject"/>
    <w:basedOn w:val="Tekstopmerking"/>
    <w:next w:val="Tekstopmerking"/>
    <w:link w:val="OnderwerpvanopmerkingChar"/>
    <w:rsid w:val="002D4D99"/>
    <w:rPr>
      <w:b/>
      <w:bCs/>
    </w:rPr>
  </w:style>
  <w:style w:type="character" w:customStyle="1" w:styleId="OnderwerpvanopmerkingChar">
    <w:name w:val="Onderwerp van opmerking Char"/>
    <w:basedOn w:val="TekstopmerkingChar"/>
    <w:link w:val="Onderwerpvanopmerking"/>
    <w:rsid w:val="002D4D99"/>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2641B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D4D99"/>
    <w:rPr>
      <w:sz w:val="16"/>
      <w:szCs w:val="16"/>
    </w:rPr>
  </w:style>
  <w:style w:type="paragraph" w:styleId="Tekstopmerking">
    <w:name w:val="annotation text"/>
    <w:basedOn w:val="Standaard"/>
    <w:link w:val="TekstopmerkingChar"/>
    <w:rsid w:val="002D4D99"/>
    <w:rPr>
      <w:sz w:val="20"/>
      <w:szCs w:val="20"/>
    </w:rPr>
  </w:style>
  <w:style w:type="character" w:customStyle="1" w:styleId="TekstopmerkingChar">
    <w:name w:val="Tekst opmerking Char"/>
    <w:basedOn w:val="Standaardalinea-lettertype"/>
    <w:link w:val="Tekstopmerking"/>
    <w:rsid w:val="002D4D99"/>
    <w:rPr>
      <w:rFonts w:ascii="Univers" w:hAnsi="Univers"/>
    </w:rPr>
  </w:style>
  <w:style w:type="paragraph" w:styleId="Onderwerpvanopmerking">
    <w:name w:val="annotation subject"/>
    <w:basedOn w:val="Tekstopmerking"/>
    <w:next w:val="Tekstopmerking"/>
    <w:link w:val="OnderwerpvanopmerkingChar"/>
    <w:rsid w:val="002D4D99"/>
    <w:rPr>
      <w:b/>
      <w:bCs/>
    </w:rPr>
  </w:style>
  <w:style w:type="character" w:customStyle="1" w:styleId="OnderwerpvanopmerkingChar">
    <w:name w:val="Onderwerp van opmerking Char"/>
    <w:basedOn w:val="TekstopmerkingChar"/>
    <w:link w:val="Onderwerpvanopmerking"/>
    <w:rsid w:val="002D4D99"/>
    <w:rPr>
      <w:rFonts w:ascii="Univers" w:hAnsi="Univers"/>
      <w:b/>
      <w:bCs/>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62260"/>
    <w:rsid w:val="00774BCD"/>
    <w:rsid w:val="00792239"/>
    <w:rsid w:val="008F429D"/>
    <w:rsid w:val="0098769D"/>
    <w:rsid w:val="009C0F2A"/>
    <w:rsid w:val="009F1AE0"/>
    <w:rsid w:val="00A8214E"/>
    <w:rsid w:val="00BD09AA"/>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22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959</ap:Words>
  <ap:Characters>5519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2018-01-26T10:46:00.0000000Z</dcterms:created>
  <dcterms:modified xsi:type="dcterms:W3CDTF">2018-01-26T10:46:00.0000000Z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0x010100A045F13DD5E96C4BA4475263A5D4F8FB</vt:lpwstr>
  </property>
</Properties>
</file>