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F74ED7">
        <w:rPr>
          <w:rFonts w:asciiTheme="minorHAnsi" w:hAnsiTheme="minorHAnsi"/>
          <w:sz w:val="22"/>
          <w:szCs w:val="22"/>
          <w:u w:val="single"/>
        </w:rPr>
        <w:t>we</w:t>
      </w:r>
      <w:r w:rsidR="005129ED">
        <w:rPr>
          <w:rFonts w:asciiTheme="minorHAnsi" w:hAnsiTheme="minorHAnsi"/>
          <w:sz w:val="22"/>
          <w:szCs w:val="22"/>
          <w:u w:val="single"/>
        </w:rPr>
        <w:t>ek</w:t>
      </w:r>
      <w:r w:rsidRPr="00F74ED7">
        <w:rPr>
          <w:rFonts w:asciiTheme="minorHAnsi" w:hAnsiTheme="minorHAnsi"/>
          <w:sz w:val="22"/>
          <w:szCs w:val="22"/>
          <w:u w:val="single"/>
        </w:rPr>
        <w:t xml:space="preserve"> </w:t>
      </w:r>
      <w:r w:rsidR="00A93A28">
        <w:rPr>
          <w:rFonts w:asciiTheme="minorHAnsi" w:hAnsiTheme="minorHAnsi"/>
          <w:sz w:val="22"/>
          <w:szCs w:val="22"/>
          <w:u w:val="single"/>
        </w:rPr>
        <w:t xml:space="preserve">50- </w:t>
      </w:r>
      <w:r w:rsidR="00CD3A5D">
        <w:rPr>
          <w:rFonts w:asciiTheme="minorHAnsi" w:hAnsiTheme="minorHAnsi"/>
          <w:sz w:val="22"/>
          <w:szCs w:val="22"/>
          <w:u w:val="single"/>
        </w:rPr>
        <w:t>2</w:t>
      </w:r>
      <w:r w:rsidRPr="00F74ED7">
        <w:rPr>
          <w:rFonts w:asciiTheme="minorHAnsi" w:hAnsiTheme="minorHAnsi"/>
          <w:sz w:val="22"/>
          <w:szCs w:val="22"/>
          <w:u w:val="single"/>
        </w:rPr>
        <w:t xml:space="preserve"> (</w:t>
      </w:r>
      <w:r w:rsidR="00A93A28">
        <w:rPr>
          <w:rFonts w:asciiTheme="minorHAnsi" w:hAnsiTheme="minorHAnsi"/>
          <w:sz w:val="22"/>
          <w:szCs w:val="22"/>
          <w:u w:val="single"/>
        </w:rPr>
        <w:t xml:space="preserve">7 december </w:t>
      </w:r>
      <w:r w:rsidRPr="00F74ED7" w:rsidR="009A0FC6">
        <w:rPr>
          <w:rFonts w:asciiTheme="minorHAnsi" w:hAnsiTheme="minorHAnsi"/>
          <w:sz w:val="22"/>
          <w:szCs w:val="22"/>
          <w:u w:val="single"/>
        </w:rPr>
        <w:t>2017</w:t>
      </w:r>
      <w:r w:rsidRPr="00F74ED7" w:rsidR="00FA27D6">
        <w:rPr>
          <w:rFonts w:asciiTheme="minorHAnsi" w:hAnsiTheme="minorHAnsi"/>
          <w:sz w:val="22"/>
          <w:szCs w:val="22"/>
          <w:u w:val="single"/>
        </w:rPr>
        <w:t xml:space="preserve"> -</w:t>
      </w:r>
      <w:r w:rsidR="0074305F">
        <w:rPr>
          <w:rFonts w:asciiTheme="minorHAnsi" w:hAnsiTheme="minorHAnsi"/>
          <w:sz w:val="22"/>
          <w:szCs w:val="22"/>
          <w:u w:val="single"/>
        </w:rPr>
        <w:t xml:space="preserve"> </w:t>
      </w:r>
      <w:r w:rsidR="00CD3A5D">
        <w:rPr>
          <w:rFonts w:asciiTheme="minorHAnsi" w:hAnsiTheme="minorHAnsi"/>
          <w:sz w:val="22"/>
          <w:szCs w:val="22"/>
          <w:u w:val="single"/>
        </w:rPr>
        <w:t>8</w:t>
      </w:r>
      <w:r w:rsidR="00A93A28">
        <w:rPr>
          <w:rFonts w:asciiTheme="minorHAnsi" w:hAnsiTheme="minorHAnsi"/>
          <w:sz w:val="22"/>
          <w:szCs w:val="22"/>
          <w:u w:val="single"/>
        </w:rPr>
        <w:t xml:space="preserve"> januari</w:t>
      </w:r>
      <w:r w:rsidR="0074305F">
        <w:rPr>
          <w:rFonts w:asciiTheme="minorHAnsi" w:hAnsiTheme="minorHAnsi"/>
          <w:sz w:val="22"/>
          <w:szCs w:val="22"/>
          <w:u w:val="single"/>
        </w:rPr>
        <w:t xml:space="preserve"> </w:t>
      </w:r>
      <w:r w:rsidRPr="00F74ED7" w:rsidR="006A0D87">
        <w:rPr>
          <w:rFonts w:asciiTheme="minorHAnsi" w:hAnsiTheme="minorHAnsi"/>
          <w:sz w:val="22"/>
          <w:szCs w:val="22"/>
          <w:u w:val="single"/>
        </w:rPr>
        <w:t>201</w:t>
      </w:r>
      <w:r w:rsidR="00A93A28">
        <w:rPr>
          <w:rFonts w:asciiTheme="minorHAnsi" w:hAnsiTheme="minorHAnsi"/>
          <w:sz w:val="22"/>
          <w:szCs w:val="22"/>
          <w:u w:val="single"/>
        </w:rPr>
        <w:t>8</w:t>
      </w:r>
      <w:r w:rsidRPr="00F74ED7">
        <w:rPr>
          <w:rFonts w:asciiTheme="minorHAnsi" w:hAnsiTheme="minorHAnsi"/>
          <w:sz w:val="22"/>
          <w:szCs w:val="22"/>
          <w:u w:val="single"/>
        </w:rPr>
        <w:t xml:space="preserve">) d.d. </w:t>
      </w:r>
      <w:r w:rsidR="00A93A28">
        <w:rPr>
          <w:rFonts w:asciiTheme="minorHAnsi" w:hAnsiTheme="minorHAnsi"/>
          <w:sz w:val="22"/>
          <w:szCs w:val="22"/>
          <w:u w:val="single"/>
        </w:rPr>
        <w:t>1</w:t>
      </w:r>
      <w:r w:rsidR="00CD43B9">
        <w:rPr>
          <w:rFonts w:asciiTheme="minorHAnsi" w:hAnsiTheme="minorHAnsi"/>
          <w:sz w:val="22"/>
          <w:szCs w:val="22"/>
          <w:u w:val="single"/>
        </w:rPr>
        <w:t>8</w:t>
      </w:r>
      <w:r w:rsidR="00A93A28">
        <w:rPr>
          <w:rFonts w:asciiTheme="minorHAnsi" w:hAnsiTheme="minorHAnsi"/>
          <w:sz w:val="22"/>
          <w:szCs w:val="22"/>
          <w:u w:val="single"/>
        </w:rPr>
        <w:t xml:space="preserve"> januari 2018</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449"/>
        <w:gridCol w:w="1506"/>
        <w:gridCol w:w="1030"/>
        <w:gridCol w:w="4233"/>
      </w:tblGrid>
      <w:tr w:rsidRPr="00F67F5B" w:rsidR="00A137D8" w:rsidTr="00CD43B9">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44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0"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23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CD43B9">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44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0"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233"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2D63DE" w:rsidTr="00CD43B9">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D63DE" w:rsidP="002D63DE" w:rsidRDefault="002D63DE">
            <w:pPr>
              <w:jc w:val="center"/>
              <w:rPr>
                <w:rFonts w:ascii="Calibri" w:hAnsi="Calibri"/>
                <w:color w:val="000000"/>
                <w:sz w:val="22"/>
                <w:szCs w:val="22"/>
              </w:rPr>
            </w:pPr>
            <w:r>
              <w:rPr>
                <w:rFonts w:ascii="Calibri" w:hAnsi="Calibri"/>
                <w:color w:val="000000"/>
                <w:sz w:val="22"/>
                <w:szCs w:val="22"/>
              </w:rPr>
              <w:t>7-dec-17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D63DE" w:rsidP="002D63DE" w:rsidRDefault="002D63DE">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D63DE" w:rsidP="002D63DE" w:rsidRDefault="002D63DE">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Pr="002D63DE" w:rsidR="002D63DE" w:rsidRDefault="002D63DE">
            <w:pPr>
              <w:rPr>
                <w:rFonts w:ascii="Calibri" w:hAnsi="Calibri"/>
                <w:color w:val="000000"/>
                <w:sz w:val="22"/>
                <w:szCs w:val="22"/>
                <w:lang w:val="en-GB"/>
              </w:rPr>
            </w:pPr>
            <w:r w:rsidRPr="002D63DE">
              <w:rPr>
                <w:rFonts w:ascii="Calibri" w:hAnsi="Calibri"/>
                <w:color w:val="000000"/>
                <w:sz w:val="22"/>
                <w:szCs w:val="22"/>
                <w:lang w:val="en-GB"/>
              </w:rPr>
              <w:t>Evaluation of the EU's Strategy on Adaptation to Climate Change</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D63DE" w:rsidRDefault="00C205FD">
            <w:pPr>
              <w:jc w:val="center"/>
              <w:rPr>
                <w:rFonts w:ascii="Calibri" w:hAnsi="Calibri"/>
                <w:color w:val="0000FF"/>
                <w:sz w:val="22"/>
                <w:szCs w:val="22"/>
                <w:u w:val="single"/>
              </w:rPr>
            </w:pPr>
            <w:hyperlink w:history="1" r:id="rId9">
              <w:r w:rsidR="002D63DE">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2D63DE" w:rsidP="002D63DE" w:rsidRDefault="002D63DE">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2D63DE" w:rsidP="00506FCC" w:rsidRDefault="002D63DE">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2D63DE" w:rsidP="00506FCC" w:rsidRDefault="002D63DE">
            <w:pPr>
              <w:rPr>
                <w:rFonts w:asciiTheme="minorHAnsi" w:hAnsiTheme="minorHAnsi"/>
                <w:color w:val="000000"/>
                <w:sz w:val="22"/>
                <w:szCs w:val="22"/>
              </w:rPr>
            </w:pPr>
          </w:p>
          <w:p w:rsidRPr="00DA08F5" w:rsidR="002D63DE" w:rsidP="002D63DE" w:rsidRDefault="002D63DE">
            <w:pPr>
              <w:rPr>
                <w:rFonts w:asciiTheme="minorHAnsi" w:hAnsiTheme="minorHAnsi"/>
                <w:color w:val="000000"/>
                <w:sz w:val="22"/>
                <w:szCs w:val="22"/>
              </w:rPr>
            </w:pPr>
            <w:r w:rsidRPr="00DA08F5">
              <w:rPr>
                <w:rFonts w:asciiTheme="minorHAnsi" w:hAnsiTheme="minorHAnsi"/>
                <w:color w:val="000000"/>
                <w:sz w:val="22"/>
                <w:szCs w:val="22"/>
              </w:rPr>
              <w:t>Noot:</w:t>
            </w:r>
            <w:r>
              <w:rPr>
                <w:rFonts w:asciiTheme="minorHAnsi" w:hAnsiTheme="minorHAnsi"/>
                <w:color w:val="000000"/>
                <w:sz w:val="22"/>
                <w:szCs w:val="22"/>
              </w:rPr>
              <w:t xml:space="preserve"> de deadline voor inbreng op deze consultatie loopt af op 1 maart 2018.</w:t>
            </w:r>
          </w:p>
        </w:tc>
      </w:tr>
      <w:tr w:rsidRPr="00931F2B" w:rsidR="002D63DE" w:rsidTr="00CD43B9">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D63DE" w:rsidP="002D63DE" w:rsidRDefault="002D63DE">
            <w:pPr>
              <w:jc w:val="center"/>
              <w:rPr>
                <w:rFonts w:ascii="Calibri" w:hAnsi="Calibri"/>
                <w:color w:val="000000"/>
                <w:sz w:val="22"/>
                <w:szCs w:val="22"/>
              </w:rPr>
            </w:pPr>
            <w:r>
              <w:rPr>
                <w:rFonts w:ascii="Calibri" w:hAnsi="Calibri"/>
                <w:color w:val="000000"/>
                <w:sz w:val="22"/>
                <w:szCs w:val="22"/>
              </w:rPr>
              <w:t>8-dec-17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D63DE" w:rsidP="002D63DE" w:rsidRDefault="002D63DE">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D63DE" w:rsidP="002D63DE" w:rsidRDefault="002D63DE">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2D63DE" w:rsidRDefault="002D63DE">
            <w:pPr>
              <w:rPr>
                <w:rFonts w:ascii="Calibri" w:hAnsi="Calibri"/>
                <w:color w:val="000000"/>
                <w:sz w:val="22"/>
                <w:szCs w:val="22"/>
              </w:rPr>
            </w:pPr>
            <w:r>
              <w:rPr>
                <w:rFonts w:ascii="Calibri" w:hAnsi="Calibri"/>
                <w:color w:val="000000"/>
                <w:sz w:val="22"/>
                <w:szCs w:val="22"/>
              </w:rPr>
              <w:t>Improving passenger railway security</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D63DE" w:rsidRDefault="00C205FD">
            <w:pPr>
              <w:jc w:val="center"/>
              <w:rPr>
                <w:rFonts w:ascii="Calibri" w:hAnsi="Calibri"/>
                <w:color w:val="0000FF"/>
                <w:sz w:val="22"/>
                <w:szCs w:val="22"/>
                <w:u w:val="single"/>
              </w:rPr>
            </w:pPr>
            <w:hyperlink w:history="1" r:id="rId10">
              <w:r w:rsidR="002D63DE">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2D63DE" w:rsidP="002D63DE" w:rsidRDefault="002D63DE">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2D63DE" w:rsidP="002D63DE" w:rsidRDefault="002D63DE">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2D63DE" w:rsidP="002D63DE" w:rsidRDefault="002D63DE">
            <w:pPr>
              <w:rPr>
                <w:rFonts w:asciiTheme="minorHAnsi" w:hAnsiTheme="minorHAnsi"/>
                <w:color w:val="000000"/>
                <w:sz w:val="22"/>
                <w:szCs w:val="22"/>
              </w:rPr>
            </w:pPr>
          </w:p>
          <w:p w:rsidRPr="00AD4E0E" w:rsidR="002D63DE" w:rsidP="002D63DE" w:rsidRDefault="002D63DE">
            <w:pPr>
              <w:rPr>
                <w:rFonts w:asciiTheme="minorHAnsi" w:hAnsiTheme="minorHAnsi"/>
                <w:color w:val="000000"/>
                <w:sz w:val="22"/>
                <w:szCs w:val="22"/>
                <w:u w:val="single"/>
              </w:rPr>
            </w:pPr>
            <w:r w:rsidRPr="00DA08F5">
              <w:rPr>
                <w:rFonts w:asciiTheme="minorHAnsi" w:hAnsiTheme="minorHAnsi"/>
                <w:color w:val="000000"/>
                <w:sz w:val="22"/>
                <w:szCs w:val="22"/>
              </w:rPr>
              <w:t>Noot:</w:t>
            </w:r>
            <w:r>
              <w:rPr>
                <w:rFonts w:asciiTheme="minorHAnsi" w:hAnsiTheme="minorHAnsi"/>
                <w:color w:val="000000"/>
                <w:sz w:val="22"/>
                <w:szCs w:val="22"/>
              </w:rPr>
              <w:t xml:space="preserve"> de deadline voor inbreng op deze consultatie loopt af op 16 februari 2018.</w:t>
            </w:r>
          </w:p>
        </w:tc>
      </w:tr>
    </w:tbl>
    <w:p w:rsidRPr="00021A5B" w:rsidR="00F74ED7" w:rsidP="00E34A2D" w:rsidRDefault="00F74ED7">
      <w:pPr>
        <w:pStyle w:val="Voetnoottekst"/>
        <w:rPr>
          <w:rFonts w:ascii="Verdana" w:hAnsi="Verdana"/>
          <w:b/>
        </w:rPr>
      </w:pPr>
    </w:p>
    <w:p w:rsidRPr="00021A5B" w:rsidR="00B76BD3" w:rsidP="00E34A2D" w:rsidRDefault="00B76BD3">
      <w:pPr>
        <w:pStyle w:val="Voetnoottekst"/>
        <w:rPr>
          <w:rFonts w:ascii="Verdana" w:hAnsi="Verdana"/>
          <w:b/>
        </w:rPr>
      </w:pPr>
    </w:p>
    <w:p w:rsidR="00376ACC" w:rsidRDefault="00376ACC">
      <w:pPr>
        <w:rPr>
          <w:rFonts w:ascii="Verdana" w:hAnsi="Verdana"/>
          <w:b/>
        </w:rPr>
      </w:pPr>
      <w:r>
        <w:rPr>
          <w:rFonts w:ascii="Verdana" w:hAnsi="Verdana"/>
          <w:b/>
        </w:rPr>
        <w:br w:type="page"/>
      </w: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1">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(soft-law)</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244" w:rsidRDefault="00AC4244" w:rsidP="00E34A2D">
      <w:r>
        <w:separator/>
      </w:r>
    </w:p>
  </w:endnote>
  <w:endnote w:type="continuationSeparator" w:id="0">
    <w:p w:rsidR="00AC4244" w:rsidRDefault="00AC4244"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244" w:rsidRDefault="00AC4244" w:rsidP="00E34A2D">
      <w:r>
        <w:separator/>
      </w:r>
    </w:p>
  </w:footnote>
  <w:footnote w:type="continuationSeparator" w:id="0">
    <w:p w:rsidR="00AC4244" w:rsidRDefault="00AC4244"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21A5B"/>
    <w:rsid w:val="00042518"/>
    <w:rsid w:val="0004740C"/>
    <w:rsid w:val="00053A21"/>
    <w:rsid w:val="00057DE3"/>
    <w:rsid w:val="00066693"/>
    <w:rsid w:val="00076F95"/>
    <w:rsid w:val="000842C8"/>
    <w:rsid w:val="000A2B12"/>
    <w:rsid w:val="000D1E1E"/>
    <w:rsid w:val="000F7673"/>
    <w:rsid w:val="001717B9"/>
    <w:rsid w:val="00191F74"/>
    <w:rsid w:val="00200C1D"/>
    <w:rsid w:val="00214592"/>
    <w:rsid w:val="00223DF9"/>
    <w:rsid w:val="0022783E"/>
    <w:rsid w:val="00273611"/>
    <w:rsid w:val="002A1C59"/>
    <w:rsid w:val="002D63DE"/>
    <w:rsid w:val="002E6DA8"/>
    <w:rsid w:val="00316C98"/>
    <w:rsid w:val="003510B5"/>
    <w:rsid w:val="00376ACC"/>
    <w:rsid w:val="003776E2"/>
    <w:rsid w:val="003B762C"/>
    <w:rsid w:val="003D4485"/>
    <w:rsid w:val="003E0BCD"/>
    <w:rsid w:val="00420609"/>
    <w:rsid w:val="00435D03"/>
    <w:rsid w:val="0045252E"/>
    <w:rsid w:val="0046641F"/>
    <w:rsid w:val="00473F02"/>
    <w:rsid w:val="004C5A17"/>
    <w:rsid w:val="004C7A6A"/>
    <w:rsid w:val="004E4562"/>
    <w:rsid w:val="00505AFF"/>
    <w:rsid w:val="00506FCC"/>
    <w:rsid w:val="00507AC9"/>
    <w:rsid w:val="005129ED"/>
    <w:rsid w:val="005212C9"/>
    <w:rsid w:val="00545D82"/>
    <w:rsid w:val="00546B1D"/>
    <w:rsid w:val="0059713E"/>
    <w:rsid w:val="005B7672"/>
    <w:rsid w:val="005E0DD1"/>
    <w:rsid w:val="005E30E3"/>
    <w:rsid w:val="00610EE8"/>
    <w:rsid w:val="00622303"/>
    <w:rsid w:val="00640A4E"/>
    <w:rsid w:val="006605C6"/>
    <w:rsid w:val="00666395"/>
    <w:rsid w:val="006732E8"/>
    <w:rsid w:val="00685915"/>
    <w:rsid w:val="00694BCA"/>
    <w:rsid w:val="006A0D87"/>
    <w:rsid w:val="006B380C"/>
    <w:rsid w:val="006D4A88"/>
    <w:rsid w:val="00707B33"/>
    <w:rsid w:val="00726889"/>
    <w:rsid w:val="00736970"/>
    <w:rsid w:val="007410C6"/>
    <w:rsid w:val="0074305F"/>
    <w:rsid w:val="007529D4"/>
    <w:rsid w:val="0076598A"/>
    <w:rsid w:val="00777493"/>
    <w:rsid w:val="00796A54"/>
    <w:rsid w:val="007B3194"/>
    <w:rsid w:val="007B34BC"/>
    <w:rsid w:val="007D40B9"/>
    <w:rsid w:val="007E3D88"/>
    <w:rsid w:val="00811362"/>
    <w:rsid w:val="008309FF"/>
    <w:rsid w:val="008E0742"/>
    <w:rsid w:val="008E28F7"/>
    <w:rsid w:val="009160FA"/>
    <w:rsid w:val="00916D21"/>
    <w:rsid w:val="00917FCF"/>
    <w:rsid w:val="0092554C"/>
    <w:rsid w:val="00931F2B"/>
    <w:rsid w:val="009419E4"/>
    <w:rsid w:val="009464F8"/>
    <w:rsid w:val="00964C2E"/>
    <w:rsid w:val="00974103"/>
    <w:rsid w:val="009A0FC6"/>
    <w:rsid w:val="009A4778"/>
    <w:rsid w:val="009C388A"/>
    <w:rsid w:val="009C7E5C"/>
    <w:rsid w:val="009E3021"/>
    <w:rsid w:val="00A137D8"/>
    <w:rsid w:val="00A3314F"/>
    <w:rsid w:val="00A54D1F"/>
    <w:rsid w:val="00A7095F"/>
    <w:rsid w:val="00A93A28"/>
    <w:rsid w:val="00A95F68"/>
    <w:rsid w:val="00AC4244"/>
    <w:rsid w:val="00AC7F3C"/>
    <w:rsid w:val="00AD2751"/>
    <w:rsid w:val="00AD4E0E"/>
    <w:rsid w:val="00AE5D29"/>
    <w:rsid w:val="00AF3F1D"/>
    <w:rsid w:val="00B06716"/>
    <w:rsid w:val="00B31027"/>
    <w:rsid w:val="00B35E56"/>
    <w:rsid w:val="00B464EB"/>
    <w:rsid w:val="00B76BD3"/>
    <w:rsid w:val="00BB0A70"/>
    <w:rsid w:val="00BC696D"/>
    <w:rsid w:val="00BF542D"/>
    <w:rsid w:val="00C00CFA"/>
    <w:rsid w:val="00C205FD"/>
    <w:rsid w:val="00C40D4F"/>
    <w:rsid w:val="00C44C39"/>
    <w:rsid w:val="00C70943"/>
    <w:rsid w:val="00CD2557"/>
    <w:rsid w:val="00CD3A5D"/>
    <w:rsid w:val="00CD43B9"/>
    <w:rsid w:val="00D004FC"/>
    <w:rsid w:val="00D0746E"/>
    <w:rsid w:val="00D33133"/>
    <w:rsid w:val="00D51C73"/>
    <w:rsid w:val="00D52CF9"/>
    <w:rsid w:val="00D729AB"/>
    <w:rsid w:val="00D775CA"/>
    <w:rsid w:val="00D9615E"/>
    <w:rsid w:val="00D96C24"/>
    <w:rsid w:val="00DA08F5"/>
    <w:rsid w:val="00DE2C83"/>
    <w:rsid w:val="00E048A7"/>
    <w:rsid w:val="00E34A2D"/>
    <w:rsid w:val="00E52F23"/>
    <w:rsid w:val="00E60E54"/>
    <w:rsid w:val="00E72B18"/>
    <w:rsid w:val="00E77821"/>
    <w:rsid w:val="00EA2272"/>
    <w:rsid w:val="00EC0FC2"/>
    <w:rsid w:val="00ED40CC"/>
    <w:rsid w:val="00F04FFD"/>
    <w:rsid w:val="00F3194C"/>
    <w:rsid w:val="00F552B9"/>
    <w:rsid w:val="00F74ED7"/>
    <w:rsid w:val="00FA15B5"/>
    <w:rsid w:val="00FA27D6"/>
    <w:rsid w:val="00FC67DB"/>
    <w:rsid w:val="00FE39EB"/>
    <w:rsid w:val="00FE457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hyperlink" Target="https://ec.europa.eu/info/consultations/improving-passenger-railway-security_nl" TargetMode="External" Id="rId10" /><Relationship Type="http://schemas.microsoft.com/office/2007/relationships/stylesWithEffects" Target="stylesWithEffects.xml" Id="rId4" /><Relationship Type="http://schemas.openxmlformats.org/officeDocument/2006/relationships/hyperlink" Target="https://ec.europa.eu/clima/consultations/evaluation-eus-strategy-adaptation-climate-change_en"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2088</ap:Words>
  <ap:Characters>13872</ap:Characters>
  <ap:DocSecurity>4</ap:DocSecurity>
  <ap:Lines>115</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2018-01-18T10:45:00.0000000Z</lastPrinted>
  <dcterms:created xsi:type="dcterms:W3CDTF">2018-01-18T11:11:00.0000000Z</dcterms:created>
  <dcterms:modified xsi:type="dcterms:W3CDTF">2018-01-18T11:11:00.0000000Z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0x010100A82DAF1B49FBD246A696A6974A5D3C9B</vt:lpwstr>
  </property>
</Properties>
</file>