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FF1" w:rsidP="00025898" w:rsidRDefault="00025898" w14:paraId="5D221848" w14:textId="77777777">
      <w:pPr>
        <w:pStyle w:val="NoSpacing"/>
        <w:spacing w:line="300" w:lineRule="atLeast"/>
        <w:jc w:val="center"/>
        <w:rPr>
          <w:rFonts w:cs="Arial"/>
          <w:b/>
        </w:rPr>
      </w:pPr>
      <w:r>
        <w:rPr>
          <w:rFonts w:cs="Arial"/>
          <w:b/>
        </w:rPr>
        <w:t>Deeleconomie</w:t>
      </w:r>
      <w:r w:rsidR="00D71FF1">
        <w:rPr>
          <w:rFonts w:cs="Arial"/>
          <w:b/>
        </w:rPr>
        <w:t xml:space="preserve"> en Beleid</w:t>
      </w:r>
    </w:p>
    <w:p w:rsidR="00025898" w:rsidP="00D71FF1" w:rsidRDefault="00025898" w14:paraId="30FC041F" w14:textId="77777777">
      <w:pPr>
        <w:pStyle w:val="NoSpacing"/>
        <w:spacing w:line="300" w:lineRule="atLeast"/>
        <w:rPr>
          <w:rFonts w:cs="Arial"/>
          <w:b/>
        </w:rPr>
      </w:pPr>
      <w:bookmarkStart w:name="_GoBack" w:id="0"/>
      <w:bookmarkEnd w:id="0"/>
    </w:p>
    <w:p w:rsidR="00AC50FF" w:rsidP="00025898" w:rsidRDefault="00025898" w14:paraId="6D124FBA" w14:textId="77777777">
      <w:pPr>
        <w:pStyle w:val="NoSpacing"/>
        <w:spacing w:line="300" w:lineRule="atLeast"/>
        <w:jc w:val="center"/>
        <w:rPr>
          <w:rFonts w:cs="Arial"/>
        </w:rPr>
      </w:pPr>
      <w:r>
        <w:rPr>
          <w:rFonts w:cs="Arial"/>
        </w:rPr>
        <w:t>Koen Frenken</w:t>
      </w:r>
      <w:r w:rsidR="00AC50FF">
        <w:rPr>
          <w:rFonts w:cs="Arial"/>
        </w:rPr>
        <w:t xml:space="preserve">, </w:t>
      </w:r>
      <w:r>
        <w:rPr>
          <w:rFonts w:cs="Arial"/>
        </w:rPr>
        <w:t xml:space="preserve">Universiteit Utrecht, </w:t>
      </w:r>
      <w:hyperlink w:history="1" r:id="rId7">
        <w:r>
          <w:rPr>
            <w:rStyle w:val="Hyperlink"/>
          </w:rPr>
          <w:t>k.frenken@uu.nl</w:t>
        </w:r>
      </w:hyperlink>
      <w:r>
        <w:rPr>
          <w:rFonts w:cs="Arial"/>
        </w:rPr>
        <w:t>, @kfrenken</w:t>
      </w:r>
      <w:r w:rsidR="00AC50FF">
        <w:rPr>
          <w:rFonts w:cs="Arial"/>
        </w:rPr>
        <w:t xml:space="preserve">  </w:t>
      </w:r>
    </w:p>
    <w:p w:rsidRPr="00AC50FF" w:rsidR="00025898" w:rsidP="00025898" w:rsidRDefault="00025898" w14:paraId="518FFA13" w14:textId="27472463">
      <w:pPr>
        <w:pStyle w:val="NoSpacing"/>
        <w:spacing w:line="300" w:lineRule="atLeast"/>
        <w:jc w:val="center"/>
        <w:rPr>
          <w:rFonts w:cs="Arial"/>
          <w:i/>
        </w:rPr>
      </w:pPr>
      <w:r w:rsidRPr="00AC50FF">
        <w:rPr>
          <w:rFonts w:cs="Arial"/>
          <w:i/>
        </w:rPr>
        <w:t>1</w:t>
      </w:r>
      <w:r w:rsidRPr="00AC50FF" w:rsidR="004D5E31">
        <w:rPr>
          <w:rFonts w:cs="Arial"/>
          <w:i/>
        </w:rPr>
        <w:t>1</w:t>
      </w:r>
      <w:r w:rsidRPr="00AC50FF">
        <w:rPr>
          <w:rFonts w:cs="Arial"/>
          <w:i/>
        </w:rPr>
        <w:t xml:space="preserve"> januari 2018</w:t>
      </w:r>
    </w:p>
    <w:p w:rsidR="00025898" w:rsidP="00025898" w:rsidRDefault="00025898" w14:paraId="1B7991EE" w14:textId="77777777">
      <w:pPr>
        <w:pStyle w:val="NoSpacing"/>
        <w:spacing w:line="300" w:lineRule="atLeast"/>
        <w:jc w:val="center"/>
        <w:rPr>
          <w:rFonts w:cs="Arial"/>
        </w:rPr>
      </w:pPr>
    </w:p>
    <w:p w:rsidR="00025898" w:rsidP="00025898" w:rsidRDefault="00025898" w14:paraId="21E027F0" w14:textId="536D113A">
      <w:pPr>
        <w:pStyle w:val="NoSpacing"/>
        <w:spacing w:line="300" w:lineRule="atLeast"/>
        <w:rPr>
          <w:lang w:eastAsia="en-GB"/>
        </w:rPr>
      </w:pPr>
      <w:r>
        <w:rPr>
          <w:rFonts w:cs="Arial"/>
        </w:rPr>
        <w:t xml:space="preserve">Sinds de opkomst van online platformen delen mensen steeds vaker hun spullen en </w:t>
      </w:r>
      <w:r w:rsidR="003C476D">
        <w:rPr>
          <w:rFonts w:cs="Arial"/>
        </w:rPr>
        <w:t>diensten</w:t>
      </w:r>
      <w:r>
        <w:rPr>
          <w:rFonts w:cs="Arial"/>
        </w:rPr>
        <w:t xml:space="preserve">. </w:t>
      </w:r>
      <w:r>
        <w:rPr>
          <w:lang w:eastAsia="en-GB"/>
        </w:rPr>
        <w:t xml:space="preserve">Een online platform koppelt een grote groep aanbieders met een grote groep afnemers met behulp van data, algoritmes en </w:t>
      </w:r>
      <w:r>
        <w:rPr>
          <w:i/>
          <w:lang w:eastAsia="en-GB"/>
        </w:rPr>
        <w:t>reviews</w:t>
      </w:r>
      <w:r>
        <w:rPr>
          <w:lang w:eastAsia="en-GB"/>
        </w:rPr>
        <w:t>.</w:t>
      </w:r>
      <w:r>
        <w:rPr>
          <w:rStyle w:val="FootnoteReference"/>
          <w:lang w:eastAsia="en-GB"/>
        </w:rPr>
        <w:footnoteReference w:id="1"/>
      </w:r>
      <w:r>
        <w:rPr>
          <w:sz w:val="24"/>
          <w:szCs w:val="24"/>
          <w:lang w:eastAsia="en-GB"/>
        </w:rPr>
        <w:t xml:space="preserve"> </w:t>
      </w:r>
      <w:r>
        <w:rPr>
          <w:rFonts w:cs="Arial"/>
        </w:rPr>
        <w:t>Zo is een snelgroeiende – en grotendeels informele – platformeconomie ontstaan</w:t>
      </w:r>
      <w:r w:rsidR="004D5E31">
        <w:rPr>
          <w:rFonts w:cs="Arial"/>
        </w:rPr>
        <w:t xml:space="preserve"> waarin particulieren steeds massaler handel drijven</w:t>
      </w:r>
      <w:r>
        <w:rPr>
          <w:rFonts w:cs="Arial"/>
        </w:rPr>
        <w:t xml:space="preserve">. Hierin kan een onderscheid gemaakt worden tussen </w:t>
      </w:r>
      <w:r>
        <w:rPr>
          <w:lang w:eastAsia="en-GB"/>
        </w:rPr>
        <w:t>particulieren die hun eigen spullen verhuren zoals bij huizen</w:t>
      </w:r>
      <w:r w:rsidR="004D5E31">
        <w:rPr>
          <w:lang w:eastAsia="en-GB"/>
        </w:rPr>
        <w:t xml:space="preserve">, </w:t>
      </w:r>
      <w:r>
        <w:rPr>
          <w:lang w:eastAsia="en-GB"/>
        </w:rPr>
        <w:t>parkeerplaatsen</w:t>
      </w:r>
      <w:r w:rsidR="004D5E31">
        <w:rPr>
          <w:lang w:eastAsia="en-GB"/>
        </w:rPr>
        <w:t>,</w:t>
      </w:r>
      <w:r>
        <w:rPr>
          <w:lang w:eastAsia="en-GB"/>
        </w:rPr>
        <w:t xml:space="preserve"> auto’s</w:t>
      </w:r>
      <w:r w:rsidR="004D5E31">
        <w:rPr>
          <w:lang w:eastAsia="en-GB"/>
        </w:rPr>
        <w:t>, campers en boten</w:t>
      </w:r>
      <w:r>
        <w:rPr>
          <w:lang w:eastAsia="en-GB"/>
        </w:rPr>
        <w:t xml:space="preserve"> (“deeleconomie”) en </w:t>
      </w:r>
      <w:r w:rsidR="004D5E31">
        <w:rPr>
          <w:lang w:eastAsia="en-GB"/>
        </w:rPr>
        <w:t xml:space="preserve">particulieren </w:t>
      </w:r>
      <w:r>
        <w:rPr>
          <w:lang w:eastAsia="en-GB"/>
        </w:rPr>
        <w:t>die hun diensten aanbieden zoals</w:t>
      </w:r>
      <w:r w:rsidR="004D5E31">
        <w:rPr>
          <w:lang w:eastAsia="en-GB"/>
        </w:rPr>
        <w:t xml:space="preserve"> het geval is</w:t>
      </w:r>
      <w:r>
        <w:rPr>
          <w:lang w:eastAsia="en-GB"/>
        </w:rPr>
        <w:t xml:space="preserve"> bij koken, schoonmaak, </w:t>
      </w:r>
      <w:r w:rsidR="004D5E31">
        <w:rPr>
          <w:lang w:eastAsia="en-GB"/>
        </w:rPr>
        <w:t xml:space="preserve">oppas, </w:t>
      </w:r>
      <w:r>
        <w:rPr>
          <w:lang w:eastAsia="en-GB"/>
        </w:rPr>
        <w:t xml:space="preserve">onderwijs en maaltijdbezorging (“kluseconomie”). </w:t>
      </w:r>
    </w:p>
    <w:p w:rsidR="00025898" w:rsidP="00025898" w:rsidRDefault="00025898" w14:paraId="2F68D8D0" w14:textId="649C9610">
      <w:pPr>
        <w:ind w:firstLine="709"/>
      </w:pPr>
      <w:r>
        <w:rPr>
          <w:rFonts w:cs="Arial"/>
        </w:rPr>
        <w:t xml:space="preserve">De economische voordelen van platformen zijn groot omdat consumenten goederen en diensten </w:t>
      </w:r>
      <w:r w:rsidR="003C476D">
        <w:rPr>
          <w:rFonts w:cs="Arial"/>
        </w:rPr>
        <w:t xml:space="preserve">gemakkelijker en </w:t>
      </w:r>
      <w:r>
        <w:rPr>
          <w:rFonts w:cs="Arial"/>
        </w:rPr>
        <w:t>goedkoper kunnen inhuren dan voorheen. Ook kunnen er positieve milieueffecten optreden omdat onbenutte capaciteit, met name van voertuigen en parkeerplaatsen, beter kan worden benut. Toch kan er reden zijn voor de overheid om in te grijpen in deze snelgroeiende praktijk, omdat een</w:t>
      </w:r>
      <w:r w:rsidR="004D5E31">
        <w:rPr>
          <w:rFonts w:cs="Arial"/>
        </w:rPr>
        <w:t xml:space="preserve"> aantal publieke belangen wordt</w:t>
      </w:r>
      <w:r>
        <w:rPr>
          <w:rFonts w:cs="Arial"/>
        </w:rPr>
        <w:t xml:space="preserve"> geschaad. In een rapport </w:t>
      </w:r>
      <w:r w:rsidR="004D5E31">
        <w:rPr>
          <w:rFonts w:cs="Arial"/>
        </w:rPr>
        <w:t xml:space="preserve">van mei 2017 van </w:t>
      </w:r>
      <w:r>
        <w:rPr>
          <w:rFonts w:cs="Arial"/>
        </w:rPr>
        <w:t>het Rathenau-instituut</w:t>
      </w:r>
      <w:r>
        <w:rPr>
          <w:rStyle w:val="FootnoteReference"/>
          <w:lang w:eastAsia="en-GB"/>
        </w:rPr>
        <w:footnoteReference w:id="2"/>
      </w:r>
      <w:r>
        <w:rPr>
          <w:rFonts w:cs="Arial"/>
        </w:rPr>
        <w:t xml:space="preserve"> is reeds een twintigtal aanbevelingen gedaan hoe deze praktijken, en de platformen die deze faciliteren, in betere banen geleid kan worden. </w:t>
      </w:r>
      <w:r w:rsidR="004D5E31">
        <w:rPr>
          <w:rFonts w:cs="Arial"/>
        </w:rPr>
        <w:t>Het Kabinet heeft hier recentelijk in januari 2018 op gereageerd.</w:t>
      </w:r>
      <w:r w:rsidR="004D5E31">
        <w:rPr>
          <w:rStyle w:val="FootnoteReference"/>
        </w:rPr>
        <w:footnoteReference w:id="3"/>
      </w:r>
    </w:p>
    <w:p w:rsidR="00025898" w:rsidP="00025898" w:rsidRDefault="00025898" w14:paraId="645266FF" w14:textId="7A30F539">
      <w:pPr>
        <w:pStyle w:val="RI-Kader"/>
        <w:shd w:val="clear" w:color="auto" w:fill="auto"/>
        <w:ind w:firstLine="709"/>
      </w:pPr>
      <w:r>
        <w:rPr>
          <w:rFonts w:cs="Arial"/>
        </w:rPr>
        <w:t xml:space="preserve">In deze korte bijdrage beperk ik </w:t>
      </w:r>
      <w:r w:rsidR="004D5E31">
        <w:rPr>
          <w:rFonts w:cs="Arial"/>
        </w:rPr>
        <w:t xml:space="preserve">me nu </w:t>
      </w:r>
      <w:r>
        <w:rPr>
          <w:rFonts w:cs="Arial"/>
        </w:rPr>
        <w:t>tot vier vragen: (1) Welke publieke belangen worden specifiek door deel- en klusplatformen geraakt? (2) Welke beleidsoptie</w:t>
      </w:r>
      <w:r w:rsidR="004D5E31">
        <w:rPr>
          <w:rFonts w:cs="Arial"/>
        </w:rPr>
        <w:t>s zijn er</w:t>
      </w:r>
      <w:r>
        <w:rPr>
          <w:rFonts w:cs="Arial"/>
        </w:rPr>
        <w:t xml:space="preserve">? (3) </w:t>
      </w:r>
      <w:r w:rsidR="004D5E31">
        <w:rPr>
          <w:rFonts w:cs="Arial"/>
        </w:rPr>
        <w:t xml:space="preserve">Welk </w:t>
      </w:r>
      <w:r>
        <w:rPr>
          <w:rFonts w:cs="Arial"/>
        </w:rPr>
        <w:t xml:space="preserve">beleid </w:t>
      </w:r>
      <w:r w:rsidR="004D5E31">
        <w:rPr>
          <w:rFonts w:cs="Arial"/>
        </w:rPr>
        <w:t xml:space="preserve">zou vooral </w:t>
      </w:r>
      <w:r>
        <w:rPr>
          <w:rFonts w:cs="Arial"/>
        </w:rPr>
        <w:t xml:space="preserve">sectorspecifiek </w:t>
      </w:r>
      <w:r w:rsidR="004D5E31">
        <w:rPr>
          <w:rFonts w:cs="Arial"/>
        </w:rPr>
        <w:t>moeten zijn en welk beleid juist generiek</w:t>
      </w:r>
      <w:r>
        <w:rPr>
          <w:rFonts w:cs="Arial"/>
        </w:rPr>
        <w:t>? (4) En</w:t>
      </w:r>
      <w:r w:rsidR="004D5E31">
        <w:rPr>
          <w:rFonts w:cs="Arial"/>
        </w:rPr>
        <w:t>,</w:t>
      </w:r>
      <w:r>
        <w:rPr>
          <w:rFonts w:cs="Arial"/>
        </w:rPr>
        <w:t xml:space="preserve"> </w:t>
      </w:r>
      <w:r w:rsidR="004D5E31">
        <w:rPr>
          <w:rFonts w:cs="Arial"/>
        </w:rPr>
        <w:t xml:space="preserve">welk beleid dient op </w:t>
      </w:r>
      <w:r>
        <w:rPr>
          <w:rFonts w:cs="Arial"/>
        </w:rPr>
        <w:t>welk bestuurlijk niveau vormgegeven te worden?</w:t>
      </w:r>
    </w:p>
    <w:p w:rsidR="00025898" w:rsidP="00025898" w:rsidRDefault="00025898" w14:paraId="484630C2" w14:textId="77777777">
      <w:pPr>
        <w:rPr>
          <w:rFonts w:cs="Arial"/>
        </w:rPr>
      </w:pPr>
    </w:p>
    <w:p w:rsidR="00025898" w:rsidP="00025898" w:rsidRDefault="00AC50FF" w14:paraId="47C96070" w14:textId="76B695A8">
      <w:pPr>
        <w:rPr>
          <w:rFonts w:cs="Arial"/>
          <w:b/>
          <w:u w:val="single"/>
        </w:rPr>
      </w:pPr>
      <w:r>
        <w:rPr>
          <w:rFonts w:cs="Arial"/>
          <w:b/>
          <w:u w:val="single"/>
        </w:rPr>
        <w:t xml:space="preserve">1. </w:t>
      </w:r>
      <w:r w:rsidR="00025898">
        <w:rPr>
          <w:rFonts w:cs="Arial"/>
          <w:b/>
          <w:u w:val="single"/>
        </w:rPr>
        <w:t>Publieke belangen</w:t>
      </w:r>
    </w:p>
    <w:p w:rsidR="00025898" w:rsidP="00025898" w:rsidRDefault="00025898" w14:paraId="138579FD" w14:textId="20B2052A">
      <w:pPr>
        <w:rPr>
          <w:rFonts w:cs="Arial"/>
        </w:rPr>
      </w:pPr>
      <w:r>
        <w:rPr>
          <w:rFonts w:cs="Arial"/>
        </w:rPr>
        <w:t xml:space="preserve">Er zijn tal van publieke belangen in het geding met de opkomst van deel- en klusplatformen variërend van positieve effecten voor consumenten, werkgelegenheid en milieu tot negatieve effecten als </w:t>
      </w:r>
      <w:r w:rsidR="003C476D">
        <w:rPr>
          <w:rFonts w:cs="Arial"/>
        </w:rPr>
        <w:t xml:space="preserve">oneerlijke concurrentie, </w:t>
      </w:r>
      <w:r>
        <w:rPr>
          <w:rFonts w:cs="Arial"/>
        </w:rPr>
        <w:t>overlast, en onvoldoende sociale bescherming van freelance werkers. Om in de wirwar van effecten en publieke belangen een overzicht aan te brengen, is het nuttig om een onderscheid te maken tussen vier partijen: aanbieders, afnemers, derden, en het platform zelf.</w:t>
      </w:r>
    </w:p>
    <w:p w:rsidR="00025898" w:rsidP="00025898" w:rsidRDefault="00025898" w14:paraId="02A59576" w14:textId="433C8CBC">
      <w:pPr>
        <w:ind w:firstLine="708"/>
        <w:rPr>
          <w:rFonts w:cs="Arial"/>
        </w:rPr>
      </w:pPr>
      <w:r>
        <w:rPr>
          <w:rFonts w:cs="Arial"/>
        </w:rPr>
        <w:t xml:space="preserve">Het zijn de </w:t>
      </w:r>
      <w:r>
        <w:rPr>
          <w:rFonts w:cs="Arial"/>
          <w:b/>
        </w:rPr>
        <w:t>aanbieders</w:t>
      </w:r>
      <w:r>
        <w:rPr>
          <w:rFonts w:cs="Arial"/>
        </w:rPr>
        <w:t xml:space="preserve"> die praktijken bezigen die – in strikte zin – illegaal kunnen zijn. Dit speelt vooral bij klusplatformen waarbij diensten worden aangeboden zonder dat aanbieders </w:t>
      </w:r>
      <w:r>
        <w:rPr>
          <w:rFonts w:cs="Arial"/>
          <w:i/>
        </w:rPr>
        <w:t>per se</w:t>
      </w:r>
      <w:r>
        <w:rPr>
          <w:rFonts w:cs="Arial"/>
        </w:rPr>
        <w:t xml:space="preserve"> aan alle kwaliteitsnormen, regelgeving en belastingplicht voldoen. Tegelijkertijd zijn diezelfde aanbieders ook kwetsbaar omdat zij als freelancers geen sociale bescherming genieten </w:t>
      </w:r>
      <w:r w:rsidR="007F694D">
        <w:rPr>
          <w:rFonts w:cs="Arial"/>
        </w:rPr>
        <w:t xml:space="preserve">en </w:t>
      </w:r>
      <w:r>
        <w:rPr>
          <w:rFonts w:cs="Arial"/>
        </w:rPr>
        <w:t>op elk moment geweerd kunnen worden van een platform (bijvoorbeeld n.a.v. slechte reviews).</w:t>
      </w:r>
      <w:r w:rsidR="007F694D">
        <w:rPr>
          <w:rFonts w:cs="Arial"/>
        </w:rPr>
        <w:t xml:space="preserve"> De juridisch</w:t>
      </w:r>
      <w:r w:rsidR="004D5E31">
        <w:rPr>
          <w:rFonts w:cs="Arial"/>
        </w:rPr>
        <w:t>e</w:t>
      </w:r>
      <w:r w:rsidR="007F694D">
        <w:rPr>
          <w:rFonts w:cs="Arial"/>
        </w:rPr>
        <w:t xml:space="preserve"> vraag dringt zich op of platformen, in bepaalde gevallen, niet als werkgever of uitzendbureau moeten worden opgevat.</w:t>
      </w:r>
      <w:r w:rsidR="007F694D">
        <w:rPr>
          <w:rStyle w:val="FootnoteReference"/>
        </w:rPr>
        <w:footnoteReference w:id="4"/>
      </w:r>
    </w:p>
    <w:p w:rsidR="00025898" w:rsidP="00025898" w:rsidRDefault="00025898" w14:paraId="25638C56" w14:textId="77777777">
      <w:pPr>
        <w:ind w:firstLine="708"/>
        <w:rPr>
          <w:rFonts w:cs="Arial"/>
        </w:rPr>
      </w:pPr>
      <w:r>
        <w:rPr>
          <w:rFonts w:cs="Arial"/>
        </w:rPr>
        <w:lastRenderedPageBreak/>
        <w:t xml:space="preserve">De </w:t>
      </w:r>
      <w:r>
        <w:rPr>
          <w:rFonts w:cs="Arial"/>
          <w:b/>
        </w:rPr>
        <w:t>afnemers</w:t>
      </w:r>
      <w:r>
        <w:rPr>
          <w:rFonts w:cs="Arial"/>
        </w:rPr>
        <w:t xml:space="preserve"> van diensten via deel- en klusplatformen hebben vooral voordeel van platformen in de vorm van lagere prijzen, meer flexibiliteit en grotere keuzevrijheid. Hier staat evenwel tegenover dat zij als consument minder goed beschermd zijn tegen fraude, onveiligheid, etc. in vergelijking met afnemers van professionele diensten. </w:t>
      </w:r>
    </w:p>
    <w:p w:rsidR="00025898" w:rsidP="00025898" w:rsidRDefault="00025898" w14:paraId="770B891F" w14:textId="231DF219">
      <w:pPr>
        <w:ind w:firstLine="708"/>
        <w:rPr>
          <w:rFonts w:cs="Arial"/>
        </w:rPr>
      </w:pPr>
      <w:r>
        <w:rPr>
          <w:rFonts w:cs="Arial"/>
          <w:b/>
        </w:rPr>
        <w:t>Derden</w:t>
      </w:r>
      <w:r>
        <w:rPr>
          <w:rFonts w:cs="Arial"/>
        </w:rPr>
        <w:t xml:space="preserve"> kunnen </w:t>
      </w:r>
      <w:r w:rsidR="00AA5042">
        <w:rPr>
          <w:rFonts w:cs="Arial"/>
        </w:rPr>
        <w:t>gevolgen</w:t>
      </w:r>
      <w:r>
        <w:rPr>
          <w:rFonts w:cs="Arial"/>
        </w:rPr>
        <w:t xml:space="preserve"> ondervinden van </w:t>
      </w:r>
      <w:r w:rsidR="00AA5042">
        <w:rPr>
          <w:rFonts w:cs="Arial"/>
        </w:rPr>
        <w:t xml:space="preserve">aanbieders en afnemers op </w:t>
      </w:r>
      <w:r>
        <w:rPr>
          <w:rFonts w:cs="Arial"/>
        </w:rPr>
        <w:t xml:space="preserve">platformen (ook </w:t>
      </w:r>
      <w:r w:rsidR="00AA5042">
        <w:rPr>
          <w:rFonts w:cs="Arial"/>
        </w:rPr>
        <w:t>bekend als “externe effecten”).</w:t>
      </w:r>
      <w:r>
        <w:rPr>
          <w:rFonts w:cs="Arial"/>
        </w:rPr>
        <w:t xml:space="preserve"> Positieve </w:t>
      </w:r>
      <w:r w:rsidR="00AA5042">
        <w:rPr>
          <w:rFonts w:cs="Arial"/>
        </w:rPr>
        <w:t xml:space="preserve">externe </w:t>
      </w:r>
      <w:r>
        <w:rPr>
          <w:rFonts w:cs="Arial"/>
        </w:rPr>
        <w:t xml:space="preserve">effecten </w:t>
      </w:r>
      <w:r w:rsidR="00AA5042">
        <w:rPr>
          <w:rFonts w:cs="Arial"/>
        </w:rPr>
        <w:t xml:space="preserve">zijn milieueffecten. Deze </w:t>
      </w:r>
      <w:r>
        <w:rPr>
          <w:rFonts w:cs="Arial"/>
        </w:rPr>
        <w:t>spelen vooral in de mobiliteitssector waar het delen van auto’s en parkeerplaatsen tot minder autogebruik en meer publieke ruimte leidt.</w:t>
      </w:r>
      <w:r>
        <w:rPr>
          <w:rStyle w:val="FootnoteReference"/>
        </w:rPr>
        <w:footnoteReference w:id="5"/>
      </w:r>
      <w:r>
        <w:rPr>
          <w:rFonts w:cs="Arial"/>
        </w:rPr>
        <w:t xml:space="preserve"> Negatieve externe effecten spelen vooral een rol bij </w:t>
      </w:r>
      <w:r w:rsidR="00AA5042">
        <w:rPr>
          <w:rFonts w:cs="Arial"/>
        </w:rPr>
        <w:t>toeristische verhuur van woningen en thuisrestaurants</w:t>
      </w:r>
      <w:r>
        <w:rPr>
          <w:rFonts w:cs="Arial"/>
        </w:rPr>
        <w:t xml:space="preserve">. Bezoekers kunnen een bron van overlast </w:t>
      </w:r>
      <w:r w:rsidR="00AA5042">
        <w:rPr>
          <w:rFonts w:cs="Arial"/>
        </w:rPr>
        <w:t xml:space="preserve">zijn </w:t>
      </w:r>
      <w:r>
        <w:rPr>
          <w:rFonts w:cs="Arial"/>
        </w:rPr>
        <w:t>bij omwonenden.</w:t>
      </w:r>
      <w:r w:rsidR="003C476D">
        <w:rPr>
          <w:rFonts w:cs="Arial"/>
        </w:rPr>
        <w:t xml:space="preserve"> Ook </w:t>
      </w:r>
      <w:r w:rsidR="00AA5042">
        <w:rPr>
          <w:rFonts w:cs="Arial"/>
        </w:rPr>
        <w:t xml:space="preserve">onttrekken huizenbezitters die een huis permanent aanbieden aan toeristen – wat illegaal is – woningen </w:t>
      </w:r>
      <w:r w:rsidR="003C476D">
        <w:rPr>
          <w:rFonts w:cs="Arial"/>
        </w:rPr>
        <w:t>van de reeds schaarse woningvoorraad.</w:t>
      </w:r>
    </w:p>
    <w:p w:rsidR="00025898" w:rsidP="00025898" w:rsidRDefault="00025898" w14:paraId="10985EDA" w14:textId="439114F1">
      <w:pPr>
        <w:ind w:firstLine="708"/>
      </w:pPr>
      <w:r>
        <w:rPr>
          <w:rFonts w:cs="Arial"/>
        </w:rPr>
        <w:t xml:space="preserve">Tenslotte is het </w:t>
      </w:r>
      <w:r>
        <w:rPr>
          <w:rFonts w:cs="Arial"/>
          <w:b/>
        </w:rPr>
        <w:t>platform</w:t>
      </w:r>
      <w:r>
        <w:rPr>
          <w:rFonts w:cs="Arial"/>
        </w:rPr>
        <w:t xml:space="preserve"> zelf een belangrijke partij. Zij faciliteren niet alleen de praktijken van delen en klussen, maar verzamelen ook systematisch gegevens over keuzes en gedragingen van platformgebruikers. Met deze gegevens </w:t>
      </w:r>
      <w:r w:rsidR="003C476D">
        <w:rPr>
          <w:rFonts w:cs="Arial"/>
        </w:rPr>
        <w:t xml:space="preserve">kunnen </w:t>
      </w:r>
      <w:r>
        <w:rPr>
          <w:rFonts w:cs="Arial"/>
        </w:rPr>
        <w:t xml:space="preserve">extra inkomsten </w:t>
      </w:r>
      <w:r w:rsidR="003C476D">
        <w:rPr>
          <w:rFonts w:cs="Arial"/>
        </w:rPr>
        <w:t xml:space="preserve">worden </w:t>
      </w:r>
      <w:r>
        <w:rPr>
          <w:rFonts w:cs="Arial"/>
        </w:rPr>
        <w:t xml:space="preserve">gegenereerd via doorverkoop van gegevens aan andere partijen zonder gebruikers daarover in te lichten, wat de privacy van platformgebruikers niet ten goede komt. Daarnaast profiteert een platform van tweezijdige netwerkeffecten, omdat </w:t>
      </w:r>
      <w:r>
        <w:t xml:space="preserve">een platform vanzelf aantrekkelijker wordt voor afnemers als er meer aanbieders actief zijn, en </w:t>
      </w:r>
      <w:r>
        <w:rPr>
          <w:i/>
        </w:rPr>
        <w:t>vice versa</w:t>
      </w:r>
      <w:r w:rsidR="00AA5042">
        <w:t>. Om die reden</w:t>
      </w:r>
      <w:r>
        <w:t xml:space="preserve"> is het waarschijnlijk dat in de meeste sectoren er één of twee dominante platformen zullen ontstaan. </w:t>
      </w:r>
      <w:r w:rsidR="00AA5042">
        <w:t xml:space="preserve">Er </w:t>
      </w:r>
      <w:r>
        <w:t xml:space="preserve">bestaat </w:t>
      </w:r>
      <w:r w:rsidR="00AA5042">
        <w:t xml:space="preserve">dan </w:t>
      </w:r>
      <w:r>
        <w:t xml:space="preserve">het gevaar </w:t>
      </w:r>
      <w:r w:rsidR="00AA5042">
        <w:t xml:space="preserve">dat </w:t>
      </w:r>
      <w:r>
        <w:t xml:space="preserve">platformen gebruikers </w:t>
      </w:r>
      <w:r w:rsidR="00AA5042">
        <w:t xml:space="preserve">zullen </w:t>
      </w:r>
      <w:r>
        <w:t>uitbuiten met hoge commissies</w:t>
      </w:r>
      <w:r w:rsidR="00AA5042">
        <w:t xml:space="preserve">, te meer omdat </w:t>
      </w:r>
      <w:r w:rsidR="00AA5042">
        <w:t xml:space="preserve">het voor gebruikers </w:t>
      </w:r>
      <w:r w:rsidR="00AA5042">
        <w:t>vaak niet mogelijk</w:t>
      </w:r>
      <w:r w:rsidR="00AA5042">
        <w:t xml:space="preserve"> is om </w:t>
      </w:r>
      <w:r w:rsidR="00AA5042">
        <w:t xml:space="preserve">reviews en andere gegevens mee te nemen naar </w:t>
      </w:r>
      <w:r w:rsidR="00AA5042">
        <w:t>een concurrerend platform</w:t>
      </w:r>
      <w:r>
        <w:t>.</w:t>
      </w:r>
    </w:p>
    <w:p w:rsidR="00025898" w:rsidP="00025898" w:rsidRDefault="00025898" w14:paraId="407B9CF3" w14:textId="77777777"/>
    <w:p w:rsidR="00025898" w:rsidP="00025898" w:rsidRDefault="00025898" w14:paraId="6140E241" w14:textId="77777777">
      <w:pPr>
        <w:rPr>
          <w:b/>
          <w:u w:val="single"/>
        </w:rPr>
      </w:pPr>
      <w:r>
        <w:rPr>
          <w:b/>
          <w:u w:val="single"/>
        </w:rPr>
        <w:t>2. Beleidsopties</w:t>
      </w:r>
    </w:p>
    <w:p w:rsidR="00025898" w:rsidP="00025898" w:rsidRDefault="00025898" w14:paraId="1134B880" w14:textId="1F3E88ED">
      <w:r>
        <w:rPr>
          <w:b/>
        </w:rPr>
        <w:t>Verbieden:</w:t>
      </w:r>
      <w:r>
        <w:rPr>
          <w:b/>
          <w:i/>
        </w:rPr>
        <w:t xml:space="preserve">   </w:t>
      </w:r>
      <w:r>
        <w:t xml:space="preserve">Een praktijk verbieden kan gerechtvaardigd zijn als een zwaarwegend publiek belang in het geding is. Zo heeft de overheid particuliere aanbieders van taxiritten, zoals gefaciliteerd door UberPop, effectief weten te vervolgen en is Uber vervolgens gestopt met het aanbieden van deze dienst. Een verbod belemmert niet automatisch innovatie. Zo </w:t>
      </w:r>
      <w:r w:rsidR="003C476D">
        <w:t xml:space="preserve">weet </w:t>
      </w:r>
      <w:r>
        <w:t xml:space="preserve">Uber </w:t>
      </w:r>
      <w:r w:rsidR="003C476D">
        <w:t xml:space="preserve">momenteel </w:t>
      </w:r>
      <w:r>
        <w:t xml:space="preserve">met een </w:t>
      </w:r>
      <w:r w:rsidR="003C476D">
        <w:t>legaal alternatief alsnog een flink marktaandeel te verwerven</w:t>
      </w:r>
      <w:r>
        <w:t>.</w:t>
      </w:r>
    </w:p>
    <w:p w:rsidR="00025898" w:rsidP="00025898" w:rsidRDefault="00025898" w14:paraId="2E96B4A8" w14:textId="5D5FFF97">
      <w:r>
        <w:rPr>
          <w:b/>
        </w:rPr>
        <w:t xml:space="preserve">Deregulering:   </w:t>
      </w:r>
      <w:r>
        <w:t xml:space="preserve">Regels </w:t>
      </w:r>
      <w:r w:rsidR="00CD1482">
        <w:t xml:space="preserve">kunnen </w:t>
      </w:r>
      <w:r>
        <w:t xml:space="preserve">ook worden versoepeld of afgeschaft. Zo zouden kwaliteitseisen kunnen worden versoepeld of diploma’s niet langer verplicht hoeven </w:t>
      </w:r>
      <w:r w:rsidR="00522868">
        <w:t xml:space="preserve">te </w:t>
      </w:r>
      <w:r>
        <w:t xml:space="preserve">worden gesteld. Een argument voor deregulering kan zijn dat de kwaliteit van diensten voldoende gewaarborgd is door reviews en nieuwe vormen van verzekering. </w:t>
      </w:r>
      <w:r w:rsidR="00522868">
        <w:t>Afnemers</w:t>
      </w:r>
      <w:r>
        <w:t xml:space="preserve"> zullen dan profiteren via lagere prijzen, maar de sociaaleconomische positie van </w:t>
      </w:r>
      <w:r w:rsidR="00522868">
        <w:t xml:space="preserve">aanbieders </w:t>
      </w:r>
      <w:r>
        <w:t>kan wel worden aangetast (denk bijvoorbeeld aan taxichauffeurs of restauranthouders).</w:t>
      </w:r>
    </w:p>
    <w:p w:rsidR="00025898" w:rsidP="00025898" w:rsidRDefault="00025898" w14:paraId="669D66AC" w14:textId="504450E5">
      <w:r>
        <w:rPr>
          <w:b/>
        </w:rPr>
        <w:t xml:space="preserve">Maximering:   </w:t>
      </w:r>
      <w:r>
        <w:t xml:space="preserve">De overheid kan er ook voor kiezen om deel- en kluspraktijken van particulieren toe te staan, maar de omvang ervan de begrenzen. Zo laat Amsterdam het toe aan haar bewoners om het eigen huis maximaal 60 dagen per jaar en aan maximaal 4 personen tegelijk te verhuren. Van groot belang is hierbij dat de overheid de nieuwe regels wel goed kan </w:t>
      </w:r>
      <w:r w:rsidR="003C476D">
        <w:t>handhaven</w:t>
      </w:r>
      <w:r>
        <w:t xml:space="preserve">. Merk ook op dat bij maximering </w:t>
      </w:r>
      <w:r w:rsidR="00522868">
        <w:t xml:space="preserve">afnemers </w:t>
      </w:r>
      <w:r>
        <w:t xml:space="preserve">een keuze hebben in de mate van bescherming die zij institutioneel willen genieten. Een professionele aanbieder mag dan vaak iets duurder zijn, er staat wel een hogere mate van professionaliteit en consumentenbescherming tegenover. Maximering verzacht </w:t>
      </w:r>
      <w:r w:rsidR="00522868">
        <w:t xml:space="preserve">dus </w:t>
      </w:r>
      <w:r>
        <w:t xml:space="preserve">de oneerlijke concurrentie tussen professionele aanbieders en </w:t>
      </w:r>
      <w:r w:rsidR="00522868">
        <w:t xml:space="preserve">particuliere </w:t>
      </w:r>
      <w:r>
        <w:t>aanbieders, maar neemt deze “oneerlijkheid” in essentie niet weg.</w:t>
      </w:r>
    </w:p>
    <w:p w:rsidR="00025898" w:rsidP="00025898" w:rsidRDefault="00025898" w14:paraId="3F78C5ED" w14:textId="695069CC">
      <w:r>
        <w:rPr>
          <w:b/>
        </w:rPr>
        <w:lastRenderedPageBreak/>
        <w:t xml:space="preserve">Gedogen:   </w:t>
      </w:r>
      <w:r>
        <w:t xml:space="preserve">Ondanks maatschappelijke problemen die platformen veroorzaken, kan gedogen gerechtvaardigd zijn in de beginfase van een platform </w:t>
      </w:r>
      <w:r w:rsidR="00AC50FF">
        <w:t xml:space="preserve">en zolang </w:t>
      </w:r>
      <w:r>
        <w:t xml:space="preserve">een platform nog beperkt in omvang is. Die fase </w:t>
      </w:r>
      <w:r w:rsidR="00AC50FF">
        <w:t>kan worden</w:t>
      </w:r>
      <w:r>
        <w:t xml:space="preserve"> gebruikt om gezamenlijk te leren over kansen en problemen.</w:t>
      </w:r>
    </w:p>
    <w:p w:rsidR="00025898" w:rsidP="00025898" w:rsidRDefault="00025898" w14:paraId="174DEF17" w14:textId="77777777"/>
    <w:p w:rsidR="00025898" w:rsidP="00025898" w:rsidRDefault="00025898" w14:paraId="23D9FE9A" w14:textId="77777777">
      <w:pPr>
        <w:rPr>
          <w:b/>
          <w:u w:val="single"/>
        </w:rPr>
      </w:pPr>
      <w:r>
        <w:rPr>
          <w:b/>
          <w:u w:val="single"/>
        </w:rPr>
        <w:t>3. Bestuurlijk niveau</w:t>
      </w:r>
    </w:p>
    <w:p w:rsidR="00025898" w:rsidP="00025898" w:rsidRDefault="00025898" w14:paraId="7D092B17" w14:textId="17C93DB7">
      <w:r>
        <w:t>Een belangrijke vraag is op welk bestuurlijk niveau beleid t.a.v. deel- en kluseconomie vormgegeven kan worden. Aanvankelijk zijn het vooral de grote gemeenten die zich actief met de kansen en problemen van deel- en klus</w:t>
      </w:r>
      <w:r w:rsidR="00AC50FF">
        <w:t>platformen</w:t>
      </w:r>
      <w:r>
        <w:t xml:space="preserve"> hebben beziggehouden. Dit is logisch omdat de meeste platformen lokale marktplaatsen zijn en aanvankelijk vooral in de grote steden populair waren. Dit verandert snel nu platformen ook buiten steden populair zijn geworden, en sommige diensten juíst op het platteland een uitkomst kunnen bieden (zoals mobiliteit op afroep).</w:t>
      </w:r>
    </w:p>
    <w:p w:rsidR="00025898" w:rsidP="00025898" w:rsidRDefault="00025898" w14:paraId="63C706B1" w14:textId="67B24316">
      <w:pPr>
        <w:ind w:firstLine="709"/>
      </w:pPr>
      <w:r>
        <w:t>Praktijken die worden gefaciliteerd door platformen kennen geen gemeentegrenzen. Als gemeenten aparte regels zouden opstellen, zal dat kunnen leiden tot allerlei ongewenste effecten aan gemeentegrenzen (bijv. als Amsterdam Airbnb zou verbieden, gaan toeristen mogelijk massaal naar omliggende gemeente).</w:t>
      </w:r>
      <w:r w:rsidR="00AC50FF">
        <w:t xml:space="preserve"> </w:t>
      </w:r>
      <w:r w:rsidR="00AC50FF">
        <w:t>Een landelijk beleid lijkt daarom voor de hand te liggen.</w:t>
      </w:r>
    </w:p>
    <w:p w:rsidR="00025898" w:rsidP="00025898" w:rsidRDefault="00025898" w14:paraId="65589F85" w14:textId="52E14857">
      <w:pPr>
        <w:ind w:firstLine="709"/>
      </w:pPr>
      <w:r>
        <w:t>Ook is er het belang van efficiëntie en effectiviteit van regelgeving. Verschillen in gemeentelijke regels zijn voor platformen en platformgebruikers lastiger om rekening mee te houden in vergelijking met één helder</w:t>
      </w:r>
      <w:r w:rsidR="00AC50FF">
        <w:t>,</w:t>
      </w:r>
      <w:r>
        <w:t xml:space="preserve"> landelijk beleid. Tegelijkertijd heeft de landelijke overheid een veel sterkere informatie- en onderhandelingspositie t.a.v. platformen </w:t>
      </w:r>
      <w:r w:rsidR="00AC50FF">
        <w:t>dan</w:t>
      </w:r>
      <w:r>
        <w:t xml:space="preserve"> een </w:t>
      </w:r>
      <w:r w:rsidR="00AC50FF">
        <w:t xml:space="preserve">enkele </w:t>
      </w:r>
      <w:r>
        <w:t>gemeente.</w:t>
      </w:r>
    </w:p>
    <w:p w:rsidR="00025898" w:rsidP="00025898" w:rsidRDefault="00025898" w14:paraId="13ECAEC0" w14:textId="77777777">
      <w:pPr>
        <w:ind w:firstLine="709"/>
      </w:pPr>
      <w:r>
        <w:t>Beleid dat gemotiveerd is door milieueffecten (bijv. hogere parkeertarieven) of overlast (bijv. maximering van woningdelen) zou bij wijze van uitzondering wél gemeentelijk kunnen worden bepaald, omdat dergelijke externe effecten vooral lokaal optreden.</w:t>
      </w:r>
    </w:p>
    <w:p w:rsidR="00025898" w:rsidP="00025898" w:rsidRDefault="00025898" w14:paraId="79F8B1C5" w14:textId="77777777"/>
    <w:p w:rsidR="00025898" w:rsidP="00025898" w:rsidRDefault="00025898" w14:paraId="54C8D158" w14:textId="77777777">
      <w:pPr>
        <w:rPr>
          <w:b/>
          <w:u w:val="single"/>
        </w:rPr>
      </w:pPr>
      <w:r>
        <w:rPr>
          <w:b/>
          <w:u w:val="single"/>
        </w:rPr>
        <w:t>4. Sectorspecifiek of generiek</w:t>
      </w:r>
    </w:p>
    <w:p w:rsidR="00025898" w:rsidP="00025898" w:rsidRDefault="00025898" w14:paraId="371403B2" w14:textId="27A10AD9">
      <w:r>
        <w:t xml:space="preserve">Een laatste bestuurlijk vraag is of beleid sectorspecifiek moet zijn of generiek. </w:t>
      </w:r>
      <w:r w:rsidR="00CD4EAA">
        <w:t>Het Kabinet</w:t>
      </w:r>
      <w:r>
        <w:rPr>
          <w:rStyle w:val="FootnoteReference"/>
        </w:rPr>
        <w:footnoteReference w:id="6"/>
      </w:r>
      <w:r>
        <w:t xml:space="preserve"> </w:t>
      </w:r>
      <w:r w:rsidR="00CD4EAA">
        <w:t xml:space="preserve">wijst </w:t>
      </w:r>
      <w:r w:rsidR="007F694D">
        <w:t xml:space="preserve">erop </w:t>
      </w:r>
      <w:r w:rsidR="00CD4EAA">
        <w:t xml:space="preserve">dat veel sectoren een eigen institutionele en maatschappelijk context hebben, en dat daarom een </w:t>
      </w:r>
      <w:r w:rsidRPr="00CD4EAA" w:rsidR="00CD4EAA">
        <w:rPr>
          <w:i/>
        </w:rPr>
        <w:t>case-by-case</w:t>
      </w:r>
      <w:r w:rsidR="00CD4EAA">
        <w:t xml:space="preserve"> benadering is geboden.</w:t>
      </w:r>
      <w:r w:rsidR="00CD4EAA">
        <w:t xml:space="preserve"> </w:t>
      </w:r>
      <w:r>
        <w:t>Dit is ook het beeld dat uit het voornoemde Rathenau-rapport naar voren komt waarin gekeken is naar een vijftal sectoren. Een sectorspecifieke benadering ligt dus voor de hand.</w:t>
      </w:r>
    </w:p>
    <w:p w:rsidR="00025898" w:rsidP="00025898" w:rsidRDefault="00025898" w14:paraId="15DE9EA1" w14:textId="6CF67F15">
      <w:pPr>
        <w:ind w:firstLine="709"/>
      </w:pPr>
      <w:r>
        <w:t xml:space="preserve">Toch zijn er aantal publieke belangen die bij alle </w:t>
      </w:r>
      <w:r w:rsidR="00AC50FF">
        <w:t>deel- en klus</w:t>
      </w:r>
      <w:r>
        <w:t xml:space="preserve">platformen van belang zijn </w:t>
      </w:r>
      <w:r w:rsidR="00AC50FF">
        <w:t xml:space="preserve">(en ook bij andere typen platformen zoals sociale media), i.h.b. </w:t>
      </w:r>
      <w:r>
        <w:t xml:space="preserve">mededinging, data-eigenaarschap en privacy. Niet toevallig zijn dit belangen die te maken hebben met het data-dreven en </w:t>
      </w:r>
      <w:r w:rsidR="00934EEC">
        <w:t xml:space="preserve">algoritmische </w:t>
      </w:r>
      <w:r>
        <w:t xml:space="preserve">karakter van alle platformen. </w:t>
      </w:r>
      <w:r w:rsidR="00AC50FF">
        <w:t xml:space="preserve">Generiek beleid is dan geboden zoals dat </w:t>
      </w:r>
      <w:r>
        <w:t xml:space="preserve">nu al vorm </w:t>
      </w:r>
      <w:r w:rsidR="00AC50FF">
        <w:t xml:space="preserve">krijgt </w:t>
      </w:r>
      <w:r>
        <w:t xml:space="preserve">op Europees niveau, i.h.b. met de aanstaande </w:t>
      </w:r>
      <w:r w:rsidR="00AC50FF">
        <w:t xml:space="preserve">invoering </w:t>
      </w:r>
      <w:r>
        <w:t xml:space="preserve">van de </w:t>
      </w:r>
      <w:r>
        <w:rPr>
          <w:i/>
        </w:rPr>
        <w:t>General Data Protection Regulation</w:t>
      </w:r>
      <w:r w:rsidR="00CD4EAA">
        <w:rPr>
          <w:rStyle w:val="FootnoteReference"/>
          <w:i/>
        </w:rPr>
        <w:footnoteReference w:id="7"/>
      </w:r>
      <w:r>
        <w:t xml:space="preserve"> in mei van dit jaar (</w:t>
      </w:r>
      <w:hyperlink w:history="1" r:id="rId8">
        <w:r w:rsidRPr="000363F1">
          <w:rPr>
            <w:rStyle w:val="Hyperlink"/>
          </w:rPr>
          <w:t>https://www.eugdpr.org/</w:t>
        </w:r>
      </w:hyperlink>
      <w:r>
        <w:t xml:space="preserve">). Tenslotte is er het vraagstuk van misgelopen belastingen omdat platformgebruikers hun inkomsten niet </w:t>
      </w:r>
      <w:r w:rsidRPr="00AC50FF">
        <w:rPr>
          <w:i/>
        </w:rPr>
        <w:t>per se</w:t>
      </w:r>
      <w:r>
        <w:t xml:space="preserve"> aangeven bij de Belastingdienst. Omdat het bij platformen gaat om </w:t>
      </w:r>
      <w:r w:rsidR="007F694D">
        <w:t xml:space="preserve">meer dan een </w:t>
      </w:r>
      <w:r>
        <w:t xml:space="preserve">miljoenen individuen </w:t>
      </w:r>
      <w:r w:rsidR="00934EEC">
        <w:t>gaat</w:t>
      </w:r>
      <w:r w:rsidR="007F694D">
        <w:rPr>
          <w:rStyle w:val="FootnoteReference"/>
        </w:rPr>
        <w:footnoteReference w:id="8"/>
      </w:r>
      <w:r w:rsidR="00934EEC">
        <w:t xml:space="preserve">, </w:t>
      </w:r>
      <w:r>
        <w:t>die doorgaans kleine bedragen verdienen (m.u.v. Airbnb verhuur)</w:t>
      </w:r>
      <w:r w:rsidR="00934EEC">
        <w:t>,</w:t>
      </w:r>
      <w:r>
        <w:t xml:space="preserve"> zou </w:t>
      </w:r>
      <w:r w:rsidR="00AC50FF">
        <w:t xml:space="preserve">men </w:t>
      </w:r>
      <w:r>
        <w:t xml:space="preserve">een versimpeling en automatisering (via platformen) van belasting van delen en klussen </w:t>
      </w:r>
      <w:r w:rsidR="00AC50FF">
        <w:t>kunnen overwegen</w:t>
      </w:r>
      <w:r>
        <w:t xml:space="preserve">. </w:t>
      </w:r>
      <w:r w:rsidR="00AC50FF">
        <w:t>En</w:t>
      </w:r>
      <w:r>
        <w:t xml:space="preserve"> platformen </w:t>
      </w:r>
      <w:r w:rsidR="00934EEC">
        <w:t xml:space="preserve">zelf, wanneer </w:t>
      </w:r>
      <w:r>
        <w:t>die vanuit het buitenland opereren</w:t>
      </w:r>
      <w:r w:rsidR="00934EEC">
        <w:t>,</w:t>
      </w:r>
      <w:r>
        <w:t xml:space="preserve"> betalen </w:t>
      </w:r>
      <w:r w:rsidR="00AC50FF">
        <w:t xml:space="preserve">vaak geen </w:t>
      </w:r>
      <w:r w:rsidR="00934EEC">
        <w:t>winst</w:t>
      </w:r>
      <w:r>
        <w:t>belasting aan Nederland</w:t>
      </w:r>
      <w:r w:rsidR="00934EEC">
        <w:t>.</w:t>
      </w:r>
      <w:r>
        <w:t xml:space="preserve"> </w:t>
      </w:r>
      <w:r w:rsidR="00934EEC">
        <w:t xml:space="preserve">Binnen de Europese Unie en de OEDO wordt over </w:t>
      </w:r>
      <w:r w:rsidR="00AC50FF">
        <w:t xml:space="preserve">oplossingen voor </w:t>
      </w:r>
      <w:r w:rsidR="00934EEC">
        <w:t>dit vraagstuk reeds nagedacht.</w:t>
      </w:r>
    </w:p>
    <w:p w:rsidR="00121047" w:rsidRDefault="00121047" w14:paraId="18784D99" w14:textId="77777777"/>
    <w:sectPr w:rsidR="00121047">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4F3D8" w14:textId="77777777" w:rsidR="00A343E4" w:rsidRDefault="00A343E4" w:rsidP="00025898">
      <w:pPr>
        <w:spacing w:line="240" w:lineRule="auto"/>
      </w:pPr>
      <w:r>
        <w:separator/>
      </w:r>
    </w:p>
  </w:endnote>
  <w:endnote w:type="continuationSeparator" w:id="0">
    <w:p w14:paraId="63597A72" w14:textId="77777777" w:rsidR="00A343E4" w:rsidRDefault="00A343E4" w:rsidP="00025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187344"/>
      <w:docPartObj>
        <w:docPartGallery w:val="Page Numbers (Bottom of Page)"/>
        <w:docPartUnique/>
      </w:docPartObj>
    </w:sdtPr>
    <w:sdtEndPr/>
    <w:sdtContent>
      <w:p w14:paraId="1F2194A9" w14:textId="77777777" w:rsidR="00025898" w:rsidRDefault="00025898">
        <w:pPr>
          <w:pStyle w:val="Footer"/>
          <w:jc w:val="center"/>
        </w:pPr>
        <w:r>
          <w:fldChar w:fldCharType="begin"/>
        </w:r>
        <w:r>
          <w:instrText>PAGE   \* MERGEFORMAT</w:instrText>
        </w:r>
        <w:r>
          <w:fldChar w:fldCharType="separate"/>
        </w:r>
        <w:r w:rsidR="00FE3934">
          <w:rPr>
            <w:noProof/>
          </w:rPr>
          <w:t>1</w:t>
        </w:r>
        <w:r>
          <w:fldChar w:fldCharType="end"/>
        </w:r>
      </w:p>
    </w:sdtContent>
  </w:sdt>
  <w:p w14:paraId="6650C9D2" w14:textId="77777777" w:rsidR="00025898" w:rsidRDefault="00025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4268A" w14:textId="77777777" w:rsidR="00A343E4" w:rsidRDefault="00A343E4" w:rsidP="00025898">
      <w:pPr>
        <w:spacing w:line="240" w:lineRule="auto"/>
      </w:pPr>
      <w:r>
        <w:separator/>
      </w:r>
    </w:p>
  </w:footnote>
  <w:footnote w:type="continuationSeparator" w:id="0">
    <w:p w14:paraId="08A3403B" w14:textId="77777777" w:rsidR="00A343E4" w:rsidRDefault="00A343E4" w:rsidP="00025898">
      <w:pPr>
        <w:spacing w:line="240" w:lineRule="auto"/>
      </w:pPr>
      <w:r>
        <w:continuationSeparator/>
      </w:r>
    </w:p>
  </w:footnote>
  <w:footnote w:id="1">
    <w:p w14:paraId="6FE0071D" w14:textId="77777777" w:rsidR="00025898" w:rsidRPr="007F694D" w:rsidRDefault="00025898" w:rsidP="00025898">
      <w:pPr>
        <w:pStyle w:val="FootnoteText"/>
        <w:rPr>
          <w:rFonts w:cs="Arial"/>
          <w:sz w:val="18"/>
          <w:szCs w:val="18"/>
          <w:lang w:val="en-US"/>
        </w:rPr>
      </w:pPr>
      <w:r w:rsidRPr="007F694D">
        <w:rPr>
          <w:rStyle w:val="FootnoteReference"/>
          <w:szCs w:val="18"/>
        </w:rPr>
        <w:footnoteRef/>
      </w:r>
      <w:r w:rsidRPr="007F694D">
        <w:rPr>
          <w:rFonts w:cs="Arial"/>
          <w:sz w:val="18"/>
          <w:szCs w:val="18"/>
          <w:lang w:val="en-US"/>
        </w:rPr>
        <w:t xml:space="preserve"> </w:t>
      </w:r>
      <w:r w:rsidRPr="007F694D">
        <w:rPr>
          <w:rFonts w:cs="Arial"/>
          <w:sz w:val="18"/>
          <w:szCs w:val="18"/>
          <w:shd w:val="clear" w:color="auto" w:fill="FFFFFF"/>
          <w:lang w:val="en-US"/>
        </w:rPr>
        <w:t xml:space="preserve">Kenney, M. Zysman, J. (2016) The rise of the platform economy. </w:t>
      </w:r>
      <w:r w:rsidRPr="007F694D">
        <w:rPr>
          <w:rFonts w:cs="Arial"/>
          <w:i/>
          <w:sz w:val="18"/>
          <w:szCs w:val="18"/>
          <w:shd w:val="clear" w:color="auto" w:fill="FFFFFF"/>
          <w:lang w:val="en-US"/>
        </w:rPr>
        <w:t>Issues in Science and Technology</w:t>
      </w:r>
      <w:r w:rsidRPr="007F694D">
        <w:rPr>
          <w:rFonts w:cs="Arial"/>
          <w:sz w:val="18"/>
          <w:szCs w:val="18"/>
          <w:shd w:val="clear" w:color="auto" w:fill="FFFFFF"/>
          <w:lang w:val="en-US"/>
        </w:rPr>
        <w:t xml:space="preserve"> 32, no. 3, http://issues.org/32-3/the-rise-of-the-platform-economy/</w:t>
      </w:r>
    </w:p>
  </w:footnote>
  <w:footnote w:id="2">
    <w:p w14:paraId="007DE099" w14:textId="5B0FDC99" w:rsidR="00025898" w:rsidRPr="007F694D" w:rsidRDefault="00025898" w:rsidP="00025898">
      <w:pPr>
        <w:pStyle w:val="FootnoteText"/>
        <w:rPr>
          <w:rFonts w:asciiTheme="majorHAnsi" w:hAnsiTheme="majorHAnsi" w:cstheme="majorHAnsi"/>
          <w:sz w:val="18"/>
          <w:szCs w:val="18"/>
        </w:rPr>
      </w:pPr>
      <w:r w:rsidRPr="007F694D">
        <w:rPr>
          <w:rStyle w:val="FootnoteReference"/>
          <w:szCs w:val="18"/>
        </w:rPr>
        <w:footnoteRef/>
      </w:r>
      <w:r w:rsidRPr="007F694D">
        <w:rPr>
          <w:rFonts w:cs="Arial"/>
          <w:sz w:val="18"/>
          <w:szCs w:val="18"/>
        </w:rPr>
        <w:t xml:space="preserve"> Frenken, K., Van Waes, A., Smink, M., Van Est, R. (2017) </w:t>
      </w:r>
      <w:r w:rsidRPr="007F694D">
        <w:rPr>
          <w:rFonts w:cs="Arial"/>
          <w:i/>
          <w:sz w:val="18"/>
          <w:szCs w:val="18"/>
        </w:rPr>
        <w:t>Eerlijk Delen. Publieke belangen in de deeleconomie en kluseconomie.</w:t>
      </w:r>
      <w:r w:rsidRPr="007F694D">
        <w:rPr>
          <w:rFonts w:cs="Arial"/>
          <w:sz w:val="18"/>
          <w:szCs w:val="18"/>
        </w:rPr>
        <w:t xml:space="preserve"> Den Haag: Rathenau Instituut, </w:t>
      </w:r>
      <w:r w:rsidR="007F694D">
        <w:rPr>
          <w:sz w:val="18"/>
          <w:szCs w:val="18"/>
        </w:rPr>
        <w:t>www.rathenau.nl</w:t>
      </w:r>
    </w:p>
  </w:footnote>
  <w:footnote w:id="3">
    <w:p w14:paraId="6D5E3B03" w14:textId="77777777" w:rsidR="004D5E31" w:rsidRPr="007F694D" w:rsidRDefault="004D5E31" w:rsidP="004D5E31">
      <w:pPr>
        <w:pStyle w:val="FootnoteText"/>
        <w:rPr>
          <w:sz w:val="18"/>
          <w:szCs w:val="18"/>
        </w:rPr>
      </w:pPr>
      <w:r w:rsidRPr="007F694D">
        <w:rPr>
          <w:rStyle w:val="FootnoteReference"/>
          <w:szCs w:val="18"/>
        </w:rPr>
        <w:footnoteRef/>
      </w:r>
      <w:r w:rsidRPr="007F694D">
        <w:rPr>
          <w:sz w:val="18"/>
          <w:szCs w:val="18"/>
        </w:rPr>
        <w:t xml:space="preserve"> Ministerie van Economische Zaken en Klimaat (2018). Kabinetsreactie op rapport Rathenau Instituut over deeleconomie, DGBI-R&amp;I / 17192263.</w:t>
      </w:r>
    </w:p>
  </w:footnote>
  <w:footnote w:id="4">
    <w:p w14:paraId="312F096F" w14:textId="7EAFFD5D" w:rsidR="007F694D" w:rsidRPr="007F694D" w:rsidRDefault="007F694D">
      <w:pPr>
        <w:pStyle w:val="FootnoteText"/>
      </w:pPr>
      <w:r w:rsidRPr="007F694D">
        <w:rPr>
          <w:rStyle w:val="FootnoteReference"/>
          <w:szCs w:val="18"/>
        </w:rPr>
        <w:footnoteRef/>
      </w:r>
      <w:r w:rsidRPr="007F694D">
        <w:rPr>
          <w:sz w:val="18"/>
          <w:szCs w:val="18"/>
        </w:rPr>
        <w:t xml:space="preserve"> Frenken, K. (2017) Hoe kan de onduidelijk status van platformwerkers verhelderd worden? </w:t>
      </w:r>
      <w:r w:rsidRPr="007F694D">
        <w:rPr>
          <w:i/>
          <w:sz w:val="18"/>
          <w:szCs w:val="18"/>
        </w:rPr>
        <w:t>Me Judice</w:t>
      </w:r>
      <w:r w:rsidRPr="007F694D">
        <w:rPr>
          <w:sz w:val="18"/>
          <w:szCs w:val="18"/>
        </w:rPr>
        <w:t>, 13 november, www.mejudice.nl</w:t>
      </w:r>
    </w:p>
  </w:footnote>
  <w:footnote w:id="5">
    <w:p w14:paraId="781DEC60" w14:textId="77777777" w:rsidR="00025898" w:rsidRDefault="00025898" w:rsidP="00025898">
      <w:pPr>
        <w:pStyle w:val="FootnoteText"/>
        <w:rPr>
          <w:rFonts w:cs="Arial"/>
          <w:sz w:val="18"/>
          <w:szCs w:val="18"/>
        </w:rPr>
      </w:pPr>
      <w:r>
        <w:rPr>
          <w:rStyle w:val="FootnoteReference"/>
          <w:szCs w:val="18"/>
        </w:rPr>
        <w:footnoteRef/>
      </w:r>
      <w:r>
        <w:rPr>
          <w:rFonts w:cs="Arial"/>
          <w:sz w:val="18"/>
          <w:szCs w:val="18"/>
        </w:rPr>
        <w:t xml:space="preserve"> Nijland, H., Van Meerkerk, J., Hoen, A. (2015) </w:t>
      </w:r>
      <w:r>
        <w:rPr>
          <w:rFonts w:cs="Arial"/>
          <w:i/>
          <w:sz w:val="18"/>
          <w:szCs w:val="18"/>
        </w:rPr>
        <w:t>Effecten van Autodelen op Mobiliteit en CO2-uitstoot.</w:t>
      </w:r>
      <w:r>
        <w:rPr>
          <w:rFonts w:cs="Arial"/>
          <w:sz w:val="18"/>
          <w:szCs w:val="18"/>
        </w:rPr>
        <w:t xml:space="preserve"> </w:t>
      </w:r>
      <w:r>
        <w:rPr>
          <w:rFonts w:cs="Arial"/>
          <w:iCs/>
          <w:sz w:val="18"/>
          <w:szCs w:val="18"/>
        </w:rPr>
        <w:t>Planbureau voor de Leefomgeving publicatienummer</w:t>
      </w:r>
      <w:r>
        <w:rPr>
          <w:rFonts w:cs="Arial"/>
          <w:i/>
          <w:iCs/>
          <w:sz w:val="18"/>
          <w:szCs w:val="18"/>
        </w:rPr>
        <w:t xml:space="preserve"> </w:t>
      </w:r>
      <w:r>
        <w:rPr>
          <w:rFonts w:cs="Arial"/>
          <w:sz w:val="18"/>
          <w:szCs w:val="18"/>
        </w:rPr>
        <w:t>1789, www.pbl.nl</w:t>
      </w:r>
    </w:p>
  </w:footnote>
  <w:footnote w:id="6">
    <w:p w14:paraId="2F0211D1" w14:textId="7A8571ED" w:rsidR="00025898" w:rsidRPr="007F694D" w:rsidRDefault="00025898" w:rsidP="00025898">
      <w:pPr>
        <w:pStyle w:val="FootnoteText"/>
        <w:rPr>
          <w:sz w:val="18"/>
          <w:szCs w:val="18"/>
        </w:rPr>
      </w:pPr>
      <w:r w:rsidRPr="007F694D">
        <w:rPr>
          <w:rStyle w:val="FootnoteReference"/>
          <w:szCs w:val="18"/>
        </w:rPr>
        <w:footnoteRef/>
      </w:r>
      <w:r w:rsidRPr="007F694D">
        <w:rPr>
          <w:sz w:val="18"/>
          <w:szCs w:val="18"/>
        </w:rPr>
        <w:t xml:space="preserve"> Ministerie van Economische Zaken</w:t>
      </w:r>
      <w:r w:rsidR="007F694D" w:rsidRPr="007F694D">
        <w:rPr>
          <w:sz w:val="18"/>
          <w:szCs w:val="18"/>
        </w:rPr>
        <w:t xml:space="preserve"> en Klimaat</w:t>
      </w:r>
      <w:r w:rsidRPr="007F694D">
        <w:rPr>
          <w:sz w:val="18"/>
          <w:szCs w:val="18"/>
        </w:rPr>
        <w:t xml:space="preserve"> (201</w:t>
      </w:r>
      <w:r w:rsidR="007F694D" w:rsidRPr="007F694D">
        <w:rPr>
          <w:sz w:val="18"/>
          <w:szCs w:val="18"/>
        </w:rPr>
        <w:t>8</w:t>
      </w:r>
      <w:r w:rsidRPr="007F694D">
        <w:rPr>
          <w:sz w:val="18"/>
          <w:szCs w:val="18"/>
        </w:rPr>
        <w:t xml:space="preserve">). </w:t>
      </w:r>
      <w:r w:rsidR="007F694D" w:rsidRPr="007F694D">
        <w:rPr>
          <w:sz w:val="18"/>
          <w:szCs w:val="18"/>
        </w:rPr>
        <w:t>Kabinetsreactie op rapport Rathenau Instituut over deeleconomie</w:t>
      </w:r>
      <w:r w:rsidR="007F694D" w:rsidRPr="007F694D">
        <w:rPr>
          <w:sz w:val="18"/>
          <w:szCs w:val="18"/>
        </w:rPr>
        <w:t xml:space="preserve">, </w:t>
      </w:r>
      <w:r w:rsidR="007F694D" w:rsidRPr="007F694D">
        <w:rPr>
          <w:sz w:val="18"/>
          <w:szCs w:val="18"/>
        </w:rPr>
        <w:t>DGBI-R&amp;I / 17192263</w:t>
      </w:r>
      <w:r w:rsidR="007F694D" w:rsidRPr="007F694D">
        <w:rPr>
          <w:sz w:val="18"/>
          <w:szCs w:val="18"/>
        </w:rPr>
        <w:t>.</w:t>
      </w:r>
    </w:p>
  </w:footnote>
  <w:footnote w:id="7">
    <w:p w14:paraId="1A849DFE" w14:textId="6420AF1E" w:rsidR="00CD4EAA" w:rsidRPr="007F694D" w:rsidRDefault="00CD4EAA">
      <w:pPr>
        <w:pStyle w:val="FootnoteText"/>
        <w:rPr>
          <w:sz w:val="18"/>
          <w:szCs w:val="18"/>
          <w:lang w:val="en-GB"/>
        </w:rPr>
      </w:pPr>
      <w:r w:rsidRPr="007F694D">
        <w:rPr>
          <w:rStyle w:val="FootnoteReference"/>
          <w:szCs w:val="18"/>
        </w:rPr>
        <w:footnoteRef/>
      </w:r>
      <w:r w:rsidRPr="007F694D">
        <w:rPr>
          <w:sz w:val="18"/>
          <w:szCs w:val="18"/>
        </w:rPr>
        <w:t xml:space="preserve"> </w:t>
      </w:r>
      <w:r w:rsidRPr="007F694D">
        <w:rPr>
          <w:sz w:val="18"/>
          <w:szCs w:val="18"/>
          <w:lang w:val="en-GB"/>
        </w:rPr>
        <w:t>www.eugdpr.org</w:t>
      </w:r>
    </w:p>
  </w:footnote>
  <w:footnote w:id="8">
    <w:p w14:paraId="4632BC3B" w14:textId="0CAB35E0" w:rsidR="007F694D" w:rsidRPr="007F694D" w:rsidRDefault="007F694D">
      <w:pPr>
        <w:pStyle w:val="FootnoteText"/>
        <w:rPr>
          <w:sz w:val="18"/>
          <w:szCs w:val="18"/>
          <w:lang w:val="en-GB"/>
        </w:rPr>
      </w:pPr>
      <w:r w:rsidRPr="007F694D">
        <w:rPr>
          <w:rStyle w:val="FootnoteReference"/>
          <w:szCs w:val="18"/>
        </w:rPr>
        <w:footnoteRef/>
      </w:r>
      <w:r w:rsidRPr="007F694D">
        <w:rPr>
          <w:sz w:val="18"/>
          <w:szCs w:val="18"/>
          <w:lang w:val="en-GB"/>
        </w:rPr>
        <w:t xml:space="preserve"> https://www.tno.nl/nl/over-tno/nieuws/2016/6/nederlandse-platformeconomie-groter-dan-gedacht/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98"/>
    <w:rsid w:val="00000078"/>
    <w:rsid w:val="00001FC8"/>
    <w:rsid w:val="00001FFF"/>
    <w:rsid w:val="0000239F"/>
    <w:rsid w:val="00002CD1"/>
    <w:rsid w:val="00003C5F"/>
    <w:rsid w:val="00004367"/>
    <w:rsid w:val="000075E9"/>
    <w:rsid w:val="00007797"/>
    <w:rsid w:val="0001527A"/>
    <w:rsid w:val="00020EC3"/>
    <w:rsid w:val="000224E4"/>
    <w:rsid w:val="00022D03"/>
    <w:rsid w:val="0002474C"/>
    <w:rsid w:val="00025898"/>
    <w:rsid w:val="000303B7"/>
    <w:rsid w:val="00031D3A"/>
    <w:rsid w:val="00031FA8"/>
    <w:rsid w:val="00033B07"/>
    <w:rsid w:val="00033FBA"/>
    <w:rsid w:val="00037414"/>
    <w:rsid w:val="00040E1F"/>
    <w:rsid w:val="00041E05"/>
    <w:rsid w:val="00042E69"/>
    <w:rsid w:val="00046102"/>
    <w:rsid w:val="0004775C"/>
    <w:rsid w:val="00047B32"/>
    <w:rsid w:val="00050A04"/>
    <w:rsid w:val="00052328"/>
    <w:rsid w:val="00063AF5"/>
    <w:rsid w:val="00064695"/>
    <w:rsid w:val="0006592C"/>
    <w:rsid w:val="00067C2D"/>
    <w:rsid w:val="00071212"/>
    <w:rsid w:val="00071A29"/>
    <w:rsid w:val="0007336D"/>
    <w:rsid w:val="0007341D"/>
    <w:rsid w:val="00074884"/>
    <w:rsid w:val="00075FDF"/>
    <w:rsid w:val="00076A63"/>
    <w:rsid w:val="00080240"/>
    <w:rsid w:val="000834EA"/>
    <w:rsid w:val="00084C80"/>
    <w:rsid w:val="00085C06"/>
    <w:rsid w:val="000902E3"/>
    <w:rsid w:val="0009054E"/>
    <w:rsid w:val="0009162C"/>
    <w:rsid w:val="00091B9A"/>
    <w:rsid w:val="0009288B"/>
    <w:rsid w:val="0009424D"/>
    <w:rsid w:val="000949A7"/>
    <w:rsid w:val="00095131"/>
    <w:rsid w:val="00095BEB"/>
    <w:rsid w:val="000A1CF9"/>
    <w:rsid w:val="000A1E49"/>
    <w:rsid w:val="000B21C2"/>
    <w:rsid w:val="000B3776"/>
    <w:rsid w:val="000B46C7"/>
    <w:rsid w:val="000C016C"/>
    <w:rsid w:val="000C2070"/>
    <w:rsid w:val="000C58FB"/>
    <w:rsid w:val="000C5AFC"/>
    <w:rsid w:val="000C65C3"/>
    <w:rsid w:val="000D0C03"/>
    <w:rsid w:val="000D2259"/>
    <w:rsid w:val="000D455F"/>
    <w:rsid w:val="000E018F"/>
    <w:rsid w:val="000E313D"/>
    <w:rsid w:val="000E4C6B"/>
    <w:rsid w:val="000F092B"/>
    <w:rsid w:val="000F1447"/>
    <w:rsid w:val="000F1AD9"/>
    <w:rsid w:val="000F3917"/>
    <w:rsid w:val="000F48AE"/>
    <w:rsid w:val="001000BF"/>
    <w:rsid w:val="0010039A"/>
    <w:rsid w:val="001016BB"/>
    <w:rsid w:val="00103BF8"/>
    <w:rsid w:val="00110A25"/>
    <w:rsid w:val="00120F82"/>
    <w:rsid w:val="00121047"/>
    <w:rsid w:val="0012750C"/>
    <w:rsid w:val="00127D08"/>
    <w:rsid w:val="00133CE4"/>
    <w:rsid w:val="001367BA"/>
    <w:rsid w:val="00137DFA"/>
    <w:rsid w:val="00141F10"/>
    <w:rsid w:val="001423A6"/>
    <w:rsid w:val="001432F5"/>
    <w:rsid w:val="00146FAD"/>
    <w:rsid w:val="00151CFF"/>
    <w:rsid w:val="001524A6"/>
    <w:rsid w:val="00155EC3"/>
    <w:rsid w:val="001560F2"/>
    <w:rsid w:val="00156D64"/>
    <w:rsid w:val="00156E01"/>
    <w:rsid w:val="0016197F"/>
    <w:rsid w:val="00161C32"/>
    <w:rsid w:val="001622F5"/>
    <w:rsid w:val="0016601C"/>
    <w:rsid w:val="001661FF"/>
    <w:rsid w:val="00167D74"/>
    <w:rsid w:val="001720D7"/>
    <w:rsid w:val="0017516B"/>
    <w:rsid w:val="00177326"/>
    <w:rsid w:val="0018079A"/>
    <w:rsid w:val="00182F92"/>
    <w:rsid w:val="00183E3E"/>
    <w:rsid w:val="00185997"/>
    <w:rsid w:val="00185F08"/>
    <w:rsid w:val="001928A5"/>
    <w:rsid w:val="001944C0"/>
    <w:rsid w:val="00195A98"/>
    <w:rsid w:val="00197D97"/>
    <w:rsid w:val="001A08B2"/>
    <w:rsid w:val="001A142C"/>
    <w:rsid w:val="001A449C"/>
    <w:rsid w:val="001B0F60"/>
    <w:rsid w:val="001B254C"/>
    <w:rsid w:val="001B319C"/>
    <w:rsid w:val="001B32AA"/>
    <w:rsid w:val="001B5177"/>
    <w:rsid w:val="001B5EDC"/>
    <w:rsid w:val="001B6B28"/>
    <w:rsid w:val="001B7489"/>
    <w:rsid w:val="001C00A0"/>
    <w:rsid w:val="001C0938"/>
    <w:rsid w:val="001C15A2"/>
    <w:rsid w:val="001C2A99"/>
    <w:rsid w:val="001C3BA0"/>
    <w:rsid w:val="001C43B9"/>
    <w:rsid w:val="001C4815"/>
    <w:rsid w:val="001C5CDE"/>
    <w:rsid w:val="001C76B3"/>
    <w:rsid w:val="001D21F1"/>
    <w:rsid w:val="001D5790"/>
    <w:rsid w:val="001D5ED4"/>
    <w:rsid w:val="001E0DB5"/>
    <w:rsid w:val="001E0E97"/>
    <w:rsid w:val="001E111D"/>
    <w:rsid w:val="001E2A93"/>
    <w:rsid w:val="001E4504"/>
    <w:rsid w:val="001E4875"/>
    <w:rsid w:val="001E5709"/>
    <w:rsid w:val="001F1B9D"/>
    <w:rsid w:val="001F45CF"/>
    <w:rsid w:val="002038B4"/>
    <w:rsid w:val="00204D57"/>
    <w:rsid w:val="00210E28"/>
    <w:rsid w:val="00211CED"/>
    <w:rsid w:val="00213103"/>
    <w:rsid w:val="00213443"/>
    <w:rsid w:val="00215434"/>
    <w:rsid w:val="00216644"/>
    <w:rsid w:val="00221AE1"/>
    <w:rsid w:val="00221B29"/>
    <w:rsid w:val="002224D7"/>
    <w:rsid w:val="00222C82"/>
    <w:rsid w:val="00222DE9"/>
    <w:rsid w:val="00225960"/>
    <w:rsid w:val="00225CBC"/>
    <w:rsid w:val="002268EA"/>
    <w:rsid w:val="00227CCD"/>
    <w:rsid w:val="0023134B"/>
    <w:rsid w:val="00237744"/>
    <w:rsid w:val="00237EF2"/>
    <w:rsid w:val="002471FB"/>
    <w:rsid w:val="00252AEC"/>
    <w:rsid w:val="002541D1"/>
    <w:rsid w:val="0025479E"/>
    <w:rsid w:val="00257331"/>
    <w:rsid w:val="00260713"/>
    <w:rsid w:val="00263CBD"/>
    <w:rsid w:val="0026739A"/>
    <w:rsid w:val="002678F0"/>
    <w:rsid w:val="00271F58"/>
    <w:rsid w:val="00272808"/>
    <w:rsid w:val="00274688"/>
    <w:rsid w:val="0028035B"/>
    <w:rsid w:val="00282070"/>
    <w:rsid w:val="00286975"/>
    <w:rsid w:val="00286EC9"/>
    <w:rsid w:val="00287901"/>
    <w:rsid w:val="00287C26"/>
    <w:rsid w:val="00290052"/>
    <w:rsid w:val="00294771"/>
    <w:rsid w:val="002A4C9A"/>
    <w:rsid w:val="002A54B4"/>
    <w:rsid w:val="002A55AD"/>
    <w:rsid w:val="002A62DF"/>
    <w:rsid w:val="002A6AEC"/>
    <w:rsid w:val="002A7971"/>
    <w:rsid w:val="002A7E6B"/>
    <w:rsid w:val="002B00FF"/>
    <w:rsid w:val="002B112F"/>
    <w:rsid w:val="002B1365"/>
    <w:rsid w:val="002B1DF8"/>
    <w:rsid w:val="002B26D9"/>
    <w:rsid w:val="002B54C7"/>
    <w:rsid w:val="002B7C05"/>
    <w:rsid w:val="002C5B7A"/>
    <w:rsid w:val="002C5F9C"/>
    <w:rsid w:val="002C6288"/>
    <w:rsid w:val="002C6E9B"/>
    <w:rsid w:val="002C7E05"/>
    <w:rsid w:val="002D09B2"/>
    <w:rsid w:val="002D22A8"/>
    <w:rsid w:val="002D267D"/>
    <w:rsid w:val="002D565B"/>
    <w:rsid w:val="002D582C"/>
    <w:rsid w:val="002D5F45"/>
    <w:rsid w:val="002E491B"/>
    <w:rsid w:val="002E4943"/>
    <w:rsid w:val="002E4956"/>
    <w:rsid w:val="002E4FA6"/>
    <w:rsid w:val="002E4FB4"/>
    <w:rsid w:val="002E6808"/>
    <w:rsid w:val="002E6C52"/>
    <w:rsid w:val="002F0450"/>
    <w:rsid w:val="002F0E47"/>
    <w:rsid w:val="002F5815"/>
    <w:rsid w:val="002F7D4F"/>
    <w:rsid w:val="00300483"/>
    <w:rsid w:val="00300A05"/>
    <w:rsid w:val="00300E34"/>
    <w:rsid w:val="00301C3C"/>
    <w:rsid w:val="00303EF7"/>
    <w:rsid w:val="00305807"/>
    <w:rsid w:val="00305909"/>
    <w:rsid w:val="00312EBA"/>
    <w:rsid w:val="00316615"/>
    <w:rsid w:val="00320DD4"/>
    <w:rsid w:val="00320E57"/>
    <w:rsid w:val="00322925"/>
    <w:rsid w:val="00322A12"/>
    <w:rsid w:val="00323811"/>
    <w:rsid w:val="00326312"/>
    <w:rsid w:val="0032648B"/>
    <w:rsid w:val="003308DF"/>
    <w:rsid w:val="00330B1A"/>
    <w:rsid w:val="00334DB3"/>
    <w:rsid w:val="00335B24"/>
    <w:rsid w:val="00336ED8"/>
    <w:rsid w:val="00340BB2"/>
    <w:rsid w:val="00341746"/>
    <w:rsid w:val="003424C8"/>
    <w:rsid w:val="00343845"/>
    <w:rsid w:val="00345ED7"/>
    <w:rsid w:val="003473E2"/>
    <w:rsid w:val="0035153F"/>
    <w:rsid w:val="00351814"/>
    <w:rsid w:val="00353616"/>
    <w:rsid w:val="00354222"/>
    <w:rsid w:val="003629C8"/>
    <w:rsid w:val="00362C66"/>
    <w:rsid w:val="00364C14"/>
    <w:rsid w:val="00364F50"/>
    <w:rsid w:val="00371C2A"/>
    <w:rsid w:val="003725A8"/>
    <w:rsid w:val="003730F6"/>
    <w:rsid w:val="00373875"/>
    <w:rsid w:val="003743E8"/>
    <w:rsid w:val="00374EE5"/>
    <w:rsid w:val="00377B45"/>
    <w:rsid w:val="003801A9"/>
    <w:rsid w:val="003830F6"/>
    <w:rsid w:val="003854E6"/>
    <w:rsid w:val="00386D12"/>
    <w:rsid w:val="00386D84"/>
    <w:rsid w:val="00390029"/>
    <w:rsid w:val="00392314"/>
    <w:rsid w:val="00392456"/>
    <w:rsid w:val="003A02FD"/>
    <w:rsid w:val="003A178F"/>
    <w:rsid w:val="003A1E81"/>
    <w:rsid w:val="003A3D69"/>
    <w:rsid w:val="003A443F"/>
    <w:rsid w:val="003A4AF4"/>
    <w:rsid w:val="003B1521"/>
    <w:rsid w:val="003B2CF7"/>
    <w:rsid w:val="003B5075"/>
    <w:rsid w:val="003B642A"/>
    <w:rsid w:val="003B6DD5"/>
    <w:rsid w:val="003C0E05"/>
    <w:rsid w:val="003C1097"/>
    <w:rsid w:val="003C24C8"/>
    <w:rsid w:val="003C32C9"/>
    <w:rsid w:val="003C476D"/>
    <w:rsid w:val="003C5950"/>
    <w:rsid w:val="003D106E"/>
    <w:rsid w:val="003D233F"/>
    <w:rsid w:val="003D632F"/>
    <w:rsid w:val="003D75E3"/>
    <w:rsid w:val="003E01F9"/>
    <w:rsid w:val="003E0405"/>
    <w:rsid w:val="003E050A"/>
    <w:rsid w:val="003E2B98"/>
    <w:rsid w:val="003E6786"/>
    <w:rsid w:val="003E72F3"/>
    <w:rsid w:val="003F0A28"/>
    <w:rsid w:val="003F1912"/>
    <w:rsid w:val="003F50E9"/>
    <w:rsid w:val="003F54D4"/>
    <w:rsid w:val="003F587B"/>
    <w:rsid w:val="00402B06"/>
    <w:rsid w:val="00403904"/>
    <w:rsid w:val="004041DD"/>
    <w:rsid w:val="00405B81"/>
    <w:rsid w:val="00410678"/>
    <w:rsid w:val="00410921"/>
    <w:rsid w:val="004127D3"/>
    <w:rsid w:val="00412EEC"/>
    <w:rsid w:val="00412F7A"/>
    <w:rsid w:val="0041610B"/>
    <w:rsid w:val="00417B45"/>
    <w:rsid w:val="00417D81"/>
    <w:rsid w:val="00422C5B"/>
    <w:rsid w:val="0042342A"/>
    <w:rsid w:val="00423EC7"/>
    <w:rsid w:val="00424331"/>
    <w:rsid w:val="004269EE"/>
    <w:rsid w:val="004277CD"/>
    <w:rsid w:val="004307C0"/>
    <w:rsid w:val="0043246D"/>
    <w:rsid w:val="004354E3"/>
    <w:rsid w:val="004366B6"/>
    <w:rsid w:val="00436A45"/>
    <w:rsid w:val="004373FA"/>
    <w:rsid w:val="0044131C"/>
    <w:rsid w:val="00442B35"/>
    <w:rsid w:val="00444EF1"/>
    <w:rsid w:val="0044555F"/>
    <w:rsid w:val="004459CE"/>
    <w:rsid w:val="00446642"/>
    <w:rsid w:val="00450988"/>
    <w:rsid w:val="004529E5"/>
    <w:rsid w:val="0045389A"/>
    <w:rsid w:val="004635FE"/>
    <w:rsid w:val="00464195"/>
    <w:rsid w:val="004642BD"/>
    <w:rsid w:val="004642E4"/>
    <w:rsid w:val="004648EE"/>
    <w:rsid w:val="00470600"/>
    <w:rsid w:val="00471D7A"/>
    <w:rsid w:val="00472E97"/>
    <w:rsid w:val="004737CF"/>
    <w:rsid w:val="004747F9"/>
    <w:rsid w:val="00476B3F"/>
    <w:rsid w:val="00477F47"/>
    <w:rsid w:val="00483265"/>
    <w:rsid w:val="00485AD5"/>
    <w:rsid w:val="004864CE"/>
    <w:rsid w:val="0049194F"/>
    <w:rsid w:val="00491C2A"/>
    <w:rsid w:val="00494A08"/>
    <w:rsid w:val="00494A65"/>
    <w:rsid w:val="004A081D"/>
    <w:rsid w:val="004A0830"/>
    <w:rsid w:val="004A5732"/>
    <w:rsid w:val="004A6316"/>
    <w:rsid w:val="004A6B2D"/>
    <w:rsid w:val="004B03BE"/>
    <w:rsid w:val="004B0E71"/>
    <w:rsid w:val="004C0B6E"/>
    <w:rsid w:val="004C24D4"/>
    <w:rsid w:val="004C5B66"/>
    <w:rsid w:val="004C603F"/>
    <w:rsid w:val="004D5E31"/>
    <w:rsid w:val="004E6CB1"/>
    <w:rsid w:val="004F1590"/>
    <w:rsid w:val="004F6943"/>
    <w:rsid w:val="00502926"/>
    <w:rsid w:val="0050366C"/>
    <w:rsid w:val="0050370B"/>
    <w:rsid w:val="0050611C"/>
    <w:rsid w:val="00506A4C"/>
    <w:rsid w:val="0050745F"/>
    <w:rsid w:val="00507770"/>
    <w:rsid w:val="00507FBF"/>
    <w:rsid w:val="005112FD"/>
    <w:rsid w:val="00512B92"/>
    <w:rsid w:val="005153D0"/>
    <w:rsid w:val="005175D8"/>
    <w:rsid w:val="00521A17"/>
    <w:rsid w:val="00522868"/>
    <w:rsid w:val="00523EFB"/>
    <w:rsid w:val="00532D9D"/>
    <w:rsid w:val="00534A4E"/>
    <w:rsid w:val="00534B53"/>
    <w:rsid w:val="00535617"/>
    <w:rsid w:val="00537C89"/>
    <w:rsid w:val="00537DCB"/>
    <w:rsid w:val="005414EE"/>
    <w:rsid w:val="00543422"/>
    <w:rsid w:val="00545BD5"/>
    <w:rsid w:val="00553F86"/>
    <w:rsid w:val="00554B80"/>
    <w:rsid w:val="00554F52"/>
    <w:rsid w:val="0055653D"/>
    <w:rsid w:val="00561775"/>
    <w:rsid w:val="005635FC"/>
    <w:rsid w:val="005645CE"/>
    <w:rsid w:val="00565EB9"/>
    <w:rsid w:val="00567034"/>
    <w:rsid w:val="00567C9E"/>
    <w:rsid w:val="00571167"/>
    <w:rsid w:val="005728D9"/>
    <w:rsid w:val="00574278"/>
    <w:rsid w:val="00577B1C"/>
    <w:rsid w:val="0058323B"/>
    <w:rsid w:val="005837E0"/>
    <w:rsid w:val="00587682"/>
    <w:rsid w:val="00591547"/>
    <w:rsid w:val="005951EB"/>
    <w:rsid w:val="005961CE"/>
    <w:rsid w:val="005A13B7"/>
    <w:rsid w:val="005A3935"/>
    <w:rsid w:val="005A6019"/>
    <w:rsid w:val="005A6A35"/>
    <w:rsid w:val="005B0EEC"/>
    <w:rsid w:val="005B1369"/>
    <w:rsid w:val="005B1CB8"/>
    <w:rsid w:val="005B211C"/>
    <w:rsid w:val="005B33D1"/>
    <w:rsid w:val="005B3F04"/>
    <w:rsid w:val="005B4C2D"/>
    <w:rsid w:val="005B61D9"/>
    <w:rsid w:val="005B7AE7"/>
    <w:rsid w:val="005B7B0C"/>
    <w:rsid w:val="005C1615"/>
    <w:rsid w:val="005C336E"/>
    <w:rsid w:val="005C44B5"/>
    <w:rsid w:val="005C5292"/>
    <w:rsid w:val="005C6162"/>
    <w:rsid w:val="005C6D0E"/>
    <w:rsid w:val="005C7918"/>
    <w:rsid w:val="005D3F0F"/>
    <w:rsid w:val="005D57F0"/>
    <w:rsid w:val="005D7448"/>
    <w:rsid w:val="005E03AB"/>
    <w:rsid w:val="005E0627"/>
    <w:rsid w:val="005E11AA"/>
    <w:rsid w:val="005E291A"/>
    <w:rsid w:val="005E2BC7"/>
    <w:rsid w:val="005E2F5B"/>
    <w:rsid w:val="005E66DD"/>
    <w:rsid w:val="005E7145"/>
    <w:rsid w:val="005F04B6"/>
    <w:rsid w:val="005F6E19"/>
    <w:rsid w:val="005F7F1F"/>
    <w:rsid w:val="00604411"/>
    <w:rsid w:val="006106B8"/>
    <w:rsid w:val="006159A2"/>
    <w:rsid w:val="00616235"/>
    <w:rsid w:val="00616B9C"/>
    <w:rsid w:val="00616CA9"/>
    <w:rsid w:val="006178D7"/>
    <w:rsid w:val="006216D8"/>
    <w:rsid w:val="00622688"/>
    <w:rsid w:val="0063015F"/>
    <w:rsid w:val="006318B4"/>
    <w:rsid w:val="00635021"/>
    <w:rsid w:val="00635099"/>
    <w:rsid w:val="00636B39"/>
    <w:rsid w:val="00636D1C"/>
    <w:rsid w:val="00640DBE"/>
    <w:rsid w:val="00642B09"/>
    <w:rsid w:val="006431CF"/>
    <w:rsid w:val="00645A64"/>
    <w:rsid w:val="00647C67"/>
    <w:rsid w:val="00656835"/>
    <w:rsid w:val="006618EB"/>
    <w:rsid w:val="00662DDD"/>
    <w:rsid w:val="00670A6A"/>
    <w:rsid w:val="00673507"/>
    <w:rsid w:val="00674AEA"/>
    <w:rsid w:val="00675640"/>
    <w:rsid w:val="00675F01"/>
    <w:rsid w:val="00683484"/>
    <w:rsid w:val="00683B7B"/>
    <w:rsid w:val="00683ECC"/>
    <w:rsid w:val="00684075"/>
    <w:rsid w:val="006847C5"/>
    <w:rsid w:val="00685938"/>
    <w:rsid w:val="00691C3F"/>
    <w:rsid w:val="00694BEA"/>
    <w:rsid w:val="00697196"/>
    <w:rsid w:val="0069794F"/>
    <w:rsid w:val="006A112A"/>
    <w:rsid w:val="006A1501"/>
    <w:rsid w:val="006A1DAF"/>
    <w:rsid w:val="006B4758"/>
    <w:rsid w:val="006C107F"/>
    <w:rsid w:val="006C31DE"/>
    <w:rsid w:val="006C3842"/>
    <w:rsid w:val="006C43F3"/>
    <w:rsid w:val="006D1F41"/>
    <w:rsid w:val="006D5F46"/>
    <w:rsid w:val="006D6B82"/>
    <w:rsid w:val="006E65DD"/>
    <w:rsid w:val="006E75AD"/>
    <w:rsid w:val="006F0384"/>
    <w:rsid w:val="006F1382"/>
    <w:rsid w:val="006F36E5"/>
    <w:rsid w:val="00702818"/>
    <w:rsid w:val="0070296A"/>
    <w:rsid w:val="0070397A"/>
    <w:rsid w:val="00703E2E"/>
    <w:rsid w:val="007049FE"/>
    <w:rsid w:val="00706E97"/>
    <w:rsid w:val="007117F6"/>
    <w:rsid w:val="0071274F"/>
    <w:rsid w:val="007148F5"/>
    <w:rsid w:val="0071557D"/>
    <w:rsid w:val="0071595C"/>
    <w:rsid w:val="00715EB5"/>
    <w:rsid w:val="007219ED"/>
    <w:rsid w:val="00722CF9"/>
    <w:rsid w:val="00723D87"/>
    <w:rsid w:val="00725783"/>
    <w:rsid w:val="00732146"/>
    <w:rsid w:val="007334A2"/>
    <w:rsid w:val="007350EA"/>
    <w:rsid w:val="00736A87"/>
    <w:rsid w:val="00741E95"/>
    <w:rsid w:val="007443F8"/>
    <w:rsid w:val="00747EA5"/>
    <w:rsid w:val="0075207C"/>
    <w:rsid w:val="00752221"/>
    <w:rsid w:val="00753A3E"/>
    <w:rsid w:val="0075643B"/>
    <w:rsid w:val="00756D33"/>
    <w:rsid w:val="00760160"/>
    <w:rsid w:val="00761F45"/>
    <w:rsid w:val="00762F83"/>
    <w:rsid w:val="00763305"/>
    <w:rsid w:val="00774B4D"/>
    <w:rsid w:val="00775EF0"/>
    <w:rsid w:val="0077679D"/>
    <w:rsid w:val="00783341"/>
    <w:rsid w:val="00786597"/>
    <w:rsid w:val="00790A32"/>
    <w:rsid w:val="00793C12"/>
    <w:rsid w:val="0079637F"/>
    <w:rsid w:val="00797EC3"/>
    <w:rsid w:val="007A2813"/>
    <w:rsid w:val="007A47AF"/>
    <w:rsid w:val="007A56CA"/>
    <w:rsid w:val="007B3EF2"/>
    <w:rsid w:val="007B5907"/>
    <w:rsid w:val="007C1263"/>
    <w:rsid w:val="007C216C"/>
    <w:rsid w:val="007C3778"/>
    <w:rsid w:val="007C7339"/>
    <w:rsid w:val="007D1F61"/>
    <w:rsid w:val="007D1FB6"/>
    <w:rsid w:val="007D2CBB"/>
    <w:rsid w:val="007D6D15"/>
    <w:rsid w:val="007E0F6D"/>
    <w:rsid w:val="007E4BAD"/>
    <w:rsid w:val="007E4C80"/>
    <w:rsid w:val="007E700F"/>
    <w:rsid w:val="007F01D5"/>
    <w:rsid w:val="007F1098"/>
    <w:rsid w:val="007F1985"/>
    <w:rsid w:val="007F52F7"/>
    <w:rsid w:val="007F5F0E"/>
    <w:rsid w:val="007F694D"/>
    <w:rsid w:val="00801C1F"/>
    <w:rsid w:val="00802579"/>
    <w:rsid w:val="00803580"/>
    <w:rsid w:val="00806584"/>
    <w:rsid w:val="008076EB"/>
    <w:rsid w:val="00813790"/>
    <w:rsid w:val="00814B74"/>
    <w:rsid w:val="00814EC8"/>
    <w:rsid w:val="00816D03"/>
    <w:rsid w:val="0082296C"/>
    <w:rsid w:val="008234FD"/>
    <w:rsid w:val="00823C47"/>
    <w:rsid w:val="00826B39"/>
    <w:rsid w:val="0083059F"/>
    <w:rsid w:val="0083282E"/>
    <w:rsid w:val="00832A9A"/>
    <w:rsid w:val="008333E6"/>
    <w:rsid w:val="008337E8"/>
    <w:rsid w:val="00833D53"/>
    <w:rsid w:val="008347FB"/>
    <w:rsid w:val="008347FF"/>
    <w:rsid w:val="00835347"/>
    <w:rsid w:val="008374C4"/>
    <w:rsid w:val="00840312"/>
    <w:rsid w:val="00843A31"/>
    <w:rsid w:val="00846A09"/>
    <w:rsid w:val="008478EE"/>
    <w:rsid w:val="00851F1E"/>
    <w:rsid w:val="00852107"/>
    <w:rsid w:val="008521FE"/>
    <w:rsid w:val="00852547"/>
    <w:rsid w:val="008548D6"/>
    <w:rsid w:val="00855895"/>
    <w:rsid w:val="00856FD3"/>
    <w:rsid w:val="008574AC"/>
    <w:rsid w:val="00861E27"/>
    <w:rsid w:val="00863FBE"/>
    <w:rsid w:val="00864624"/>
    <w:rsid w:val="00864E36"/>
    <w:rsid w:val="008653C9"/>
    <w:rsid w:val="008664A4"/>
    <w:rsid w:val="00872059"/>
    <w:rsid w:val="00874E73"/>
    <w:rsid w:val="0087600A"/>
    <w:rsid w:val="00877D5C"/>
    <w:rsid w:val="00877F7F"/>
    <w:rsid w:val="00880B3E"/>
    <w:rsid w:val="008900E7"/>
    <w:rsid w:val="0089123E"/>
    <w:rsid w:val="00892005"/>
    <w:rsid w:val="00893435"/>
    <w:rsid w:val="00897860"/>
    <w:rsid w:val="008A08A8"/>
    <w:rsid w:val="008A0E78"/>
    <w:rsid w:val="008A2C9B"/>
    <w:rsid w:val="008A2ED9"/>
    <w:rsid w:val="008A3018"/>
    <w:rsid w:val="008A4A42"/>
    <w:rsid w:val="008A4B7D"/>
    <w:rsid w:val="008A55CD"/>
    <w:rsid w:val="008A5DEC"/>
    <w:rsid w:val="008A5E76"/>
    <w:rsid w:val="008A677D"/>
    <w:rsid w:val="008A6D06"/>
    <w:rsid w:val="008A7E1D"/>
    <w:rsid w:val="008A7F8F"/>
    <w:rsid w:val="008B29C4"/>
    <w:rsid w:val="008B7DE3"/>
    <w:rsid w:val="008C1A43"/>
    <w:rsid w:val="008C3FEB"/>
    <w:rsid w:val="008C4E63"/>
    <w:rsid w:val="008C53FE"/>
    <w:rsid w:val="008C6F0D"/>
    <w:rsid w:val="008C7674"/>
    <w:rsid w:val="008D0DC8"/>
    <w:rsid w:val="008D3329"/>
    <w:rsid w:val="008D3652"/>
    <w:rsid w:val="008D6E0F"/>
    <w:rsid w:val="008E0836"/>
    <w:rsid w:val="008E10B0"/>
    <w:rsid w:val="008E3228"/>
    <w:rsid w:val="008E382A"/>
    <w:rsid w:val="008E6FE5"/>
    <w:rsid w:val="008E73B7"/>
    <w:rsid w:val="008E7699"/>
    <w:rsid w:val="008E7AEF"/>
    <w:rsid w:val="008F0259"/>
    <w:rsid w:val="008F1871"/>
    <w:rsid w:val="008F23CA"/>
    <w:rsid w:val="008F2DBD"/>
    <w:rsid w:val="008F424B"/>
    <w:rsid w:val="008F571C"/>
    <w:rsid w:val="008F6388"/>
    <w:rsid w:val="008F7BD0"/>
    <w:rsid w:val="00900706"/>
    <w:rsid w:val="00900947"/>
    <w:rsid w:val="00901186"/>
    <w:rsid w:val="00902F6B"/>
    <w:rsid w:val="00904815"/>
    <w:rsid w:val="00904B16"/>
    <w:rsid w:val="00910641"/>
    <w:rsid w:val="00911073"/>
    <w:rsid w:val="0091185C"/>
    <w:rsid w:val="00912654"/>
    <w:rsid w:val="00913294"/>
    <w:rsid w:val="00913FDB"/>
    <w:rsid w:val="00917B64"/>
    <w:rsid w:val="00920622"/>
    <w:rsid w:val="00922258"/>
    <w:rsid w:val="00924FD7"/>
    <w:rsid w:val="009251E5"/>
    <w:rsid w:val="00927410"/>
    <w:rsid w:val="00927914"/>
    <w:rsid w:val="00927DDB"/>
    <w:rsid w:val="00931B49"/>
    <w:rsid w:val="00932EA5"/>
    <w:rsid w:val="00933C4E"/>
    <w:rsid w:val="00934EEC"/>
    <w:rsid w:val="00936C3F"/>
    <w:rsid w:val="00944529"/>
    <w:rsid w:val="00944A4A"/>
    <w:rsid w:val="0095016F"/>
    <w:rsid w:val="00950E6B"/>
    <w:rsid w:val="00950FE3"/>
    <w:rsid w:val="00951DF9"/>
    <w:rsid w:val="00952D5B"/>
    <w:rsid w:val="00954D96"/>
    <w:rsid w:val="00955553"/>
    <w:rsid w:val="00955E33"/>
    <w:rsid w:val="00960AAB"/>
    <w:rsid w:val="0096193A"/>
    <w:rsid w:val="00962605"/>
    <w:rsid w:val="00964156"/>
    <w:rsid w:val="0096420E"/>
    <w:rsid w:val="00964F96"/>
    <w:rsid w:val="00965ACE"/>
    <w:rsid w:val="00967180"/>
    <w:rsid w:val="00967E54"/>
    <w:rsid w:val="009705D8"/>
    <w:rsid w:val="00970B86"/>
    <w:rsid w:val="0097500C"/>
    <w:rsid w:val="0097799B"/>
    <w:rsid w:val="00977F3F"/>
    <w:rsid w:val="00986FD3"/>
    <w:rsid w:val="009950B3"/>
    <w:rsid w:val="00997507"/>
    <w:rsid w:val="009A1995"/>
    <w:rsid w:val="009A3CB8"/>
    <w:rsid w:val="009A4258"/>
    <w:rsid w:val="009A5F01"/>
    <w:rsid w:val="009B79E3"/>
    <w:rsid w:val="009C157F"/>
    <w:rsid w:val="009C244B"/>
    <w:rsid w:val="009C5EDC"/>
    <w:rsid w:val="009C7B92"/>
    <w:rsid w:val="009D278C"/>
    <w:rsid w:val="009D4EFF"/>
    <w:rsid w:val="009E03C5"/>
    <w:rsid w:val="009E04E3"/>
    <w:rsid w:val="009E4693"/>
    <w:rsid w:val="009E5FFA"/>
    <w:rsid w:val="009F0204"/>
    <w:rsid w:val="009F3EC6"/>
    <w:rsid w:val="009F5519"/>
    <w:rsid w:val="009F579D"/>
    <w:rsid w:val="009F57FC"/>
    <w:rsid w:val="009F5CCC"/>
    <w:rsid w:val="009F6163"/>
    <w:rsid w:val="009F6FF2"/>
    <w:rsid w:val="00A01080"/>
    <w:rsid w:val="00A01823"/>
    <w:rsid w:val="00A02F9B"/>
    <w:rsid w:val="00A0407D"/>
    <w:rsid w:val="00A05375"/>
    <w:rsid w:val="00A10653"/>
    <w:rsid w:val="00A109E1"/>
    <w:rsid w:val="00A1138E"/>
    <w:rsid w:val="00A124BF"/>
    <w:rsid w:val="00A12BE9"/>
    <w:rsid w:val="00A13E48"/>
    <w:rsid w:val="00A14BB4"/>
    <w:rsid w:val="00A151C4"/>
    <w:rsid w:val="00A153A9"/>
    <w:rsid w:val="00A2139D"/>
    <w:rsid w:val="00A2205A"/>
    <w:rsid w:val="00A22A77"/>
    <w:rsid w:val="00A22B8E"/>
    <w:rsid w:val="00A22D62"/>
    <w:rsid w:val="00A266E1"/>
    <w:rsid w:val="00A26D5C"/>
    <w:rsid w:val="00A30101"/>
    <w:rsid w:val="00A33823"/>
    <w:rsid w:val="00A340AD"/>
    <w:rsid w:val="00A343E4"/>
    <w:rsid w:val="00A442CB"/>
    <w:rsid w:val="00A4442E"/>
    <w:rsid w:val="00A50742"/>
    <w:rsid w:val="00A51CC5"/>
    <w:rsid w:val="00A5413F"/>
    <w:rsid w:val="00A56070"/>
    <w:rsid w:val="00A5644B"/>
    <w:rsid w:val="00A64CE2"/>
    <w:rsid w:val="00A658FE"/>
    <w:rsid w:val="00A677E7"/>
    <w:rsid w:val="00A70850"/>
    <w:rsid w:val="00A725A8"/>
    <w:rsid w:val="00A73C07"/>
    <w:rsid w:val="00A752CD"/>
    <w:rsid w:val="00A81667"/>
    <w:rsid w:val="00A818E3"/>
    <w:rsid w:val="00A82714"/>
    <w:rsid w:val="00A8316E"/>
    <w:rsid w:val="00A84ADA"/>
    <w:rsid w:val="00A9090A"/>
    <w:rsid w:val="00A90945"/>
    <w:rsid w:val="00A92010"/>
    <w:rsid w:val="00AA16D2"/>
    <w:rsid w:val="00AA5042"/>
    <w:rsid w:val="00AA6727"/>
    <w:rsid w:val="00AB17C2"/>
    <w:rsid w:val="00AB1EFA"/>
    <w:rsid w:val="00AB423B"/>
    <w:rsid w:val="00AB779E"/>
    <w:rsid w:val="00AB7BDD"/>
    <w:rsid w:val="00AC10A2"/>
    <w:rsid w:val="00AC4287"/>
    <w:rsid w:val="00AC49AB"/>
    <w:rsid w:val="00AC50FF"/>
    <w:rsid w:val="00AC5437"/>
    <w:rsid w:val="00AC63B2"/>
    <w:rsid w:val="00AC6DDE"/>
    <w:rsid w:val="00AC7352"/>
    <w:rsid w:val="00AD472B"/>
    <w:rsid w:val="00AD4B9A"/>
    <w:rsid w:val="00AD543A"/>
    <w:rsid w:val="00AD6DB0"/>
    <w:rsid w:val="00AE173B"/>
    <w:rsid w:val="00AE2C27"/>
    <w:rsid w:val="00AE3DD3"/>
    <w:rsid w:val="00AE42BD"/>
    <w:rsid w:val="00AE66B3"/>
    <w:rsid w:val="00AF2034"/>
    <w:rsid w:val="00AF2B46"/>
    <w:rsid w:val="00AF5079"/>
    <w:rsid w:val="00AF6038"/>
    <w:rsid w:val="00B02AE8"/>
    <w:rsid w:val="00B03311"/>
    <w:rsid w:val="00B0334D"/>
    <w:rsid w:val="00B0401E"/>
    <w:rsid w:val="00B044C4"/>
    <w:rsid w:val="00B06665"/>
    <w:rsid w:val="00B07ACE"/>
    <w:rsid w:val="00B07B95"/>
    <w:rsid w:val="00B100D7"/>
    <w:rsid w:val="00B1048D"/>
    <w:rsid w:val="00B1176F"/>
    <w:rsid w:val="00B15DC9"/>
    <w:rsid w:val="00B15E59"/>
    <w:rsid w:val="00B170B5"/>
    <w:rsid w:val="00B230E7"/>
    <w:rsid w:val="00B2386F"/>
    <w:rsid w:val="00B27A28"/>
    <w:rsid w:val="00B305F7"/>
    <w:rsid w:val="00B3254A"/>
    <w:rsid w:val="00B32D37"/>
    <w:rsid w:val="00B34055"/>
    <w:rsid w:val="00B35A12"/>
    <w:rsid w:val="00B42190"/>
    <w:rsid w:val="00B431A7"/>
    <w:rsid w:val="00B442E5"/>
    <w:rsid w:val="00B4639B"/>
    <w:rsid w:val="00B47980"/>
    <w:rsid w:val="00B51733"/>
    <w:rsid w:val="00B51897"/>
    <w:rsid w:val="00B52E3B"/>
    <w:rsid w:val="00B53026"/>
    <w:rsid w:val="00B564E8"/>
    <w:rsid w:val="00B60AE5"/>
    <w:rsid w:val="00B62EE7"/>
    <w:rsid w:val="00B709F5"/>
    <w:rsid w:val="00B72224"/>
    <w:rsid w:val="00B751E9"/>
    <w:rsid w:val="00B84345"/>
    <w:rsid w:val="00B84B70"/>
    <w:rsid w:val="00B85D6E"/>
    <w:rsid w:val="00B8666D"/>
    <w:rsid w:val="00B923B6"/>
    <w:rsid w:val="00B93D11"/>
    <w:rsid w:val="00BA0970"/>
    <w:rsid w:val="00BA2280"/>
    <w:rsid w:val="00BA28E6"/>
    <w:rsid w:val="00BA4493"/>
    <w:rsid w:val="00BA6A24"/>
    <w:rsid w:val="00BB0E08"/>
    <w:rsid w:val="00BB2E6A"/>
    <w:rsid w:val="00BB4978"/>
    <w:rsid w:val="00BB652B"/>
    <w:rsid w:val="00BB694A"/>
    <w:rsid w:val="00BC2723"/>
    <w:rsid w:val="00BC762A"/>
    <w:rsid w:val="00BC794F"/>
    <w:rsid w:val="00BD13E8"/>
    <w:rsid w:val="00BD41CB"/>
    <w:rsid w:val="00BD70DC"/>
    <w:rsid w:val="00BE259A"/>
    <w:rsid w:val="00BE34D6"/>
    <w:rsid w:val="00BE5AFF"/>
    <w:rsid w:val="00BE64D1"/>
    <w:rsid w:val="00BF091F"/>
    <w:rsid w:val="00BF26D6"/>
    <w:rsid w:val="00BF3096"/>
    <w:rsid w:val="00BF5AB8"/>
    <w:rsid w:val="00BF6BD9"/>
    <w:rsid w:val="00C001A1"/>
    <w:rsid w:val="00C03D82"/>
    <w:rsid w:val="00C06A7B"/>
    <w:rsid w:val="00C10CCC"/>
    <w:rsid w:val="00C11D60"/>
    <w:rsid w:val="00C12BCE"/>
    <w:rsid w:val="00C144E1"/>
    <w:rsid w:val="00C21425"/>
    <w:rsid w:val="00C21941"/>
    <w:rsid w:val="00C2297D"/>
    <w:rsid w:val="00C23C21"/>
    <w:rsid w:val="00C2485A"/>
    <w:rsid w:val="00C25F21"/>
    <w:rsid w:val="00C26190"/>
    <w:rsid w:val="00C324FC"/>
    <w:rsid w:val="00C32529"/>
    <w:rsid w:val="00C34A84"/>
    <w:rsid w:val="00C35BB5"/>
    <w:rsid w:val="00C36339"/>
    <w:rsid w:val="00C36F0A"/>
    <w:rsid w:val="00C426F5"/>
    <w:rsid w:val="00C42B72"/>
    <w:rsid w:val="00C440A9"/>
    <w:rsid w:val="00C4784C"/>
    <w:rsid w:val="00C62753"/>
    <w:rsid w:val="00C6660F"/>
    <w:rsid w:val="00C66A97"/>
    <w:rsid w:val="00C66EAC"/>
    <w:rsid w:val="00C67997"/>
    <w:rsid w:val="00C705F2"/>
    <w:rsid w:val="00C70FF2"/>
    <w:rsid w:val="00C73FA4"/>
    <w:rsid w:val="00C75A79"/>
    <w:rsid w:val="00C76DA4"/>
    <w:rsid w:val="00C81189"/>
    <w:rsid w:val="00C81C6C"/>
    <w:rsid w:val="00C82BB6"/>
    <w:rsid w:val="00C82E4D"/>
    <w:rsid w:val="00C85AFE"/>
    <w:rsid w:val="00C90A48"/>
    <w:rsid w:val="00C92E80"/>
    <w:rsid w:val="00C931AF"/>
    <w:rsid w:val="00C9619A"/>
    <w:rsid w:val="00CA0541"/>
    <w:rsid w:val="00CA149E"/>
    <w:rsid w:val="00CA3119"/>
    <w:rsid w:val="00CA40DC"/>
    <w:rsid w:val="00CA4DC3"/>
    <w:rsid w:val="00CA4FEA"/>
    <w:rsid w:val="00CA6E1E"/>
    <w:rsid w:val="00CA6E60"/>
    <w:rsid w:val="00CB65A2"/>
    <w:rsid w:val="00CC286E"/>
    <w:rsid w:val="00CC4051"/>
    <w:rsid w:val="00CC567C"/>
    <w:rsid w:val="00CC6BCB"/>
    <w:rsid w:val="00CC74C3"/>
    <w:rsid w:val="00CC78A1"/>
    <w:rsid w:val="00CD08BD"/>
    <w:rsid w:val="00CD1482"/>
    <w:rsid w:val="00CD1E5D"/>
    <w:rsid w:val="00CD2425"/>
    <w:rsid w:val="00CD4EAA"/>
    <w:rsid w:val="00CD52F4"/>
    <w:rsid w:val="00CD5327"/>
    <w:rsid w:val="00CE1C4A"/>
    <w:rsid w:val="00CE63AB"/>
    <w:rsid w:val="00CF090A"/>
    <w:rsid w:val="00CF2A9D"/>
    <w:rsid w:val="00CF2F9A"/>
    <w:rsid w:val="00CF4CDD"/>
    <w:rsid w:val="00CF6635"/>
    <w:rsid w:val="00D044F9"/>
    <w:rsid w:val="00D1374E"/>
    <w:rsid w:val="00D13E64"/>
    <w:rsid w:val="00D15439"/>
    <w:rsid w:val="00D17E5E"/>
    <w:rsid w:val="00D24EF3"/>
    <w:rsid w:val="00D25ED9"/>
    <w:rsid w:val="00D26014"/>
    <w:rsid w:val="00D305B2"/>
    <w:rsid w:val="00D3256D"/>
    <w:rsid w:val="00D33190"/>
    <w:rsid w:val="00D350AD"/>
    <w:rsid w:val="00D41988"/>
    <w:rsid w:val="00D42ED2"/>
    <w:rsid w:val="00D430F7"/>
    <w:rsid w:val="00D456EE"/>
    <w:rsid w:val="00D46875"/>
    <w:rsid w:val="00D468F0"/>
    <w:rsid w:val="00D508EC"/>
    <w:rsid w:val="00D5360A"/>
    <w:rsid w:val="00D54BC9"/>
    <w:rsid w:val="00D54BF4"/>
    <w:rsid w:val="00D602E9"/>
    <w:rsid w:val="00D60D4C"/>
    <w:rsid w:val="00D63A27"/>
    <w:rsid w:val="00D668AF"/>
    <w:rsid w:val="00D70050"/>
    <w:rsid w:val="00D70DEA"/>
    <w:rsid w:val="00D71D4F"/>
    <w:rsid w:val="00D71FF1"/>
    <w:rsid w:val="00D729F7"/>
    <w:rsid w:val="00D72ABB"/>
    <w:rsid w:val="00D80216"/>
    <w:rsid w:val="00D80CD1"/>
    <w:rsid w:val="00D80DB5"/>
    <w:rsid w:val="00D811A3"/>
    <w:rsid w:val="00D84151"/>
    <w:rsid w:val="00D873F3"/>
    <w:rsid w:val="00D9157E"/>
    <w:rsid w:val="00D930FD"/>
    <w:rsid w:val="00D94247"/>
    <w:rsid w:val="00D974AC"/>
    <w:rsid w:val="00DA28FB"/>
    <w:rsid w:val="00DA3B4A"/>
    <w:rsid w:val="00DA5EFB"/>
    <w:rsid w:val="00DB2D30"/>
    <w:rsid w:val="00DB39FD"/>
    <w:rsid w:val="00DB67E5"/>
    <w:rsid w:val="00DD0004"/>
    <w:rsid w:val="00DD1377"/>
    <w:rsid w:val="00DD30D8"/>
    <w:rsid w:val="00DD4459"/>
    <w:rsid w:val="00DD755B"/>
    <w:rsid w:val="00DE0B75"/>
    <w:rsid w:val="00DE5A83"/>
    <w:rsid w:val="00DE6845"/>
    <w:rsid w:val="00DE6B9B"/>
    <w:rsid w:val="00DF5B07"/>
    <w:rsid w:val="00DF5E39"/>
    <w:rsid w:val="00DF677D"/>
    <w:rsid w:val="00DF6C66"/>
    <w:rsid w:val="00DF7423"/>
    <w:rsid w:val="00DF76A3"/>
    <w:rsid w:val="00E01444"/>
    <w:rsid w:val="00E04895"/>
    <w:rsid w:val="00E1196E"/>
    <w:rsid w:val="00E12BC6"/>
    <w:rsid w:val="00E155D0"/>
    <w:rsid w:val="00E20277"/>
    <w:rsid w:val="00E209D2"/>
    <w:rsid w:val="00E2198B"/>
    <w:rsid w:val="00E23D63"/>
    <w:rsid w:val="00E24014"/>
    <w:rsid w:val="00E25624"/>
    <w:rsid w:val="00E278E5"/>
    <w:rsid w:val="00E31E8F"/>
    <w:rsid w:val="00E32B6A"/>
    <w:rsid w:val="00E32CC0"/>
    <w:rsid w:val="00E35552"/>
    <w:rsid w:val="00E41315"/>
    <w:rsid w:val="00E44E69"/>
    <w:rsid w:val="00E500DE"/>
    <w:rsid w:val="00E54E79"/>
    <w:rsid w:val="00E55BA7"/>
    <w:rsid w:val="00E5612F"/>
    <w:rsid w:val="00E56AEC"/>
    <w:rsid w:val="00E57C71"/>
    <w:rsid w:val="00E57F68"/>
    <w:rsid w:val="00E6239B"/>
    <w:rsid w:val="00E62A25"/>
    <w:rsid w:val="00E62F44"/>
    <w:rsid w:val="00E63385"/>
    <w:rsid w:val="00E633C2"/>
    <w:rsid w:val="00E63930"/>
    <w:rsid w:val="00E63E75"/>
    <w:rsid w:val="00E64E7D"/>
    <w:rsid w:val="00E65435"/>
    <w:rsid w:val="00E67EF9"/>
    <w:rsid w:val="00E67F86"/>
    <w:rsid w:val="00E707A1"/>
    <w:rsid w:val="00E71701"/>
    <w:rsid w:val="00E74073"/>
    <w:rsid w:val="00E80628"/>
    <w:rsid w:val="00E84712"/>
    <w:rsid w:val="00E86DF7"/>
    <w:rsid w:val="00E878E2"/>
    <w:rsid w:val="00E87F99"/>
    <w:rsid w:val="00E902AE"/>
    <w:rsid w:val="00E909DE"/>
    <w:rsid w:val="00E92E59"/>
    <w:rsid w:val="00E943E9"/>
    <w:rsid w:val="00E94991"/>
    <w:rsid w:val="00E9554B"/>
    <w:rsid w:val="00E979DD"/>
    <w:rsid w:val="00E97BA0"/>
    <w:rsid w:val="00EA11E4"/>
    <w:rsid w:val="00EA2D1F"/>
    <w:rsid w:val="00EA3E68"/>
    <w:rsid w:val="00EA6846"/>
    <w:rsid w:val="00EA69B1"/>
    <w:rsid w:val="00EA6A53"/>
    <w:rsid w:val="00EA7DC1"/>
    <w:rsid w:val="00EB5E12"/>
    <w:rsid w:val="00EB7CA7"/>
    <w:rsid w:val="00EC1550"/>
    <w:rsid w:val="00EC4816"/>
    <w:rsid w:val="00EC5592"/>
    <w:rsid w:val="00EC5604"/>
    <w:rsid w:val="00EC6F2F"/>
    <w:rsid w:val="00ED0961"/>
    <w:rsid w:val="00ED1030"/>
    <w:rsid w:val="00ED117A"/>
    <w:rsid w:val="00ED49BF"/>
    <w:rsid w:val="00ED49C1"/>
    <w:rsid w:val="00ED4CBD"/>
    <w:rsid w:val="00EE4387"/>
    <w:rsid w:val="00EE4CC0"/>
    <w:rsid w:val="00EE5AE5"/>
    <w:rsid w:val="00EF350A"/>
    <w:rsid w:val="00EF5AC9"/>
    <w:rsid w:val="00EF5C27"/>
    <w:rsid w:val="00EF6CC6"/>
    <w:rsid w:val="00F00297"/>
    <w:rsid w:val="00F05E0B"/>
    <w:rsid w:val="00F06697"/>
    <w:rsid w:val="00F06822"/>
    <w:rsid w:val="00F073F5"/>
    <w:rsid w:val="00F07946"/>
    <w:rsid w:val="00F11A4D"/>
    <w:rsid w:val="00F169CF"/>
    <w:rsid w:val="00F237C0"/>
    <w:rsid w:val="00F23E32"/>
    <w:rsid w:val="00F24A49"/>
    <w:rsid w:val="00F25DC1"/>
    <w:rsid w:val="00F30C53"/>
    <w:rsid w:val="00F32B1F"/>
    <w:rsid w:val="00F35EEB"/>
    <w:rsid w:val="00F3763B"/>
    <w:rsid w:val="00F4369F"/>
    <w:rsid w:val="00F43CB6"/>
    <w:rsid w:val="00F469A8"/>
    <w:rsid w:val="00F46FDB"/>
    <w:rsid w:val="00F50B0C"/>
    <w:rsid w:val="00F55DCC"/>
    <w:rsid w:val="00F56712"/>
    <w:rsid w:val="00F579E9"/>
    <w:rsid w:val="00F61209"/>
    <w:rsid w:val="00F64004"/>
    <w:rsid w:val="00F65918"/>
    <w:rsid w:val="00F70CB1"/>
    <w:rsid w:val="00F71575"/>
    <w:rsid w:val="00F71928"/>
    <w:rsid w:val="00F71F44"/>
    <w:rsid w:val="00F726BD"/>
    <w:rsid w:val="00F73757"/>
    <w:rsid w:val="00F737B1"/>
    <w:rsid w:val="00F73915"/>
    <w:rsid w:val="00F74D5B"/>
    <w:rsid w:val="00F757C3"/>
    <w:rsid w:val="00F810E8"/>
    <w:rsid w:val="00F81741"/>
    <w:rsid w:val="00F84BA4"/>
    <w:rsid w:val="00F84D32"/>
    <w:rsid w:val="00F86F5D"/>
    <w:rsid w:val="00F925BD"/>
    <w:rsid w:val="00F94A82"/>
    <w:rsid w:val="00F95EBD"/>
    <w:rsid w:val="00F9620F"/>
    <w:rsid w:val="00FA3DE0"/>
    <w:rsid w:val="00FA77A6"/>
    <w:rsid w:val="00FA78B7"/>
    <w:rsid w:val="00FB002A"/>
    <w:rsid w:val="00FB6AAD"/>
    <w:rsid w:val="00FB7FD0"/>
    <w:rsid w:val="00FC0835"/>
    <w:rsid w:val="00FC2553"/>
    <w:rsid w:val="00FC2F4E"/>
    <w:rsid w:val="00FC52F1"/>
    <w:rsid w:val="00FC67D1"/>
    <w:rsid w:val="00FD3357"/>
    <w:rsid w:val="00FD3AC0"/>
    <w:rsid w:val="00FD64FF"/>
    <w:rsid w:val="00FE3934"/>
    <w:rsid w:val="00FE578F"/>
    <w:rsid w:val="00FE76D1"/>
    <w:rsid w:val="00FF0DDF"/>
    <w:rsid w:val="00FF160C"/>
    <w:rsid w:val="00FF1AD4"/>
    <w:rsid w:val="00FF1C01"/>
    <w:rsid w:val="00FF35F9"/>
    <w:rsid w:val="00FF6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D9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898"/>
    <w:pPr>
      <w:spacing w:after="0" w:line="300" w:lineRule="atLeast"/>
    </w:pPr>
    <w:rPr>
      <w:rFonts w:ascii="Arial" w:eastAsia="Times New Roman" w:hAnsi="Arial"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898"/>
    <w:rPr>
      <w:color w:val="0000FF" w:themeColor="hyperlink"/>
      <w:u w:val="single"/>
    </w:rPr>
  </w:style>
  <w:style w:type="paragraph" w:styleId="FootnoteText">
    <w:name w:val="footnote text"/>
    <w:link w:val="FootnoteTextChar"/>
    <w:uiPriority w:val="99"/>
    <w:semiHidden/>
    <w:unhideWhenUsed/>
    <w:rsid w:val="00025898"/>
    <w:pPr>
      <w:tabs>
        <w:tab w:val="left" w:pos="284"/>
      </w:tabs>
      <w:spacing w:after="0" w:line="220" w:lineRule="atLeast"/>
      <w:ind w:left="284" w:hanging="284"/>
    </w:pPr>
    <w:rPr>
      <w:rFonts w:ascii="Arial" w:eastAsia="Times New Roman" w:hAnsi="Arial" w:cs="Times New Roman"/>
      <w:noProof/>
      <w:sz w:val="13"/>
      <w:szCs w:val="20"/>
      <w:lang w:eastAsia="nl-NL"/>
    </w:rPr>
  </w:style>
  <w:style w:type="character" w:customStyle="1" w:styleId="FootnoteTextChar">
    <w:name w:val="Footnote Text Char"/>
    <w:basedOn w:val="DefaultParagraphFont"/>
    <w:link w:val="FootnoteText"/>
    <w:uiPriority w:val="99"/>
    <w:semiHidden/>
    <w:rsid w:val="00025898"/>
    <w:rPr>
      <w:rFonts w:ascii="Arial" w:eastAsia="Times New Roman" w:hAnsi="Arial" w:cs="Times New Roman"/>
      <w:noProof/>
      <w:sz w:val="13"/>
      <w:szCs w:val="20"/>
      <w:lang w:eastAsia="nl-NL"/>
    </w:rPr>
  </w:style>
  <w:style w:type="paragraph" w:styleId="NoSpacing">
    <w:name w:val="No Spacing"/>
    <w:uiPriority w:val="1"/>
    <w:qFormat/>
    <w:rsid w:val="00025898"/>
    <w:pPr>
      <w:spacing w:after="0" w:line="240" w:lineRule="auto"/>
    </w:pPr>
    <w:rPr>
      <w:rFonts w:ascii="Arial" w:eastAsia="Times New Roman" w:hAnsi="Arial" w:cs="Times New Roman"/>
      <w:sz w:val="20"/>
      <w:szCs w:val="20"/>
      <w:lang w:eastAsia="nl-NL"/>
    </w:rPr>
  </w:style>
  <w:style w:type="paragraph" w:customStyle="1" w:styleId="RI-Kader">
    <w:name w:val="RI - Kader"/>
    <w:basedOn w:val="Normal"/>
    <w:qFormat/>
    <w:rsid w:val="00025898"/>
    <w:pPr>
      <w:shd w:val="clear" w:color="auto" w:fill="E0E0E0"/>
    </w:pPr>
  </w:style>
  <w:style w:type="character" w:styleId="FootnoteReference">
    <w:name w:val="footnote reference"/>
    <w:uiPriority w:val="99"/>
    <w:semiHidden/>
    <w:unhideWhenUsed/>
    <w:rsid w:val="00025898"/>
    <w:rPr>
      <w:rFonts w:ascii="Arial" w:hAnsi="Arial" w:cs="Arial" w:hint="default"/>
      <w:sz w:val="18"/>
      <w:szCs w:val="15"/>
      <w:vertAlign w:val="superscript"/>
      <w:lang w:val="nl-NL"/>
    </w:rPr>
  </w:style>
  <w:style w:type="paragraph" w:styleId="Header">
    <w:name w:val="header"/>
    <w:basedOn w:val="Normal"/>
    <w:link w:val="HeaderChar"/>
    <w:uiPriority w:val="99"/>
    <w:unhideWhenUsed/>
    <w:rsid w:val="00025898"/>
    <w:pPr>
      <w:tabs>
        <w:tab w:val="center" w:pos="4536"/>
        <w:tab w:val="right" w:pos="9072"/>
      </w:tabs>
      <w:spacing w:line="240" w:lineRule="auto"/>
    </w:pPr>
  </w:style>
  <w:style w:type="character" w:customStyle="1" w:styleId="HeaderChar">
    <w:name w:val="Header Char"/>
    <w:basedOn w:val="DefaultParagraphFont"/>
    <w:link w:val="Header"/>
    <w:uiPriority w:val="99"/>
    <w:rsid w:val="00025898"/>
    <w:rPr>
      <w:rFonts w:ascii="Arial" w:eastAsia="Times New Roman" w:hAnsi="Arial" w:cs="Times New Roman"/>
      <w:sz w:val="20"/>
      <w:szCs w:val="20"/>
      <w:lang w:eastAsia="nl-NL"/>
    </w:rPr>
  </w:style>
  <w:style w:type="paragraph" w:styleId="Footer">
    <w:name w:val="footer"/>
    <w:basedOn w:val="Normal"/>
    <w:link w:val="FooterChar"/>
    <w:uiPriority w:val="99"/>
    <w:unhideWhenUsed/>
    <w:rsid w:val="00025898"/>
    <w:pPr>
      <w:tabs>
        <w:tab w:val="center" w:pos="4536"/>
        <w:tab w:val="right" w:pos="9072"/>
      </w:tabs>
      <w:spacing w:line="240" w:lineRule="auto"/>
    </w:pPr>
  </w:style>
  <w:style w:type="character" w:customStyle="1" w:styleId="FooterChar">
    <w:name w:val="Footer Char"/>
    <w:basedOn w:val="DefaultParagraphFont"/>
    <w:link w:val="Footer"/>
    <w:uiPriority w:val="99"/>
    <w:rsid w:val="00025898"/>
    <w:rPr>
      <w:rFonts w:ascii="Arial" w:eastAsia="Times New Roman" w:hAnsi="Arial" w:cs="Times New Roman"/>
      <w:sz w:val="20"/>
      <w:szCs w:val="20"/>
      <w:lang w:eastAsia="nl-NL"/>
    </w:rPr>
  </w:style>
  <w:style w:type="character" w:styleId="CommentReference">
    <w:name w:val="annotation reference"/>
    <w:basedOn w:val="DefaultParagraphFont"/>
    <w:uiPriority w:val="99"/>
    <w:semiHidden/>
    <w:unhideWhenUsed/>
    <w:rsid w:val="00B53026"/>
    <w:rPr>
      <w:sz w:val="18"/>
      <w:szCs w:val="18"/>
    </w:rPr>
  </w:style>
  <w:style w:type="paragraph" w:styleId="CommentText">
    <w:name w:val="annotation text"/>
    <w:basedOn w:val="Normal"/>
    <w:link w:val="CommentTextChar"/>
    <w:uiPriority w:val="99"/>
    <w:semiHidden/>
    <w:unhideWhenUsed/>
    <w:rsid w:val="00B53026"/>
    <w:pPr>
      <w:spacing w:line="240" w:lineRule="auto"/>
    </w:pPr>
    <w:rPr>
      <w:sz w:val="24"/>
      <w:szCs w:val="24"/>
    </w:rPr>
  </w:style>
  <w:style w:type="character" w:customStyle="1" w:styleId="CommentTextChar">
    <w:name w:val="Comment Text Char"/>
    <w:basedOn w:val="DefaultParagraphFont"/>
    <w:link w:val="CommentText"/>
    <w:uiPriority w:val="99"/>
    <w:semiHidden/>
    <w:rsid w:val="00B53026"/>
    <w:rPr>
      <w:rFonts w:ascii="Arial" w:eastAsia="Times New Roman" w:hAnsi="Arial" w:cs="Times New Roman"/>
      <w:sz w:val="24"/>
      <w:szCs w:val="24"/>
      <w:lang w:eastAsia="nl-NL"/>
    </w:rPr>
  </w:style>
  <w:style w:type="paragraph" w:styleId="CommentSubject">
    <w:name w:val="annotation subject"/>
    <w:basedOn w:val="CommentText"/>
    <w:next w:val="CommentText"/>
    <w:link w:val="CommentSubjectChar"/>
    <w:uiPriority w:val="99"/>
    <w:semiHidden/>
    <w:unhideWhenUsed/>
    <w:rsid w:val="00B53026"/>
    <w:rPr>
      <w:b/>
      <w:bCs/>
      <w:sz w:val="20"/>
      <w:szCs w:val="20"/>
    </w:rPr>
  </w:style>
  <w:style w:type="character" w:customStyle="1" w:styleId="CommentSubjectChar">
    <w:name w:val="Comment Subject Char"/>
    <w:basedOn w:val="CommentTextChar"/>
    <w:link w:val="CommentSubject"/>
    <w:uiPriority w:val="99"/>
    <w:semiHidden/>
    <w:rsid w:val="00B53026"/>
    <w:rPr>
      <w:rFonts w:ascii="Arial" w:eastAsia="Times New Roman" w:hAnsi="Arial" w:cs="Times New Roman"/>
      <w:b/>
      <w:bCs/>
      <w:sz w:val="20"/>
      <w:szCs w:val="20"/>
      <w:lang w:eastAsia="nl-NL"/>
    </w:rPr>
  </w:style>
  <w:style w:type="paragraph" w:styleId="BalloonText">
    <w:name w:val="Balloon Text"/>
    <w:basedOn w:val="Normal"/>
    <w:link w:val="BalloonTextChar"/>
    <w:uiPriority w:val="99"/>
    <w:semiHidden/>
    <w:unhideWhenUsed/>
    <w:rsid w:val="00B53026"/>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53026"/>
    <w:rPr>
      <w:rFonts w:ascii="Times New Roman" w:eastAsia="Times New Roman" w:hAnsi="Times New Roman" w:cs="Times New Roman"/>
      <w:sz w:val="18"/>
      <w:szCs w:val="18"/>
      <w:lang w:eastAsia="nl-NL"/>
    </w:rPr>
  </w:style>
  <w:style w:type="paragraph" w:styleId="ListParagraph">
    <w:name w:val="List Paragraph"/>
    <w:basedOn w:val="Normal"/>
    <w:uiPriority w:val="34"/>
    <w:qFormat/>
    <w:rsid w:val="00AC5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926090">
      <w:bodyDiv w:val="1"/>
      <w:marLeft w:val="0"/>
      <w:marRight w:val="0"/>
      <w:marTop w:val="0"/>
      <w:marBottom w:val="0"/>
      <w:divBdr>
        <w:top w:val="none" w:sz="0" w:space="0" w:color="auto"/>
        <w:left w:val="none" w:sz="0" w:space="0" w:color="auto"/>
        <w:bottom w:val="none" w:sz="0" w:space="0" w:color="auto"/>
        <w:right w:val="none" w:sz="0" w:space="0" w:color="auto"/>
      </w:divBdr>
    </w:div>
    <w:div w:id="19965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gdpr.org/" TargetMode="External" Id="rId8" /><Relationship Type="http://schemas.openxmlformats.org/officeDocument/2006/relationships/settings" Target="settings.xml" Id="rId3" /><Relationship Type="http://schemas.openxmlformats.org/officeDocument/2006/relationships/hyperlink" Target="mailto:k.frenken@uu.nl"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1501</ap:Words>
  <ap:Characters>8559</ap:Characters>
  <ap:DocSecurity>0</ap:DocSecurity>
  <ap:Lines>71</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2018-01-11T09:47:00.0000000Z</dcterms:created>
  <dcterms:modified xsi:type="dcterms:W3CDTF">2018-01-11T09:47:00.0000000Z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0x01010071F55C4B75E0774BBB8ADD05F5EA06DE</vt:lpwstr>
  </property>
</Properties>
</file>