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1A5847E5" wp14:anchorId="209F4CF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4C9E8CFF" wp14:anchorId="47CADD7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W06.17.0083/III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 juni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F5460" w:rsidRDefault="00B60E82">
              <w:r>
                <w:t>Bij Kabinetsmissive van 28 maart 2017, no.2017000540, heeft Uwe Majesteit, op voordracht van de Minister van Financiën, bij de Afdeling advisering van de Raad van State ter overweging aanhangig gemaakt het voorstel van wet tot wijziging van de Wet op het f</w:t>
              </w:r>
              <w:r>
                <w:t>inancieel toezicht en enige andere wetten op het terrein van de financiële markten, met memorie van toelichting.</w:t>
              </w:r>
            </w:p>
          </w:sdtContent>
        </w:sdt>
        <w:p w:rsidRPr="00831363" w:rsidR="00CE4655" w:rsidP="003C7608" w:rsidRDefault="00CE4655"/>
        <w:sdt>
          <w:sdtPr>
            <w:alias w:val="VrijeTekst1"/>
            <w:tag w:val="VrijeTekst1"/>
            <w:id w:val="-437221631"/>
            <w:lock w:val="sdtLocked"/>
          </w:sdtPr>
          <w:sdtEndPr/>
          <w:sdtContent>
            <w:p w:rsidR="008D1552" w:rsidP="009C64E0" w:rsidRDefault="00B60E82">
              <w:r w:rsidRPr="006A5CB4">
                <w:t>Het wetsvoorstel bevat diverse wijzigingen van de Wet op het financieel toezicht (</w:t>
              </w:r>
              <w:proofErr w:type="spellStart"/>
              <w:r w:rsidRPr="006A5CB4">
                <w:t>Wft</w:t>
              </w:r>
              <w:proofErr w:type="spellEnd"/>
              <w:r w:rsidRPr="006A5CB4">
                <w:t xml:space="preserve">) en enige andere wetten. </w:t>
              </w:r>
            </w:p>
            <w:p w:rsidR="008D1552" w:rsidP="009C64E0" w:rsidRDefault="00B60E82"/>
            <w:p w:rsidRPr="006A5CB4" w:rsidR="009C64E0" w:rsidP="009C64E0" w:rsidRDefault="00B60E82">
              <w:r w:rsidRPr="006A5CB4">
                <w:t xml:space="preserve">De Afdeling advisering van </w:t>
              </w:r>
              <w:r w:rsidRPr="006A5CB4">
                <w:t xml:space="preserve">de Raad van State adviseert het voorstel aan de Tweede Kamer te zenden maar heeft opmerkingen over de wijzigingen </w:t>
              </w:r>
              <w:r>
                <w:t xml:space="preserve">die betrekking hebben op </w:t>
              </w:r>
              <w:r w:rsidRPr="006A5CB4">
                <w:t xml:space="preserve">het </w:t>
              </w:r>
              <w:r>
                <w:t xml:space="preserve">ontbreken van overgangsrecht bij de wijzigingen over het </w:t>
              </w:r>
              <w:r w:rsidRPr="006A5CB4">
                <w:t>beloningsbeleid</w:t>
              </w:r>
              <w:r>
                <w:t xml:space="preserve">, en over de kenbaarheid van het soort </w:t>
              </w:r>
              <w:proofErr w:type="spellStart"/>
              <w:r>
                <w:t>to</w:t>
              </w:r>
              <w:r>
                <w:t>ezichtsinformatie</w:t>
              </w:r>
              <w:proofErr w:type="spellEnd"/>
              <w:r>
                <w:t xml:space="preserve"> dat de Autoriteit Financiële Markten (AFM) met de Autoriteit Consument en Markt (ACM) mag delen.</w:t>
              </w:r>
            </w:p>
            <w:p w:rsidRPr="006A5CB4" w:rsidR="009C64E0" w:rsidP="009C64E0" w:rsidRDefault="00B60E82"/>
            <w:p w:rsidR="009C64E0" w:rsidP="009C64E0" w:rsidRDefault="00B60E82">
              <w:pPr>
                <w:rPr>
                  <w:u w:val="single"/>
                </w:rPr>
              </w:pPr>
              <w:r w:rsidRPr="006A5CB4">
                <w:t xml:space="preserve">1. </w:t>
              </w:r>
              <w:r w:rsidRPr="006A5CB4">
                <w:tab/>
              </w:r>
              <w:r w:rsidRPr="003463E9">
                <w:rPr>
                  <w:u w:val="single"/>
                </w:rPr>
                <w:t xml:space="preserve">Het beloningsbeleid </w:t>
              </w:r>
              <w:proofErr w:type="spellStart"/>
              <w:r w:rsidRPr="003463E9">
                <w:rPr>
                  <w:u w:val="single"/>
                </w:rPr>
                <w:t>Wft</w:t>
              </w:r>
              <w:proofErr w:type="spellEnd"/>
            </w:p>
            <w:p w:rsidR="009C64E0" w:rsidP="009C64E0" w:rsidRDefault="00B60E82"/>
            <w:p w:rsidRPr="004165F0" w:rsidR="00883F04" w:rsidP="004165F0" w:rsidRDefault="00B60E82">
              <w:pPr>
                <w:pStyle w:val="Lijstalinea"/>
                <w:numPr>
                  <w:ilvl w:val="0"/>
                  <w:numId w:val="2"/>
                </w:numPr>
                <w:rPr>
                  <w:i/>
                </w:rPr>
              </w:pPr>
              <w:r>
                <w:rPr>
                  <w:i/>
                </w:rPr>
                <w:tab/>
              </w:r>
              <w:r w:rsidRPr="004165F0">
                <w:rPr>
                  <w:i/>
                </w:rPr>
                <w:t>Inleiding</w:t>
              </w:r>
            </w:p>
            <w:p w:rsidR="000D2C13" w:rsidP="00DC3A76" w:rsidRDefault="00B60E82">
              <w:r w:rsidRPr="006A5CB4">
                <w:t>Richtlijn 2013/36/EU (CRD IV)</w:t>
              </w:r>
              <w:r w:rsidRPr="006A5CB4">
                <w:rPr>
                  <w:vertAlign w:val="superscript"/>
                </w:rPr>
                <w:footnoteReference w:id="1"/>
              </w:r>
              <w:r w:rsidRPr="006A5CB4">
                <w:t xml:space="preserve"> stelt regels </w:t>
              </w:r>
              <w:r>
                <w:t xml:space="preserve">met betrekking tot </w:t>
              </w:r>
              <w:r w:rsidRPr="006A5CB4">
                <w:t xml:space="preserve">het beloningsbeleid van </w:t>
              </w:r>
              <w:r w:rsidRPr="006A5CB4">
                <w:t>financiële ondernemingen</w:t>
              </w:r>
              <w:r>
                <w:t>. De richtlijn stelt daarbij onder meer verplicht dat de variabele beloning van werknemers wettelijk wordt beperkt</w:t>
              </w:r>
              <w:r>
                <w:t xml:space="preserve"> tot maximaal 100% van het vaste loon. De richtlijn bepaalt daarbij onder meer welke ondernem</w:t>
              </w:r>
              <w:r>
                <w:t xml:space="preserve">ingen deze bonusbeperkingen ten aanzien van werknemers dienen na te leven, en </w:t>
              </w:r>
              <w:r>
                <w:t>definieert</w:t>
              </w:r>
              <w:r>
                <w:t xml:space="preserve"> wat onder vast loon en variabel loon </w:t>
              </w:r>
              <w:r>
                <w:t xml:space="preserve">moet </w:t>
              </w:r>
              <w:r>
                <w:t>word</w:t>
              </w:r>
              <w:r>
                <w:t>en</w:t>
              </w:r>
              <w:r>
                <w:t xml:space="preserve"> verstaan. Ook bepaalt de richtlijn dat de Europese Bankautoriteit (EBA) richtsnoeren vaststelt, m</w:t>
              </w:r>
              <w:r w:rsidRPr="00DC3A76">
                <w:t xml:space="preserve">et </w:t>
              </w:r>
              <w:r w:rsidRPr="00DC3A76">
                <w:t>het oog op de gemeenschappelijke, uniform</w:t>
              </w:r>
              <w:r>
                <w:t>e en consistente toepassing van CRD IV.</w:t>
              </w:r>
              <w:r>
                <w:rPr>
                  <w:rStyle w:val="Voetnootmarkering"/>
                </w:rPr>
                <w:footnoteReference w:id="2"/>
              </w:r>
              <w:r>
                <w:t xml:space="preserve"> </w:t>
              </w:r>
              <w:r w:rsidRPr="00C54D2B">
                <w:t xml:space="preserve">De </w:t>
              </w:r>
              <w:r>
                <w:t>nationale bevoegde autoriteiten</w:t>
              </w:r>
              <w:r w:rsidRPr="00C54D2B">
                <w:t xml:space="preserve"> en </w:t>
              </w:r>
              <w:r>
                <w:t>financiële instellingen</w:t>
              </w:r>
              <w:r w:rsidRPr="00C54D2B">
                <w:t xml:space="preserve"> zijn gehouden tot het leveren van uiterste inspanningen </w:t>
              </w:r>
              <w:r>
                <w:t xml:space="preserve">om </w:t>
              </w:r>
              <w:r>
                <w:t xml:space="preserve">te bevorderen/verzekeren dat </w:t>
              </w:r>
              <w:r>
                <w:t xml:space="preserve">aan de </w:t>
              </w:r>
              <w:r w:rsidRPr="00C54D2B">
                <w:t>richtsnoeren</w:t>
              </w:r>
              <w:r>
                <w:t xml:space="preserve"> </w:t>
              </w:r>
              <w:r>
                <w:t>word</w:t>
              </w:r>
              <w:r>
                <w:t xml:space="preserve">t </w:t>
              </w:r>
              <w:r>
                <w:t>vold</w:t>
              </w:r>
              <w:r>
                <w:t>aa</w:t>
              </w:r>
              <w:r>
                <w:t>n</w:t>
              </w:r>
              <w:r w:rsidRPr="00C54D2B">
                <w:t>.</w:t>
              </w:r>
              <w:r w:rsidRPr="00C54D2B">
                <w:rPr>
                  <w:vertAlign w:val="superscript"/>
                </w:rPr>
                <w:footnoteReference w:id="3"/>
              </w:r>
            </w:p>
            <w:p w:rsidR="004165F0" w:rsidP="00DC3A76" w:rsidRDefault="00B60E82"/>
            <w:p w:rsidR="00703779" w:rsidP="009C64E0" w:rsidRDefault="00B60E82">
              <w:r>
                <w:lastRenderedPageBreak/>
                <w:t>Nederland heeft</w:t>
              </w:r>
              <w:r w:rsidRPr="000D2C13">
                <w:t xml:space="preserve"> de richtlijn op het punt van beloningsbeleid geïmplementeerd in Hoofdstuk 1.7 van de </w:t>
              </w:r>
              <w:proofErr w:type="spellStart"/>
              <w:r w:rsidRPr="000D2C13">
                <w:t>Wft</w:t>
              </w:r>
              <w:proofErr w:type="spellEnd"/>
              <w:r>
                <w:t>.</w:t>
              </w:r>
              <w:r w:rsidRPr="006A5CB4">
                <w:rPr>
                  <w:vertAlign w:val="superscript"/>
                </w:rPr>
                <w:footnoteReference w:id="4"/>
              </w:r>
              <w:r>
                <w:t xml:space="preserve"> Bij die </w:t>
              </w:r>
              <w:proofErr w:type="gramStart"/>
              <w:r>
                <w:t>implementatie</w:t>
              </w:r>
              <w:proofErr w:type="gramEnd"/>
              <w:r>
                <w:t xml:space="preserve"> is ervoor gekozen om verder te gaan dan de richtlijn met betrekking tot het variabele loon, </w:t>
              </w:r>
              <w:r>
                <w:t xml:space="preserve">door een </w:t>
              </w:r>
              <w:r>
                <w:t>lager</w:t>
              </w:r>
              <w:r>
                <w:t xml:space="preserve"> maximumpercentage van 20% van het vaste loon voor te schrijven</w:t>
              </w:r>
              <w:r w:rsidRPr="006A5CB4">
                <w:t>.</w:t>
              </w:r>
              <w:r>
                <w:t xml:space="preserve"> Verder is er bij de implementatie van uit gegaan dat CRD IV </w:t>
              </w:r>
              <w:r w:rsidRPr="000D2C13">
                <w:t xml:space="preserve">een </w:t>
              </w:r>
              <w:proofErr w:type="gramStart"/>
              <w:r w:rsidRPr="000D2C13">
                <w:t>algehele</w:t>
              </w:r>
              <w:proofErr w:type="gramEnd"/>
              <w:r w:rsidRPr="000D2C13">
                <w:t xml:space="preserve"> uitzondering van het bonusplafond </w:t>
              </w:r>
              <w:r>
                <w:t>toeliet</w:t>
              </w:r>
              <w:r w:rsidRPr="000D2C13">
                <w:t xml:space="preserve"> voor drie typen financiële ondernemingen</w:t>
              </w:r>
              <w:r>
                <w:t>, te weten</w:t>
              </w:r>
              <w:r w:rsidRPr="000D2C13">
                <w:t xml:space="preserve">: </w:t>
              </w:r>
            </w:p>
            <w:p w:rsidR="00703779" w:rsidP="00B60E82" w:rsidRDefault="00B60E82">
              <w:pPr>
                <w:pStyle w:val="Lijstalinea"/>
                <w:numPr>
                  <w:ilvl w:val="0"/>
                  <w:numId w:val="4"/>
                </w:numPr>
                <w:ind w:left="426" w:hanging="426"/>
              </w:pPr>
              <w:r w:rsidRPr="000D2C13">
                <w:t xml:space="preserve">beheerders van </w:t>
              </w:r>
              <w:r w:rsidRPr="000D2C13">
                <w:t>beleggingsinstellingen</w:t>
              </w:r>
              <w:r>
                <w:t>;</w:t>
              </w:r>
            </w:p>
            <w:p w:rsidR="00703779" w:rsidP="00B60E82" w:rsidRDefault="00B60E82">
              <w:pPr>
                <w:pStyle w:val="Lijstalinea"/>
                <w:numPr>
                  <w:ilvl w:val="0"/>
                  <w:numId w:val="4"/>
                </w:numPr>
                <w:ind w:left="426" w:hanging="426"/>
              </w:pPr>
              <w:r w:rsidRPr="00B75C29">
                <w:t>instelling</w:t>
              </w:r>
              <w:r>
                <w:t>en</w:t>
              </w:r>
              <w:r w:rsidRPr="00B75C29">
                <w:t xml:space="preserve"> voor collectieve belegging in effecten</w:t>
              </w:r>
              <w:r>
                <w:t xml:space="preserve">; </w:t>
              </w:r>
              <w:r w:rsidRPr="000D2C13">
                <w:t xml:space="preserve">en </w:t>
              </w:r>
            </w:p>
            <w:p w:rsidR="00703779" w:rsidP="00B60E82" w:rsidRDefault="00B60E82">
              <w:pPr>
                <w:pStyle w:val="Lijstalinea"/>
                <w:numPr>
                  <w:ilvl w:val="0"/>
                  <w:numId w:val="4"/>
                </w:numPr>
                <w:ind w:left="426" w:hanging="426"/>
              </w:pPr>
              <w:r w:rsidRPr="000D2C13">
                <w:t>beleggingsondernemingen die uitsluitend voor eigen rekening handelen met eigen middelen en kapitaal, geen externe cliënten hebben en plaatselijke onderneming zijn.</w:t>
              </w:r>
              <w:r>
                <w:rPr>
                  <w:rStyle w:val="Voetnootmarkering"/>
                </w:rPr>
                <w:footnoteReference w:id="5"/>
              </w:r>
              <w:r w:rsidRPr="006A5CB4">
                <w:t xml:space="preserve"> </w:t>
              </w:r>
            </w:p>
            <w:p w:rsidR="00B94D5A" w:rsidP="009C64E0" w:rsidRDefault="00B60E82">
              <w:r>
                <w:t>Voor deze ondernemingen is geen bonusplafond ingesteld.</w:t>
              </w:r>
            </w:p>
            <w:p w:rsidR="00B94D5A" w:rsidP="009C64E0" w:rsidRDefault="00B60E82"/>
            <w:p w:rsidR="009C64E0" w:rsidP="009C64E0" w:rsidRDefault="00B60E82">
              <w:r w:rsidRPr="006A5CB4">
                <w:t xml:space="preserve">De EBA heeft in december 2015 nieuwe richtsnoeren </w:t>
              </w:r>
              <w:r>
                <w:t>vastgesteld, waarmee CRD IV preciezer wordt uitgelegd.</w:t>
              </w:r>
              <w:r w:rsidRPr="006A5CB4">
                <w:rPr>
                  <w:vertAlign w:val="superscript"/>
                </w:rPr>
                <w:footnoteReference w:id="6"/>
              </w:r>
              <w:r>
                <w:t xml:space="preserve"> Deze richtsnoeren zijn op </w:t>
              </w:r>
              <w:r w:rsidRPr="006A5CB4">
                <w:t xml:space="preserve">1 januari 2017 </w:t>
              </w:r>
              <w:r>
                <w:t xml:space="preserve">in werking getreden. Het wetsvoorstel brengt de </w:t>
              </w:r>
              <w:proofErr w:type="spellStart"/>
              <w:r>
                <w:t>Wft</w:t>
              </w:r>
              <w:proofErr w:type="spellEnd"/>
              <w:r>
                <w:t xml:space="preserve"> </w:t>
              </w:r>
              <w:r>
                <w:t>in overeenstemming met de uitleg die in de richtsnoeren aan CRD IV gegeven worden. Daartoe wordt v</w:t>
              </w:r>
              <w:r w:rsidRPr="006A5CB4">
                <w:t xml:space="preserve">oorgesteld </w:t>
              </w:r>
              <w:r>
                <w:t xml:space="preserve">om </w:t>
              </w:r>
              <w:r w:rsidRPr="006A5CB4">
                <w:t xml:space="preserve">de </w:t>
              </w:r>
              <w:r>
                <w:t xml:space="preserve">definitie van de </w:t>
              </w:r>
              <w:r w:rsidRPr="006A5CB4">
                <w:t xml:space="preserve">vaste beloning </w:t>
              </w:r>
              <w:r>
                <w:t>(</w:t>
              </w:r>
              <w:r>
                <w:t>in lijn met de richtsnoeren</w:t>
              </w:r>
              <w:r>
                <w:t>)</w:t>
              </w:r>
              <w:r>
                <w:t xml:space="preserve"> nader te regelen </w:t>
              </w:r>
              <w:r w:rsidRPr="006A5CB4">
                <w:t>bij algemene maatregel van bestuur</w:t>
              </w:r>
              <w:r>
                <w:t>,</w:t>
              </w:r>
              <w:r w:rsidRPr="006A5CB4">
                <w:t xml:space="preserve"> en </w:t>
              </w:r>
              <w:r>
                <w:t xml:space="preserve">de </w:t>
              </w:r>
              <w:proofErr w:type="gramStart"/>
              <w:r>
                <w:t>algehele</w:t>
              </w:r>
              <w:proofErr w:type="gramEnd"/>
              <w:r>
                <w:t xml:space="preserve"> uitzonderin</w:t>
              </w:r>
              <w:r>
                <w:t>gen voor het bonusplafond te beperke</w:t>
              </w:r>
              <w:r>
                <w:t>n</w:t>
              </w:r>
              <w:r>
                <w:t xml:space="preserve">, zodat </w:t>
              </w:r>
              <w:r w:rsidRPr="006A5CB4">
                <w:t xml:space="preserve">dochterondernemingen </w:t>
              </w:r>
              <w:r>
                <w:t>die blijkens de nieuwe richtsnoeren onder de beloningsregels van CRD IV vallen, daar niet langer van worden uitgezonderd</w:t>
              </w:r>
              <w:r w:rsidRPr="006A5CB4">
                <w:t xml:space="preserve">. </w:t>
              </w:r>
            </w:p>
            <w:p w:rsidRPr="006A5CB4" w:rsidR="004C06B5" w:rsidP="009C64E0" w:rsidRDefault="00B60E82"/>
            <w:p w:rsidRPr="006A5CB4" w:rsidR="009C64E0" w:rsidP="009C64E0" w:rsidRDefault="00B60E82">
              <w:pPr>
                <w:rPr>
                  <w:i/>
                </w:rPr>
              </w:pPr>
              <w:r>
                <w:t>b</w:t>
              </w:r>
              <w:r w:rsidRPr="006A5CB4">
                <w:t xml:space="preserve">. </w:t>
              </w:r>
              <w:r>
                <w:tab/>
              </w:r>
              <w:r>
                <w:rPr>
                  <w:i/>
                </w:rPr>
                <w:t>Delegatiegrondslag voor regels over de vaste belonin</w:t>
              </w:r>
              <w:r>
                <w:rPr>
                  <w:i/>
                </w:rPr>
                <w:t>g</w:t>
              </w:r>
            </w:p>
            <w:p w:rsidR="009C64E0" w:rsidP="009C64E0" w:rsidRDefault="00B60E82">
              <w:r w:rsidRPr="006A5CB4">
                <w:t>In de richtsnoeren</w:t>
              </w:r>
              <w:r>
                <w:t xml:space="preserve"> van de EBA</w:t>
              </w:r>
              <w:r w:rsidRPr="006A5CB4">
                <w:t xml:space="preserve"> wordt de definitie van vaste beloning </w:t>
              </w:r>
              <w:r>
                <w:t xml:space="preserve">in CRD IV </w:t>
              </w:r>
              <w:r w:rsidRPr="006A5CB4">
                <w:t xml:space="preserve">nader </w:t>
              </w:r>
              <w:r>
                <w:t xml:space="preserve">geduid, </w:t>
              </w:r>
              <w:r w:rsidRPr="006A5CB4">
                <w:t xml:space="preserve">en </w:t>
              </w:r>
              <w:r>
                <w:t xml:space="preserve">worden </w:t>
              </w:r>
              <w:r w:rsidRPr="006A5CB4">
                <w:t xml:space="preserve">voorwaarden </w:t>
              </w:r>
              <w:r>
                <w:t xml:space="preserve">vastgesteld </w:t>
              </w:r>
              <w:r w:rsidRPr="006A5CB4">
                <w:t>waaraan een beloningscomponent dient te voldoen om als ‘vast’ te worden aangemerkt.</w:t>
              </w:r>
              <w:r>
                <w:rPr>
                  <w:rStyle w:val="Voetnootmarkering"/>
                </w:rPr>
                <w:footnoteReference w:id="7"/>
              </w:r>
              <w:r w:rsidRPr="006A5CB4">
                <w:t xml:space="preserve"> </w:t>
              </w:r>
              <w:r>
                <w:t xml:space="preserve">Het wetsvoorstel stelt voor in de </w:t>
              </w:r>
              <w:proofErr w:type="spellStart"/>
              <w:r>
                <w:t>Wft</w:t>
              </w:r>
              <w:proofErr w:type="spellEnd"/>
              <w:r>
                <w:t xml:space="preserve"> een d</w:t>
              </w:r>
              <w:r>
                <w:t xml:space="preserve">elegatiegrondslag op te nemen, op basis waarvan </w:t>
              </w:r>
              <w:r w:rsidRPr="006A5CB4">
                <w:t>de</w:t>
              </w:r>
              <w:r>
                <w:t xml:space="preserve"> uitleg die de richtsnoeren geven in het Besluit </w:t>
              </w:r>
              <w:proofErr w:type="spellStart"/>
              <w:r>
                <w:t>prudentiële</w:t>
              </w:r>
              <w:proofErr w:type="spellEnd"/>
              <w:r>
                <w:t xml:space="preserve"> regels </w:t>
              </w:r>
              <w:proofErr w:type="spellStart"/>
              <w:r>
                <w:t>Wft</w:t>
              </w:r>
              <w:proofErr w:type="spellEnd"/>
              <w:r>
                <w:t xml:space="preserve"> en het Besluit Gedragstoezicht financiële ondernemingen kan worden geregeld.</w:t>
              </w:r>
              <w:r w:rsidRPr="006A5CB4">
                <w:t xml:space="preserve"> </w:t>
              </w:r>
            </w:p>
            <w:p w:rsidR="009C64E0" w:rsidP="009C64E0" w:rsidRDefault="00B60E82"/>
            <w:p w:rsidR="009C64E0" w:rsidP="009C64E0" w:rsidRDefault="00B60E82">
              <w:r w:rsidRPr="006A5CB4">
                <w:t>De voorgestelde grondslag voor de algemene maatregel va</w:t>
              </w:r>
              <w:r w:rsidRPr="006A5CB4">
                <w:t xml:space="preserve">n bestuur </w:t>
              </w:r>
              <w:r>
                <w:t xml:space="preserve">is </w:t>
              </w:r>
              <w:proofErr w:type="gramStart"/>
              <w:r>
                <w:t>evenwel</w:t>
              </w:r>
              <w:proofErr w:type="gramEnd"/>
              <w:r>
                <w:t xml:space="preserve"> </w:t>
              </w:r>
              <w:r w:rsidRPr="006A5CB4">
                <w:t xml:space="preserve">niet beperkt tot het </w:t>
              </w:r>
              <w:r>
                <w:t>stellen</w:t>
              </w:r>
              <w:r w:rsidRPr="006A5CB4">
                <w:t xml:space="preserve"> van </w:t>
              </w:r>
              <w:r>
                <w:t xml:space="preserve">nadere regels die op grond van </w:t>
              </w:r>
              <w:r w:rsidRPr="006A5CB4">
                <w:t xml:space="preserve">de </w:t>
              </w:r>
              <w:r>
                <w:t>EBA-</w:t>
              </w:r>
              <w:r w:rsidRPr="006A5CB4">
                <w:t xml:space="preserve">richtsnoeren </w:t>
              </w:r>
              <w:r>
                <w:t>nodig zijn</w:t>
              </w:r>
              <w:r w:rsidRPr="006A5CB4">
                <w:t xml:space="preserve">. Dat </w:t>
              </w:r>
              <w:r>
                <w:t>schept</w:t>
              </w:r>
              <w:r w:rsidRPr="006A5CB4">
                <w:t xml:space="preserve"> de mogelijkheid </w:t>
              </w:r>
              <w:r>
                <w:t xml:space="preserve">om </w:t>
              </w:r>
              <w:r w:rsidRPr="006A5CB4">
                <w:t xml:space="preserve">bij algemene maatregel van bestuur ook nadere regels </w:t>
              </w:r>
              <w:r>
                <w:t>te stellen</w:t>
              </w:r>
              <w:r w:rsidRPr="006A5CB4">
                <w:t xml:space="preserve"> die niet voortvloeien uit de richtsnoeren</w:t>
              </w:r>
              <w:r w:rsidRPr="00094F61">
                <w:t xml:space="preserve">. De Afdeling is van oordeel dat er voor een dergelijke brede grondslag geen aanleiding </w:t>
              </w:r>
              <w:r w:rsidRPr="00094F61">
                <w:lastRenderedPageBreak/>
                <w:t>is.</w:t>
              </w:r>
              <w:r>
                <w:t xml:space="preserve"> Ook </w:t>
              </w:r>
              <w:proofErr w:type="gramStart"/>
              <w:r w:rsidRPr="006A5CB4">
                <w:t>blijkens</w:t>
              </w:r>
              <w:proofErr w:type="gramEnd"/>
              <w:r w:rsidRPr="006A5CB4">
                <w:t xml:space="preserve"> de toelichting </w:t>
              </w:r>
              <w:r>
                <w:t xml:space="preserve">is het </w:t>
              </w:r>
              <w:r w:rsidRPr="006A5CB4">
                <w:t>‘uitdrukkelijk niet de bedoeling’</w:t>
              </w:r>
              <w:r w:rsidRPr="006A5CB4">
                <w:rPr>
                  <w:vertAlign w:val="superscript"/>
                </w:rPr>
                <w:footnoteReference w:id="8"/>
              </w:r>
              <w:r>
                <w:t xml:space="preserve"> dat er een grondslag in de wet wordt opgenomen die d</w:t>
              </w:r>
              <w:r>
                <w:t>e ruimte laat meer regels te stellen dan waartoe de richtsnoeren aanleiding geven.</w:t>
              </w:r>
              <w:r w:rsidRPr="006A5CB4">
                <w:t xml:space="preserve"> </w:t>
              </w:r>
            </w:p>
            <w:p w:rsidR="009C64E0" w:rsidP="009C64E0" w:rsidRDefault="00B60E82"/>
            <w:p w:rsidRPr="006A5CB4" w:rsidR="009C64E0" w:rsidP="009C64E0" w:rsidRDefault="00B60E82">
              <w:r>
                <w:t>Gelet op het vorenstaande adviseert d</w:t>
              </w:r>
              <w:r w:rsidRPr="006A5CB4">
                <w:t xml:space="preserve">e Afdeling om </w:t>
              </w:r>
              <w:r>
                <w:t xml:space="preserve">het voorstel aan te passen </w:t>
              </w:r>
              <w:r>
                <w:t xml:space="preserve">en </w:t>
              </w:r>
              <w:r w:rsidRPr="006A5CB4">
                <w:t xml:space="preserve">de voorgestelde </w:t>
              </w:r>
              <w:r>
                <w:t xml:space="preserve">delegatiegrondslag in overeenstemming te brengen </w:t>
              </w:r>
              <w:r w:rsidRPr="006A5CB4">
                <w:t>met de toelichting.</w:t>
              </w:r>
            </w:p>
            <w:p w:rsidRPr="006A5CB4" w:rsidR="009C64E0" w:rsidP="009C64E0" w:rsidRDefault="00B60E82"/>
            <w:p w:rsidR="009C64E0" w:rsidP="009C64E0" w:rsidRDefault="00B60E82">
              <w:pPr>
                <w:rPr>
                  <w:i/>
                </w:rPr>
              </w:pPr>
              <w:proofErr w:type="gramStart"/>
              <w:r>
                <w:t>c</w:t>
              </w:r>
              <w:r w:rsidRPr="006A5CB4">
                <w:t>.</w:t>
              </w:r>
              <w:proofErr w:type="gramEnd"/>
              <w:r w:rsidRPr="006A5CB4">
                <w:t xml:space="preserve"> </w:t>
              </w:r>
              <w:r>
                <w:tab/>
              </w:r>
              <w:r w:rsidRPr="00A679BD">
                <w:rPr>
                  <w:i/>
                </w:rPr>
                <w:t xml:space="preserve">Het beloningsbeleid van </w:t>
              </w:r>
              <w:r>
                <w:rPr>
                  <w:i/>
                </w:rPr>
                <w:t xml:space="preserve">bepaalde </w:t>
              </w:r>
              <w:r w:rsidRPr="00A679BD">
                <w:rPr>
                  <w:i/>
                </w:rPr>
                <w:t>dochterondernemingen</w:t>
              </w:r>
            </w:p>
            <w:p w:rsidR="009C64E0" w:rsidP="009C64E0" w:rsidRDefault="00B60E82">
              <w:r w:rsidRPr="006A5CB4">
                <w:t xml:space="preserve">In de richtsnoeren </w:t>
              </w:r>
              <w:r>
                <w:t xml:space="preserve">van de EBA </w:t>
              </w:r>
              <w:r w:rsidRPr="006A5CB4">
                <w:t xml:space="preserve">wordt </w:t>
              </w:r>
              <w:r>
                <w:t>verduidelijkt</w:t>
              </w:r>
              <w:r w:rsidRPr="006A5CB4">
                <w:t xml:space="preserve"> dat </w:t>
              </w:r>
              <w:r>
                <w:t xml:space="preserve">uit CRD IV voortvloeit dat </w:t>
              </w:r>
              <w:r w:rsidRPr="006A5CB4">
                <w:t xml:space="preserve">dochterondernemingen die binnen de </w:t>
              </w:r>
              <w:proofErr w:type="spellStart"/>
              <w:r w:rsidRPr="006A5CB4">
                <w:t>prudenti</w:t>
              </w:r>
              <w:r>
                <w:t>ële</w:t>
              </w:r>
              <w:proofErr w:type="spellEnd"/>
              <w:r w:rsidRPr="006A5CB4">
                <w:t xml:space="preserve"> consolidatie vallen </w:t>
              </w:r>
              <w:r>
                <w:t xml:space="preserve">moeten voldoen aan </w:t>
              </w:r>
              <w:r w:rsidRPr="006A5CB4">
                <w:t>de belonings</w:t>
              </w:r>
              <w:r>
                <w:t>regels</w:t>
              </w:r>
              <w:r w:rsidRPr="006A5CB4">
                <w:t xml:space="preserve"> </w:t>
              </w:r>
              <w:r>
                <w:t xml:space="preserve">van </w:t>
              </w:r>
              <w:r w:rsidRPr="006A5CB4">
                <w:t>CRD IV</w:t>
              </w:r>
              <w:r w:rsidRPr="00D7724F">
                <w:t>.</w:t>
              </w:r>
              <w:r w:rsidRPr="00B377E7">
                <w:rPr>
                  <w:color w:val="FF0000"/>
                </w:rPr>
                <w:t xml:space="preserve"> </w:t>
              </w:r>
              <w:r>
                <w:t xml:space="preserve">Dergelijke dochterondernemingen vallen onder het bereik van de beloningsregels van CRD IV, </w:t>
              </w:r>
              <w:r w:rsidRPr="006A5CB4">
                <w:t xml:space="preserve">indien in de voor die dochteronderneming </w:t>
              </w:r>
              <w:r>
                <w:t xml:space="preserve">geldende </w:t>
              </w:r>
              <w:r w:rsidRPr="006A5CB4">
                <w:t>sectorspecifieke regelgeving</w:t>
              </w:r>
              <w:r>
                <w:t xml:space="preserve"> geen aan CRD IV gelijkluidende </w:t>
              </w:r>
              <w:r w:rsidRPr="006A5CB4">
                <w:t xml:space="preserve">regels zijn </w:t>
              </w:r>
              <w:r>
                <w:t>opgenomen</w:t>
              </w:r>
              <w:r w:rsidRPr="006A5CB4">
                <w:t>.</w:t>
              </w:r>
              <w:r>
                <w:rPr>
                  <w:rStyle w:val="Voetnootmarkering"/>
                </w:rPr>
                <w:footnoteReference w:id="9"/>
              </w:r>
              <w:r w:rsidRPr="006A5CB4">
                <w:t xml:space="preserve"> </w:t>
              </w:r>
            </w:p>
            <w:p w:rsidR="00CF3FDD" w:rsidP="009C64E0" w:rsidRDefault="00B60E82"/>
            <w:p w:rsidR="009C64E0" w:rsidP="009C64E0" w:rsidRDefault="00B60E82">
              <w:r>
                <w:t>Thans staat d</w:t>
              </w:r>
              <w:r w:rsidRPr="006A5CB4">
                <w:t xml:space="preserve">e </w:t>
              </w:r>
              <w:proofErr w:type="spellStart"/>
              <w:r w:rsidRPr="006A5CB4">
                <w:t>Wft</w:t>
              </w:r>
              <w:proofErr w:type="spellEnd"/>
              <w:r w:rsidRPr="006A5CB4">
                <w:t xml:space="preserve"> </w:t>
              </w:r>
              <w:r>
                <w:t>op dit pu</w:t>
              </w:r>
              <w:r>
                <w:t xml:space="preserve">nt de </w:t>
              </w:r>
              <w:r w:rsidRPr="006A5CB4">
                <w:t xml:space="preserve">uitvoering van </w:t>
              </w:r>
              <w:r>
                <w:t xml:space="preserve">CRD IV, zoals uitgelegd in </w:t>
              </w:r>
              <w:r w:rsidRPr="006A5CB4">
                <w:t>de richtsnoeren</w:t>
              </w:r>
              <w:r>
                <w:t xml:space="preserve">, </w:t>
              </w:r>
              <w:r w:rsidRPr="006A5CB4">
                <w:t xml:space="preserve">in de weg, omdat in </w:t>
              </w:r>
              <w:r>
                <w:t xml:space="preserve">artikel 1:121, zevende lid van de </w:t>
              </w:r>
              <w:proofErr w:type="spellStart"/>
              <w:r>
                <w:t>Wft</w:t>
              </w:r>
              <w:proofErr w:type="spellEnd"/>
              <w:r>
                <w:t xml:space="preserve"> een</w:t>
              </w:r>
              <w:r w:rsidRPr="006A5CB4">
                <w:t xml:space="preserve"> </w:t>
              </w:r>
              <w:proofErr w:type="gramStart"/>
              <w:r w:rsidRPr="006A5CB4">
                <w:t>algehele</w:t>
              </w:r>
              <w:proofErr w:type="gramEnd"/>
              <w:r w:rsidRPr="006A5CB4">
                <w:t xml:space="preserve"> uitzondering van het bonusplafond is opgenomen voor </w:t>
              </w:r>
              <w:r>
                <w:t xml:space="preserve">de </w:t>
              </w:r>
              <w:r w:rsidRPr="006A5CB4">
                <w:t xml:space="preserve">drie </w:t>
              </w:r>
              <w:r>
                <w:t xml:space="preserve">hiervoor genoemde </w:t>
              </w:r>
              <w:r w:rsidRPr="006A5CB4">
                <w:t>typen financiële ondernemingen</w:t>
              </w:r>
              <w:r>
                <w:t>.</w:t>
              </w:r>
              <w:r>
                <w:rPr>
                  <w:rStyle w:val="Voetnootmarkering"/>
                </w:rPr>
                <w:footnoteReference w:id="10"/>
              </w:r>
              <w:r>
                <w:t xml:space="preserve"> Daarom wo</w:t>
              </w:r>
              <w:r>
                <w:t xml:space="preserve">rdt voorgesteld </w:t>
              </w:r>
              <w:r w:rsidRPr="000C7CBE">
                <w:t>d</w:t>
              </w:r>
              <w:r>
                <w:t>i</w:t>
              </w:r>
              <w:r w:rsidRPr="000C7CBE">
                <w:t xml:space="preserve">e algemene uitzondering </w:t>
              </w:r>
              <w:r>
                <w:t xml:space="preserve">in te perken, zodat CRD IV ook toepassing kan vinden op </w:t>
              </w:r>
              <w:r w:rsidRPr="006A5CB4">
                <w:t>de natuurlijke personen die werkzaam zijn bij de ondernemingen wier werkzaamheden het risicoprofiel van de groep wezenlijk beïnvloeden, voor zover deze ondern</w:t>
              </w:r>
              <w:r w:rsidRPr="006A5CB4">
                <w:t xml:space="preserve">eming zich bevindt in een groep waarop </w:t>
              </w:r>
              <w:proofErr w:type="gramStart"/>
              <w:r w:rsidRPr="006A5CB4">
                <w:t>uit hoofde van</w:t>
              </w:r>
              <w:proofErr w:type="gramEnd"/>
              <w:r w:rsidRPr="006A5CB4">
                <w:t xml:space="preserve"> de verordening kapitaalvereisten geconsolideerd toezicht plaatsvindt.</w:t>
              </w:r>
              <w:r w:rsidRPr="006A5CB4">
                <w:rPr>
                  <w:vertAlign w:val="superscript"/>
                </w:rPr>
                <w:footnoteReference w:id="11"/>
              </w:r>
              <w:r w:rsidRPr="006A5CB4">
                <w:t xml:space="preserve"> </w:t>
              </w:r>
              <w:r>
                <w:t>V</w:t>
              </w:r>
              <w:r w:rsidRPr="006A5CB4">
                <w:t>oorgesteld</w:t>
              </w:r>
              <w:r>
                <w:t xml:space="preserve"> wordt</w:t>
              </w:r>
              <w:r w:rsidRPr="006A5CB4">
                <w:t xml:space="preserve"> om het bonusplafond daarbij te stellen op het maximum dat CRD IV </w:t>
              </w:r>
              <w:r>
                <w:t xml:space="preserve">toelaat </w:t>
              </w:r>
              <w:r w:rsidRPr="006A5CB4">
                <w:t xml:space="preserve">(100% van </w:t>
              </w:r>
              <w:r>
                <w:t>de</w:t>
              </w:r>
              <w:r w:rsidRPr="006A5CB4">
                <w:t xml:space="preserve"> vaste component van de belo</w:t>
              </w:r>
              <w:r w:rsidRPr="006A5CB4">
                <w:t>ning</w:t>
              </w:r>
              <w:r>
                <w:t xml:space="preserve"> onderscheide</w:t>
              </w:r>
              <w:r>
                <w:t>n</w:t>
              </w:r>
              <w:r>
                <w:t>lijk</w:t>
              </w:r>
              <w:r w:rsidRPr="006A5CB4">
                <w:t xml:space="preserve"> 200% indien het </w:t>
              </w:r>
              <w:r w:rsidRPr="006A5CB4">
                <w:t xml:space="preserve">personen </w:t>
              </w:r>
              <w:r>
                <w:t xml:space="preserve">betreft </w:t>
              </w:r>
              <w:r w:rsidRPr="006A5CB4">
                <w:t xml:space="preserve">die </w:t>
              </w:r>
              <w:r>
                <w:t xml:space="preserve">voornamelijk </w:t>
              </w:r>
              <w:r w:rsidRPr="006A5CB4">
                <w:t xml:space="preserve">werkzaamheden </w:t>
              </w:r>
              <w:r w:rsidRPr="006A5CB4">
                <w:t xml:space="preserve">verrichten in een niet-lidstaat). </w:t>
              </w:r>
            </w:p>
            <w:p w:rsidR="00CF3FDD" w:rsidP="009C64E0" w:rsidRDefault="00B60E82"/>
            <w:p w:rsidR="00CF3FDD" w:rsidP="009C64E0" w:rsidRDefault="00B60E82">
              <w:proofErr w:type="gramStart"/>
              <w:r>
                <w:t>i</w:t>
              </w:r>
              <w:proofErr w:type="gramEnd"/>
              <w:r>
                <w:t xml:space="preserve">. </w:t>
              </w:r>
              <w:r>
                <w:tab/>
              </w:r>
              <w:r>
                <w:rPr>
                  <w:i/>
                </w:rPr>
                <w:t>Het</w:t>
              </w:r>
              <w:r w:rsidRPr="00D7724F">
                <w:rPr>
                  <w:i/>
                </w:rPr>
                <w:t xml:space="preserve"> bonusplafond</w:t>
              </w:r>
            </w:p>
            <w:p w:rsidR="00A91BD0" w:rsidP="00FF1FE8" w:rsidRDefault="00B60E82">
              <w:r>
                <w:t xml:space="preserve">Zoals hiervoor aangegeven, is bij de eerdere </w:t>
              </w:r>
              <w:proofErr w:type="gramStart"/>
              <w:r>
                <w:t>implementatie</w:t>
              </w:r>
              <w:proofErr w:type="gramEnd"/>
              <w:r>
                <w:t xml:space="preserve"> van CRD IV gekozen om verder te</w:t>
              </w:r>
              <w:r>
                <w:t xml:space="preserve"> gaan dan de richtlijn voorschrijft, en het bonusplafond op 20% van de vaste beloning te stellen</w:t>
              </w:r>
              <w:r>
                <w:t>.</w:t>
              </w:r>
              <w:r>
                <w:rPr>
                  <w:rStyle w:val="Voetnootmarkering"/>
                </w:rPr>
                <w:footnoteReference w:id="12"/>
              </w:r>
              <w:r>
                <w:t xml:space="preserve"> </w:t>
              </w:r>
              <w:r>
                <w:t xml:space="preserve">Bij de voorgestelde wijziging wordt </w:t>
              </w:r>
              <w:r>
                <w:t>a</w:t>
              </w:r>
              <w:r>
                <w:t>an dit percentage van 20</w:t>
              </w:r>
              <w:r>
                <w:t>%</w:t>
              </w:r>
              <w:r>
                <w:t xml:space="preserve"> </w:t>
              </w:r>
              <w:r>
                <w:t>niet vastgehouden. In plaats daarvan wordt voorgesteld om de ruimte die CRD IV daartoe biedt voor de nieuw onder de regels te brengen instellingen maximaal te gebruiken. Volgens de toelichting is die keuze voor het maximale bonusplafo</w:t>
              </w:r>
              <w:r>
                <w:t>nd “passend” omdat op die wijze de verschillen met niet-uitgezonderde ondernemingen worden beperkt.</w:t>
              </w:r>
              <w:r>
                <w:rPr>
                  <w:rStyle w:val="Voetnootmarkering"/>
                </w:rPr>
                <w:footnoteReference w:id="13"/>
              </w:r>
              <w:r>
                <w:t xml:space="preserve"> </w:t>
              </w:r>
              <w:r>
                <w:rPr>
                  <w:rStyle w:val="Voetnootmarkering"/>
                </w:rPr>
                <w:footnoteReference w:id="14"/>
              </w:r>
            </w:p>
            <w:p w:rsidR="00A91BD0" w:rsidP="00FF1FE8" w:rsidRDefault="00B60E82"/>
            <w:p w:rsidR="004D7BAA" w:rsidP="00FF1FE8" w:rsidRDefault="00B60E82">
              <w:r>
                <w:t>Dit betekent dat er binnen de wet een eind komt aan het uniforme bonusplafond van 20</w:t>
              </w:r>
              <w:r>
                <w:t>%</w:t>
              </w:r>
              <w:r>
                <w:t xml:space="preserve">, en een onderscheid wordt geïntroduceerd tussen bonusplafonds voor verschillende ondernemingen onderling. De vraag doet zich voor of dit consequenties dient te hebben voor bepaalde ondernemingen die onder het huidige regime </w:t>
              </w:r>
              <w:proofErr w:type="gramStart"/>
              <w:r>
                <w:t>reeds</w:t>
              </w:r>
              <w:proofErr w:type="gramEnd"/>
              <w:r>
                <w:t xml:space="preserve"> onder het bonusbeleid val</w:t>
              </w:r>
              <w:r>
                <w:t xml:space="preserve">len. De toelichting gaat hier niet op in. </w:t>
              </w:r>
            </w:p>
            <w:p w:rsidR="004D7BAA" w:rsidP="00FF1FE8" w:rsidRDefault="00B60E82"/>
            <w:p w:rsidR="00FF1FE8" w:rsidP="00FF1FE8" w:rsidRDefault="00B60E82">
              <w:r>
                <w:t xml:space="preserve">De Afdeling adviseert </w:t>
              </w:r>
              <w:r>
                <w:t>de toelichting naar aanleiding van het voorgaande aan te vullen</w:t>
              </w:r>
              <w:r>
                <w:t>.</w:t>
              </w:r>
            </w:p>
            <w:p w:rsidR="00FF1FE8" w:rsidP="00FF1FE8" w:rsidRDefault="00B60E82"/>
            <w:p w:rsidRPr="00D7724F" w:rsidR="009C4406" w:rsidP="009C64E0" w:rsidRDefault="00B60E82">
              <w:pPr>
                <w:rPr>
                  <w:i/>
                  <w:color w:val="FF0000"/>
                </w:rPr>
              </w:pPr>
              <w:r>
                <w:t xml:space="preserve">ii. </w:t>
              </w:r>
              <w:r>
                <w:tab/>
              </w:r>
              <w:r>
                <w:rPr>
                  <w:i/>
                </w:rPr>
                <w:t>Regulering van eigendom</w:t>
              </w:r>
            </w:p>
            <w:p w:rsidR="00155566" w:rsidP="009C64E0" w:rsidRDefault="00B60E82">
              <w:pPr>
                <w:rPr>
                  <w:iCs/>
                </w:rPr>
              </w:pPr>
              <w:r w:rsidRPr="006A5CB4">
                <w:rPr>
                  <w:iCs/>
                </w:rPr>
                <w:t xml:space="preserve">De Afdeling wijst er op dat </w:t>
              </w:r>
              <w:r>
                <w:rPr>
                  <w:iCs/>
                </w:rPr>
                <w:t xml:space="preserve">de voorgestelde introductie van een bonusplafond voor een nieuwe categorie van ondernemingen </w:t>
              </w:r>
              <w:r w:rsidRPr="006A5CB4">
                <w:rPr>
                  <w:iCs/>
                </w:rPr>
                <w:t xml:space="preserve">een aantasting </w:t>
              </w:r>
              <w:r>
                <w:rPr>
                  <w:iCs/>
                </w:rPr>
                <w:t xml:space="preserve">kan </w:t>
              </w:r>
              <w:r w:rsidRPr="006A5CB4">
                <w:rPr>
                  <w:iCs/>
                </w:rPr>
                <w:t>vorm</w:t>
              </w:r>
              <w:r>
                <w:rPr>
                  <w:iCs/>
                </w:rPr>
                <w:t>en</w:t>
              </w:r>
              <w:r w:rsidRPr="006A5CB4">
                <w:rPr>
                  <w:iCs/>
                </w:rPr>
                <w:t xml:space="preserve"> van bestaande overeenkomsten </w:t>
              </w:r>
              <w:r>
                <w:rPr>
                  <w:iCs/>
                </w:rPr>
                <w:t>met werknemers</w:t>
              </w:r>
              <w:r w:rsidRPr="006A5CB4">
                <w:rPr>
                  <w:iCs/>
                </w:rPr>
                <w:t>.</w:t>
              </w:r>
              <w:r>
                <w:rPr>
                  <w:iCs/>
                </w:rPr>
                <w:t xml:space="preserve"> </w:t>
              </w:r>
              <w:r w:rsidRPr="006A5CB4">
                <w:rPr>
                  <w:iCs/>
                </w:rPr>
                <w:t>Het wetsvoorstel voorziet niet in overgangsrecht. In zoverre kan het wetsvoorstel dan ook ee</w:t>
              </w:r>
              <w:r w:rsidRPr="006A5CB4">
                <w:rPr>
                  <w:iCs/>
                </w:rPr>
                <w:t>n inbreuk vormen op het beschermde recht op een ongestoord genot van eigendom.</w:t>
              </w:r>
              <w:r w:rsidRPr="006A5CB4">
                <w:rPr>
                  <w:iCs/>
                  <w:vertAlign w:val="superscript"/>
                </w:rPr>
                <w:footnoteReference w:id="15"/>
              </w:r>
              <w:r>
                <w:rPr>
                  <w:iCs/>
                </w:rPr>
                <w:t xml:space="preserve"> </w:t>
              </w:r>
            </w:p>
            <w:p w:rsidR="00155566" w:rsidP="009C64E0" w:rsidRDefault="00B60E82">
              <w:pPr>
                <w:rPr>
                  <w:iCs/>
                </w:rPr>
              </w:pPr>
            </w:p>
            <w:p w:rsidR="00FE633B" w:rsidRDefault="00B60E82">
              <w:pPr>
                <w:rPr>
                  <w:iCs/>
                </w:rPr>
              </w:pPr>
              <w:r>
                <w:rPr>
                  <w:iCs/>
                </w:rPr>
                <w:t xml:space="preserve">Zoals hiervoor is opgemerkt, zijn de nationale autoriteiten gehouden tot het leveren van uiterste inspanningen om de </w:t>
              </w:r>
              <w:r w:rsidRPr="006A5CB4">
                <w:rPr>
                  <w:iCs/>
                </w:rPr>
                <w:t xml:space="preserve">richtsnoeren van de EBA </w:t>
              </w:r>
              <w:r>
                <w:rPr>
                  <w:iCs/>
                </w:rPr>
                <w:t>uit te voeren</w:t>
              </w:r>
              <w:r w:rsidRPr="006A5CB4">
                <w:rPr>
                  <w:iCs/>
                </w:rPr>
                <w:t>.</w:t>
              </w:r>
              <w:r>
                <w:rPr>
                  <w:rStyle w:val="Voetnootmarkering"/>
                  <w:iCs/>
                </w:rPr>
                <w:footnoteReference w:id="16"/>
              </w:r>
              <w:r w:rsidRPr="006A5CB4">
                <w:rPr>
                  <w:iCs/>
                </w:rPr>
                <w:t xml:space="preserve"> </w:t>
              </w:r>
              <w:r>
                <w:rPr>
                  <w:iCs/>
                </w:rPr>
                <w:t xml:space="preserve">De Afdeling merkt op dat deze inspanningsverplichting wordt begrensd door het verdragsrechtelijk beschermde recht op een ongestoord genot van eigendom. </w:t>
              </w:r>
              <w:proofErr w:type="gramStart"/>
              <w:r>
                <w:rPr>
                  <w:iCs/>
                </w:rPr>
                <w:t>Omdat het wetsvoorstel een aantasting kan vormen van bestaande overeenkomsten met werknemers, moet dan</w:t>
              </w:r>
              <w:r>
                <w:rPr>
                  <w:iCs/>
                </w:rPr>
                <w:t xml:space="preserve"> ook voor die gevallen dragend worden gemotiveerd waarom onmiddellijke inwerkingtreding van de wijzigingen van de </w:t>
              </w:r>
              <w:proofErr w:type="spellStart"/>
              <w:r>
                <w:rPr>
                  <w:iCs/>
                </w:rPr>
                <w:t>Wft</w:t>
              </w:r>
              <w:proofErr w:type="spellEnd"/>
              <w:r>
                <w:rPr>
                  <w:iCs/>
                </w:rPr>
                <w:t xml:space="preserve"> </w:t>
              </w:r>
              <w:r>
                <w:rPr>
                  <w:iCs/>
                </w:rPr>
                <w:t xml:space="preserve">verenigbaar is met </w:t>
              </w:r>
              <w:r>
                <w:rPr>
                  <w:iCs/>
                </w:rPr>
                <w:t>het beschermde recht op een ongestoord genot van eigendom, en van een overgangstermi</w:t>
              </w:r>
              <w:r>
                <w:rPr>
                  <w:iCs/>
                </w:rPr>
                <w:t xml:space="preserve">jn kan worden afgezien. </w:t>
              </w:r>
              <w:proofErr w:type="gramEnd"/>
              <w:r>
                <w:rPr>
                  <w:iCs/>
                </w:rPr>
                <w:t>De toelichting geeft deze motivering niet.</w:t>
              </w:r>
            </w:p>
            <w:p w:rsidR="00293FEA" w:rsidP="00293FEA" w:rsidRDefault="00B60E82">
              <w:pPr>
                <w:rPr>
                  <w:iCs/>
                </w:rPr>
              </w:pPr>
            </w:p>
            <w:p w:rsidR="00DE34ED" w:rsidP="00293FEA" w:rsidRDefault="00B60E82">
              <w:pPr>
                <w:rPr>
                  <w:iCs/>
                </w:rPr>
              </w:pPr>
              <w:r w:rsidRPr="006A5CB4">
                <w:rPr>
                  <w:iCs/>
                </w:rPr>
                <w:t xml:space="preserve">De Afdeling adviseert om in de toelichting </w:t>
              </w:r>
              <w:r>
                <w:rPr>
                  <w:iCs/>
                </w:rPr>
                <w:t>dragend te motiveren dat</w:t>
              </w:r>
              <w:r w:rsidRPr="006A5CB4">
                <w:rPr>
                  <w:iCs/>
                </w:rPr>
                <w:t xml:space="preserve"> </w:t>
              </w:r>
              <w:r>
                <w:rPr>
                  <w:iCs/>
                </w:rPr>
                <w:t xml:space="preserve">het niet voorzien in een overgangstermijn strookt met het </w:t>
              </w:r>
              <w:r>
                <w:rPr>
                  <w:iCs/>
                </w:rPr>
                <w:t>recht op</w:t>
              </w:r>
              <w:r w:rsidRPr="006A5CB4">
                <w:rPr>
                  <w:iCs/>
                </w:rPr>
                <w:t xml:space="preserve"> ongestoord genot van eigendom</w:t>
              </w:r>
              <w:r>
                <w:rPr>
                  <w:iCs/>
                </w:rPr>
                <w:t xml:space="preserve">. Indien </w:t>
              </w:r>
              <w:r>
                <w:rPr>
                  <w:iCs/>
                </w:rPr>
                <w:t xml:space="preserve">in </w:t>
              </w:r>
              <w:r>
                <w:rPr>
                  <w:iCs/>
                </w:rPr>
                <w:t xml:space="preserve">een dergelijke motivering </w:t>
              </w:r>
              <w:r>
                <w:rPr>
                  <w:iCs/>
                </w:rPr>
                <w:t>niet kan worden voorzien, adviseert zij</w:t>
              </w:r>
              <w:r>
                <w:rPr>
                  <w:iCs/>
                </w:rPr>
                <w:t xml:space="preserve"> </w:t>
              </w:r>
              <w:r>
                <w:rPr>
                  <w:iCs/>
                </w:rPr>
                <w:t xml:space="preserve">alsnog </w:t>
              </w:r>
              <w:r w:rsidRPr="006A5CB4">
                <w:rPr>
                  <w:iCs/>
                </w:rPr>
                <w:t>te voorzien in een overgangstermijn.</w:t>
              </w:r>
            </w:p>
            <w:p w:rsidR="009C64E0" w:rsidP="009C64E0" w:rsidRDefault="00B60E82">
              <w:pPr>
                <w:rPr>
                  <w:iCs/>
                </w:rPr>
              </w:pPr>
            </w:p>
            <w:p w:rsidRPr="00F7365C" w:rsidR="009C64E0" w:rsidP="009C64E0" w:rsidRDefault="00B60E82">
              <w:pPr>
                <w:rPr>
                  <w:iCs/>
                  <w:u w:val="single"/>
                </w:rPr>
              </w:pPr>
              <w:r>
                <w:rPr>
                  <w:iCs/>
                </w:rPr>
                <w:t xml:space="preserve">2. </w:t>
              </w:r>
              <w:r>
                <w:rPr>
                  <w:iCs/>
                </w:rPr>
                <w:tab/>
              </w:r>
              <w:r>
                <w:rPr>
                  <w:iCs/>
                  <w:u w:val="single"/>
                </w:rPr>
                <w:t>Informatie-deling door de AFM met de ACM</w:t>
              </w:r>
            </w:p>
            <w:p w:rsidR="009C64E0" w:rsidP="009C64E0" w:rsidRDefault="00B60E82">
              <w:pPr>
                <w:rPr>
                  <w:iCs/>
                </w:rPr>
              </w:pPr>
            </w:p>
            <w:p w:rsidR="009C64E0" w:rsidP="009C64E0" w:rsidRDefault="00B60E82">
              <w:pPr>
                <w:rPr>
                  <w:iCs/>
                </w:rPr>
              </w:pPr>
              <w:r>
                <w:rPr>
                  <w:iCs/>
                </w:rPr>
                <w:t xml:space="preserve">Het wetsvoorstel voorziet in een bepaling op grond waarvan de AFM bepaalde informatie die zij verkrijgt in het kader van haar toezicht kan gaan delen met de ACM. Een dergelijke informatiedeling ligt in de rede, zo </w:t>
              </w:r>
              <w:r>
                <w:rPr>
                  <w:iCs/>
                </w:rPr>
                <w:t xml:space="preserve">wordt toegelicht, omdat beide toezichthouders toezien op (verschillende onderdelen van) de naleving van </w:t>
              </w:r>
              <w:r>
                <w:rPr>
                  <w:iCs/>
                </w:rPr>
                <w:lastRenderedPageBreak/>
                <w:t>de Wet handhaving consumentenbescherming, terwijl ook gegevens bij de AFM beschikbaar zijn die voor het toezicht dat de ACM houdt nuttig kunnen zijn.</w:t>
              </w:r>
              <w:r>
                <w:rPr>
                  <w:rStyle w:val="Voetnootmarkering"/>
                  <w:iCs/>
                </w:rPr>
                <w:footnoteReference w:id="17"/>
              </w:r>
            </w:p>
            <w:p w:rsidR="009C64E0" w:rsidP="009C64E0" w:rsidRDefault="00B60E82">
              <w:pPr>
                <w:rPr>
                  <w:iCs/>
                </w:rPr>
              </w:pPr>
            </w:p>
            <w:p w:rsidR="009C64E0" w:rsidP="009C64E0" w:rsidRDefault="00B60E82">
              <w:pPr>
                <w:rPr>
                  <w:iCs/>
                </w:rPr>
              </w:pPr>
              <w:r>
                <w:rPr>
                  <w:iCs/>
                </w:rPr>
                <w:t xml:space="preserve">De Afdeling wijst erop dat Europeesrechtelijke geheimhoudingsverplichtingen gelden voor veel van de informatie die de AFM in het kader van het toezicht op de naleving van de </w:t>
              </w:r>
              <w:proofErr w:type="spellStart"/>
              <w:r>
                <w:rPr>
                  <w:iCs/>
                </w:rPr>
                <w:t>Wft</w:t>
              </w:r>
              <w:proofErr w:type="spellEnd"/>
              <w:r>
                <w:rPr>
                  <w:iCs/>
                </w:rPr>
                <w:t xml:space="preserve"> verkrijgt.</w:t>
              </w:r>
              <w:r>
                <w:rPr>
                  <w:rStyle w:val="Voetnootmarkering"/>
                  <w:iCs/>
                </w:rPr>
                <w:footnoteReference w:id="18"/>
              </w:r>
              <w:r>
                <w:rPr>
                  <w:iCs/>
                </w:rPr>
                <w:t xml:space="preserve"> Informatie kan slechts met andere toezichthouders worden gedeeld i</w:t>
              </w:r>
              <w:r>
                <w:rPr>
                  <w:iCs/>
                </w:rPr>
                <w:t xml:space="preserve">ndien de </w:t>
              </w:r>
              <w:proofErr w:type="gramStart"/>
              <w:r>
                <w:rPr>
                  <w:iCs/>
                </w:rPr>
                <w:t>betreffende</w:t>
              </w:r>
              <w:proofErr w:type="gramEnd"/>
              <w:r>
                <w:rPr>
                  <w:iCs/>
                </w:rPr>
                <w:t xml:space="preserve"> Europese richtlijnen of verordeningen daar ruimte voor bieden. Zo laat bijvoorbeeld CRD IV dergelijke informatiedeling slechts toe voor zover dat dient ter vervulling van de toezichtstaken op de naleving van CRD IV.</w:t>
              </w:r>
              <w:r>
                <w:rPr>
                  <w:rStyle w:val="Voetnootmarkering"/>
                  <w:iCs/>
                </w:rPr>
                <w:footnoteReference w:id="19"/>
              </w:r>
              <w:r>
                <w:rPr>
                  <w:iCs/>
                </w:rPr>
                <w:t xml:space="preserve"> Informatie die doo</w:t>
              </w:r>
              <w:r>
                <w:rPr>
                  <w:iCs/>
                </w:rPr>
                <w:t>r de AFM verkregen wordt in het kader van diens toezicht op de uitvoeringsregels van CRD IV kan dus niet worden gedeeld met andere toezichthouders die geen toezichtstaken in het kader van CRD IV vervullen. Dat dergelijke informatie nuttig kan zijn voor het</w:t>
              </w:r>
              <w:r>
                <w:rPr>
                  <w:iCs/>
                </w:rPr>
                <w:t xml:space="preserve"> toezicht dat op de naleving van andere regels wordt uitgeoefend, kan aan die geheimhoudingsverplichting niet afdoen.</w:t>
              </w:r>
            </w:p>
            <w:p w:rsidR="009C64E0" w:rsidP="009C64E0" w:rsidRDefault="00B60E82">
              <w:pPr>
                <w:rPr>
                  <w:iCs/>
                </w:rPr>
              </w:pPr>
            </w:p>
            <w:p w:rsidR="00076682" w:rsidP="009C64E0" w:rsidRDefault="00B60E82">
              <w:pPr>
                <w:rPr>
                  <w:iCs/>
                </w:rPr>
              </w:pPr>
              <w:r>
                <w:rPr>
                  <w:iCs/>
                </w:rPr>
                <w:t>Het wetsvoorstel geeft rekenschap van de beperkingen die op grond van de Europese richtlijnen en verordeningen voor de AFM gelden als het</w:t>
              </w:r>
              <w:r>
                <w:rPr>
                  <w:iCs/>
                </w:rPr>
                <w:t xml:space="preserve"> gaat om informatiedeling. Daarom wordt in het wetsvoorstel bepaald dat de AFM waarborgt dat de informatie-uitwisseling plaatsvindt met inachtneming van het geheimhoudingsregime dat </w:t>
              </w:r>
              <w:proofErr w:type="gramStart"/>
              <w:r>
                <w:rPr>
                  <w:iCs/>
                </w:rPr>
                <w:t>ingevolge</w:t>
              </w:r>
              <w:proofErr w:type="gramEnd"/>
              <w:r>
                <w:rPr>
                  <w:iCs/>
                </w:rPr>
                <w:t xml:space="preserve"> Europese richtlijnen of verordeningen op de desbetreffende gegev</w:t>
              </w:r>
              <w:r>
                <w:rPr>
                  <w:iCs/>
                </w:rPr>
                <w:t>ens of inlichtingen van toepassing is.</w:t>
              </w:r>
              <w:r>
                <w:rPr>
                  <w:rStyle w:val="Voetnootmarkering"/>
                  <w:iCs/>
                </w:rPr>
                <w:footnoteReference w:id="20"/>
              </w:r>
              <w:r>
                <w:rPr>
                  <w:iCs/>
                </w:rPr>
                <w:t xml:space="preserve"> Daarmee is geregeld dat informatie die op grond van Europese regels onder een geheimhoudingsregime valt, niet aan de ACM mag worden verstrekt. </w:t>
              </w:r>
            </w:p>
            <w:p w:rsidR="00076682" w:rsidP="009C64E0" w:rsidRDefault="00B60E82">
              <w:pPr>
                <w:rPr>
                  <w:iCs/>
                </w:rPr>
              </w:pPr>
            </w:p>
            <w:p w:rsidR="00F02877" w:rsidP="009C64E0" w:rsidRDefault="00B60E82">
              <w:pPr>
                <w:rPr>
                  <w:iCs/>
                </w:rPr>
              </w:pPr>
              <w:r>
                <w:rPr>
                  <w:iCs/>
                </w:rPr>
                <w:t>In de toelichting wordt echter gesuggereerd dat onder omstandigheden to</w:t>
              </w:r>
              <w:r>
                <w:rPr>
                  <w:iCs/>
                </w:rPr>
                <w:t>ch informatie die in het kader van het toezicht op richtlijnen en verordeningen wordt verkregen</w:t>
              </w:r>
              <w:r>
                <w:rPr>
                  <w:iCs/>
                </w:rPr>
                <w:t>,</w:t>
              </w:r>
              <w:r>
                <w:rPr>
                  <w:iCs/>
                </w:rPr>
                <w:t xml:space="preserve"> aan de ACM kan worden verstrekt, zonder dat duidelijk is dat de ACM met betrekking tot diezelfde richtlijnen en verordeningen een toezichthoudende taak vervult</w:t>
              </w:r>
              <w:r>
                <w:rPr>
                  <w:iCs/>
                </w:rPr>
                <w:t xml:space="preserve">. Zo wordt bijvoorbeeld vermeld dat, om het toezicht goed vorm te kunnen geven, het nodig is ‘dat de AFM gegevens die zij verkrijgt in het kader van haar toezicht op grond van de </w:t>
              </w:r>
              <w:proofErr w:type="spellStart"/>
              <w:r>
                <w:rPr>
                  <w:iCs/>
                </w:rPr>
                <w:t>Wft</w:t>
              </w:r>
              <w:proofErr w:type="spellEnd"/>
              <w:r>
                <w:rPr>
                  <w:iCs/>
                </w:rPr>
                <w:t xml:space="preserve"> en die relevant zijn voor het toezicht van de ACM op grond van de </w:t>
              </w:r>
              <w:proofErr w:type="spellStart"/>
              <w:r>
                <w:rPr>
                  <w:iCs/>
                </w:rPr>
                <w:t>Whc</w:t>
              </w:r>
              <w:proofErr w:type="spellEnd"/>
              <w:r>
                <w:rPr>
                  <w:rStyle w:val="Voetnootmarkering"/>
                  <w:iCs/>
                </w:rPr>
                <w:footnoteReference w:id="21"/>
              </w:r>
              <w:r>
                <w:rPr>
                  <w:iCs/>
                </w:rPr>
                <w:t xml:space="preserve"> aa</w:t>
              </w:r>
              <w:r>
                <w:rPr>
                  <w:iCs/>
                </w:rPr>
                <w:t>n de ACM kan verstrekken’.</w:t>
              </w:r>
              <w:r>
                <w:rPr>
                  <w:rStyle w:val="Voetnootmarkering"/>
                  <w:iCs/>
                </w:rPr>
                <w:footnoteReference w:id="22"/>
              </w:r>
              <w:r>
                <w:rPr>
                  <w:iCs/>
                </w:rPr>
                <w:t xml:space="preserve"> Verder wordt niet toegelicht welke gegevens op grond van richtlijnen wel, en welke gegevens niet met de ACM gedeeld kunnen worden. </w:t>
              </w:r>
            </w:p>
            <w:p w:rsidR="00076682" w:rsidP="009C64E0" w:rsidRDefault="00B60E82">
              <w:pPr>
                <w:rPr>
                  <w:iCs/>
                </w:rPr>
              </w:pPr>
            </w:p>
            <w:p w:rsidR="00F02877" w:rsidP="009C64E0" w:rsidRDefault="00B60E82">
              <w:pPr>
                <w:rPr>
                  <w:iCs/>
                </w:rPr>
              </w:pPr>
              <w:r>
                <w:rPr>
                  <w:iCs/>
                </w:rPr>
                <w:t>De Afdeling constateert dat aldus onvoldoende duidelijk en kenbaar is welke informatiedeling do</w:t>
              </w:r>
              <w:r>
                <w:rPr>
                  <w:iCs/>
                </w:rPr>
                <w:t>or de wetgever wordt beoogd, terwijl kenbaarheid wel noodzakelijk is nu het hier implementatiewetgeving betreft.</w:t>
              </w:r>
              <w:r>
                <w:rPr>
                  <w:rStyle w:val="Voetnootmarkering"/>
                  <w:iCs/>
                </w:rPr>
                <w:footnoteReference w:id="23"/>
              </w:r>
            </w:p>
            <w:p w:rsidR="009C64E0" w:rsidP="009C64E0" w:rsidRDefault="00B60E82">
              <w:pPr>
                <w:rPr>
                  <w:iCs/>
                </w:rPr>
              </w:pPr>
            </w:p>
            <w:p w:rsidR="009C64E0" w:rsidP="009C64E0" w:rsidRDefault="00B60E82">
              <w:pPr>
                <w:rPr>
                  <w:iCs/>
                </w:rPr>
              </w:pPr>
              <w:r>
                <w:rPr>
                  <w:iCs/>
                </w:rPr>
                <w:t>De Afdeling adviseert de toelichting aan te passen aan de tekst van het voorstel en daarbij nader in te gaan op de Europeesrechtelijke geheim</w:t>
              </w:r>
              <w:r>
                <w:rPr>
                  <w:iCs/>
                </w:rPr>
                <w:t>houdingsverplichtingen die van toepassing zijn op de informatie die de AFM beschikbaar heeft, en welke informatie daarvan op grond van (bijzondere) Europese regelgeving gedeeld mag worden met de ACM.</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B60E82">
              <w:r>
                <w:t>3.</w:t>
              </w:r>
              <w:r>
                <w:tab/>
              </w:r>
              <w:r w:rsidRPr="005F7A2B">
                <w:t xml:space="preserve">De Afdeling verwijst naar de bij dit advies </w:t>
              </w:r>
              <w:r w:rsidRPr="005F7A2B">
                <w:t>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F5460" w:rsidRDefault="00B60E82">
              <w:r>
                <w:t>De Afdeling advisering van de Raad van State geeft U in overweging het voorstel van wet te zenden aan de Tweede Kamer der Staten-Generaal, nadat met het vorenstaande rekening zal zijn gehouden.</w:t>
              </w:r>
              <w:r>
                <w:br/>
              </w:r>
              <w:r>
                <w:br/>
              </w:r>
              <w:r>
                <w:br/>
              </w:r>
              <w:r>
                <w:t>De vice-president van de Raad van State,</w:t>
              </w:r>
            </w:p>
          </w:sdtContent>
        </w:sdt>
        <w:p w:rsidRPr="00831363" w:rsidR="0037367E" w:rsidRDefault="0037367E">
          <w:pPr>
            <w:sectPr w:rsidRPr="00831363" w:rsidR="0037367E" w:rsidSect="00636D17">
              <w:headerReference w:type="even" r:id="rId12"/>
              <w:headerReference w:type="default" r:id="rId13"/>
              <w:footerReference w:type="first" r:id="rId14"/>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W06.17.0083</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Pr="00E865F8" w:rsidR="00E70C71" w:rsidP="00E865F8" w:rsidRDefault="00B60E82">
              <w:pPr>
                <w:numPr>
                  <w:ilvl w:val="0"/>
                  <w:numId w:val="1"/>
                </w:numPr>
                <w:rPr>
                  <w:iCs/>
                </w:rPr>
              </w:pPr>
              <w:r>
                <w:rPr>
                  <w:iCs/>
                </w:rPr>
                <w:t>H</w:t>
              </w:r>
              <w:r w:rsidRPr="006A5CB4">
                <w:rPr>
                  <w:iCs/>
                </w:rPr>
                <w:t>et advies van de Autoriteit</w:t>
              </w:r>
              <w:r w:rsidRPr="006A5CB4">
                <w:rPr>
                  <w:iCs/>
                </w:rPr>
                <w:t xml:space="preserve"> Persoonsgegevens over het wetsvoorstel, uitgebracht op 8 maart 2017, kenmerknummer z2017-00878, vermelden in de Memorie van toelichting</w:t>
              </w:r>
              <w:r>
                <w:rPr>
                  <w:iCs/>
                </w:rPr>
                <w:t xml:space="preserve"> (zie ook aanwijzing 213 van de Aanwijzingen voor de regelgeving).</w:t>
              </w:r>
            </w:p>
          </w:sdtContent>
        </w:sdt>
        <w:p w:rsidR="00C50D4F" w:rsidP="005841EA" w:rsidRDefault="00B60E82">
          <w:pPr>
            <w:ind w:left="737"/>
          </w:pPr>
        </w:p>
      </w:sdtContent>
    </w:sdt>
    <w:sectPr w:rsidR="00C50D4F" w:rsidSect="00636D17">
      <w:headerReference w:type="default" r:id="rId15"/>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57C" w:rsidRDefault="00B60E82" w:rsidP="001410FD">
      <w:r>
        <w:separator/>
      </w:r>
    </w:p>
  </w:endnote>
  <w:endnote w:type="continuationSeparator" w:id="0">
    <w:p w:rsidR="0057257C" w:rsidRDefault="00B60E82"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39D17BBB" wp14:editId="3484960B">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57C" w:rsidRDefault="00B60E82" w:rsidP="001410FD">
      <w:r>
        <w:separator/>
      </w:r>
    </w:p>
  </w:footnote>
  <w:footnote w:type="continuationSeparator" w:id="0">
    <w:p w:rsidR="0057257C" w:rsidRDefault="00B60E82" w:rsidP="001410FD">
      <w:r>
        <w:continuationSeparator/>
      </w:r>
    </w:p>
  </w:footnote>
  <w:footnote w:id="1">
    <w:p w:rsidR="009C64E0" w:rsidRDefault="00B60E82" w:rsidP="00E12E07">
      <w:pPr>
        <w:pStyle w:val="Voetnoottekst"/>
        <w:ind w:left="227" w:hanging="227"/>
      </w:pPr>
      <w:r>
        <w:rPr>
          <w:rStyle w:val="Voetnootmarkering"/>
        </w:rPr>
        <w:footnoteRef/>
      </w:r>
      <w:r>
        <w:t xml:space="preserve"> </w:t>
      </w:r>
      <w:r>
        <w:tab/>
      </w:r>
      <w:r>
        <w:t xml:space="preserve">Zie artikelen 92 en verder van </w:t>
      </w:r>
      <w:r w:rsidRPr="00D946D5">
        <w:t xml:space="preserve">Richtlijn nr. 2013/36/EU van het Europees Parlement en de Raad van 26 juni 2013 betreffende toegang tot het bedrijf van kredietinstellingen en het </w:t>
      </w:r>
      <w:proofErr w:type="spellStart"/>
      <w:r w:rsidRPr="00D946D5">
        <w:t>prudentieel</w:t>
      </w:r>
      <w:proofErr w:type="spellEnd"/>
      <w:r w:rsidRPr="00D946D5">
        <w:t xml:space="preserve"> toezicht op kredietinstellingen en beleggingsondernemingen, tot wi</w:t>
      </w:r>
      <w:r w:rsidRPr="00D946D5">
        <w:t>jziging van Richtlijn 2002/87/EG en tot intrekking van de Richtlijnen 2006/48/EG en 2006/49/EG (</w:t>
      </w:r>
      <w:proofErr w:type="spellStart"/>
      <w:r w:rsidRPr="00D946D5">
        <w:t>PbEU</w:t>
      </w:r>
      <w:proofErr w:type="spellEnd"/>
      <w:r w:rsidRPr="00D946D5">
        <w:t xml:space="preserve"> 2013, L 176).</w:t>
      </w:r>
    </w:p>
  </w:footnote>
  <w:footnote w:id="2">
    <w:p w:rsidR="009C64E0" w:rsidRDefault="00B60E82" w:rsidP="004165F0">
      <w:pPr>
        <w:pStyle w:val="Voetnoottekst"/>
        <w:ind w:left="227" w:hanging="227"/>
      </w:pPr>
      <w:r>
        <w:rPr>
          <w:rStyle w:val="Voetnootmarkering"/>
        </w:rPr>
        <w:footnoteRef/>
      </w:r>
      <w:r>
        <w:t xml:space="preserve"> </w:t>
      </w:r>
      <w:r>
        <w:tab/>
      </w:r>
      <w:r>
        <w:t>Zie artikel 74 en 75 van CRD IV en artikel 16, eerste lid van Verordening (EU) Nr. 1093/2010 van het Europees Parlement en de Raad van 24 november 2010 tot oprichting van een Europese toezichthoudende autoriteit (Europese Bankautoriteit), tot wijziging van</w:t>
      </w:r>
      <w:r>
        <w:t xml:space="preserve"> Besluit nr. 716/2009/EG en tot intrekking van Besluit 2009/78/EG van de Commissie. </w:t>
      </w:r>
    </w:p>
  </w:footnote>
  <w:footnote w:id="3">
    <w:p w:rsidR="00C54D2B" w:rsidRDefault="00B60E82" w:rsidP="004165F0">
      <w:pPr>
        <w:pStyle w:val="Voetnoottekst"/>
        <w:tabs>
          <w:tab w:val="clear" w:pos="227"/>
        </w:tabs>
        <w:ind w:left="227" w:hanging="227"/>
      </w:pPr>
      <w:r>
        <w:rPr>
          <w:rStyle w:val="Voetnootmarkering"/>
        </w:rPr>
        <w:footnoteRef/>
      </w:r>
      <w:r>
        <w:t xml:space="preserve"> </w:t>
      </w:r>
      <w:r>
        <w:tab/>
        <w:t xml:space="preserve">Artikel 16, derde lid, van </w:t>
      </w:r>
      <w:r w:rsidRPr="00512A21">
        <w:rPr>
          <w:bCs/>
          <w:sz w:val="20"/>
        </w:rPr>
        <w:t>V</w:t>
      </w:r>
      <w:r w:rsidRPr="00512A21">
        <w:rPr>
          <w:bCs/>
        </w:rPr>
        <w:t>erordening</w:t>
      </w:r>
      <w:r w:rsidRPr="00512A21">
        <w:rPr>
          <w:bCs/>
          <w:sz w:val="20"/>
        </w:rPr>
        <w:t xml:space="preserve"> (EU) </w:t>
      </w:r>
      <w:r>
        <w:rPr>
          <w:bCs/>
          <w:sz w:val="20"/>
        </w:rPr>
        <w:t xml:space="preserve">Nr. </w:t>
      </w:r>
      <w:r w:rsidRPr="00512A21">
        <w:rPr>
          <w:bCs/>
          <w:sz w:val="20"/>
        </w:rPr>
        <w:t xml:space="preserve">1093/2010 </w:t>
      </w:r>
      <w:r w:rsidRPr="00512A21">
        <w:t xml:space="preserve">van het Europees Parlement en de Raad </w:t>
      </w:r>
      <w:r w:rsidRPr="00512A21">
        <w:rPr>
          <w:bCs/>
          <w:sz w:val="20"/>
        </w:rPr>
        <w:t xml:space="preserve">van 24 november 2010 </w:t>
      </w:r>
      <w:r w:rsidRPr="00512A21">
        <w:rPr>
          <w:bCs/>
        </w:rPr>
        <w:t>tot oprichting van een Europese toezichthoudende au</w:t>
      </w:r>
      <w:r w:rsidRPr="00512A21">
        <w:rPr>
          <w:bCs/>
        </w:rPr>
        <w:t>toriteit (Europese Bankautoriteit), tot wijziging van Besluit nr. 716/2009/EG en tot intrekking van Bes</w:t>
      </w:r>
      <w:r>
        <w:rPr>
          <w:bCs/>
        </w:rPr>
        <w:t>luit 2009/78/EG van de Commissie, en artikel 6, onderdeel c</w:t>
      </w:r>
      <w:r>
        <w:rPr>
          <w:bCs/>
        </w:rPr>
        <w:t>,</w:t>
      </w:r>
      <w:r>
        <w:rPr>
          <w:bCs/>
        </w:rPr>
        <w:t xml:space="preserve"> van CRD IV.</w:t>
      </w:r>
    </w:p>
  </w:footnote>
  <w:footnote w:id="4">
    <w:p w:rsidR="009C64E0" w:rsidRDefault="00B60E82" w:rsidP="00E12E07">
      <w:pPr>
        <w:pStyle w:val="Voetnoottekst"/>
        <w:ind w:left="227" w:hanging="227"/>
      </w:pPr>
      <w:r>
        <w:rPr>
          <w:rStyle w:val="Voetnootmarkering"/>
        </w:rPr>
        <w:footnoteRef/>
      </w:r>
      <w:r>
        <w:t xml:space="preserve"> </w:t>
      </w:r>
      <w:r>
        <w:tab/>
        <w:t>Zie Kamerstukken II 2013/14 33 964, en Kamerstukken II 2013/14, 33</w:t>
      </w:r>
      <w:r>
        <w:t xml:space="preserve"> </w:t>
      </w:r>
      <w:r>
        <w:t>849.</w:t>
      </w:r>
    </w:p>
  </w:footnote>
  <w:footnote w:id="5">
    <w:p w:rsidR="009C64E0" w:rsidRDefault="00B60E82" w:rsidP="00E12E07">
      <w:pPr>
        <w:pStyle w:val="Voetnoottekst"/>
        <w:ind w:left="227" w:hanging="227"/>
      </w:pPr>
      <w:r>
        <w:rPr>
          <w:rStyle w:val="Voetnootmarkering"/>
        </w:rPr>
        <w:footnoteRef/>
      </w:r>
      <w:r>
        <w:t xml:space="preserve"> </w:t>
      </w:r>
      <w:r>
        <w:tab/>
        <w:t>De</w:t>
      </w:r>
      <w:r>
        <w:t xml:space="preserve">ze </w:t>
      </w:r>
      <w:proofErr w:type="gramStart"/>
      <w:r>
        <w:t>algehele</w:t>
      </w:r>
      <w:proofErr w:type="gramEnd"/>
      <w:r>
        <w:t xml:space="preserve"> uitzondering is opgenomen in artikel 1:121, zevende lid, </w:t>
      </w:r>
      <w:proofErr w:type="spellStart"/>
      <w:r>
        <w:t>Wft</w:t>
      </w:r>
      <w:proofErr w:type="spellEnd"/>
      <w:r>
        <w:t>.</w:t>
      </w:r>
    </w:p>
  </w:footnote>
  <w:footnote w:id="6">
    <w:p w:rsidR="009C64E0" w:rsidRDefault="00B60E82" w:rsidP="00E12E07">
      <w:pPr>
        <w:pStyle w:val="Voetnoottekst"/>
        <w:ind w:left="227" w:hanging="227"/>
      </w:pPr>
      <w:r>
        <w:rPr>
          <w:rStyle w:val="Voetnootmarkering"/>
        </w:rPr>
        <w:footnoteRef/>
      </w:r>
      <w:r>
        <w:t xml:space="preserve"> </w:t>
      </w:r>
      <w:r>
        <w:tab/>
      </w:r>
      <w:r w:rsidRPr="0075794B">
        <w:t xml:space="preserve">Richtsnoeren betreffende een beheerst beloningsbeleid </w:t>
      </w:r>
      <w:proofErr w:type="gramStart"/>
      <w:r w:rsidRPr="0075794B">
        <w:t>overeenkomstig</w:t>
      </w:r>
      <w:proofErr w:type="gramEnd"/>
      <w:r w:rsidRPr="0075794B">
        <w:t xml:space="preserve"> artikel 74, </w:t>
      </w:r>
      <w:r>
        <w:t xml:space="preserve">derde </w:t>
      </w:r>
      <w:r w:rsidRPr="0075794B">
        <w:t xml:space="preserve">lid, en artikel 75, </w:t>
      </w:r>
      <w:r>
        <w:t xml:space="preserve">tweede </w:t>
      </w:r>
      <w:r w:rsidRPr="0075794B">
        <w:t>lid, van Richtlijn 2013/36/EU en openbaarmaking overeenkomstig ar</w:t>
      </w:r>
      <w:r w:rsidRPr="0075794B">
        <w:t xml:space="preserve">tikel 450 van Verordening (EU) nr. 575/2013, vindplaats </w:t>
      </w:r>
      <w:r>
        <w:t>h</w:t>
      </w:r>
      <w:r w:rsidRPr="0075794B">
        <w:t>ttps://www.eba.europa.eu/documents/10180/1504751/EBA-GL-2015-22+GLs+on+Sound+Remuneration+Policies_NL.pdf/12180cd8-1f7a-4d94-b478-05d6e4e55c85.</w:t>
      </w:r>
    </w:p>
  </w:footnote>
  <w:footnote w:id="7">
    <w:p w:rsidR="009C64E0" w:rsidRDefault="00B60E82" w:rsidP="00E12E07">
      <w:pPr>
        <w:pStyle w:val="Voetnoottekst"/>
        <w:ind w:left="227" w:hanging="227"/>
      </w:pPr>
      <w:r>
        <w:rPr>
          <w:rStyle w:val="Voetnootmarkering"/>
        </w:rPr>
        <w:footnoteRef/>
      </w:r>
      <w:r>
        <w:t xml:space="preserve"> </w:t>
      </w:r>
      <w:r>
        <w:tab/>
        <w:t xml:space="preserve">Met deze richtsnoeren wordt een Europees </w:t>
      </w:r>
      <w:proofErr w:type="gramStart"/>
      <w:r>
        <w:t>level</w:t>
      </w:r>
      <w:proofErr w:type="gramEnd"/>
      <w:r>
        <w:t xml:space="preserve"> </w:t>
      </w:r>
      <w:proofErr w:type="spellStart"/>
      <w:r>
        <w:t>playing</w:t>
      </w:r>
      <w:proofErr w:type="spellEnd"/>
      <w:r>
        <w:t xml:space="preserve"> field gecreëerd, en ontstaat bij de uitvoering van CRD IV geen onzekerheid (zie ook Memorie van toelichting, artikelsgewijze toelichting op artikel I, onderdeel G.</w:t>
      </w:r>
    </w:p>
  </w:footnote>
  <w:footnote w:id="8">
    <w:p w:rsidR="009C64E0" w:rsidRDefault="00B60E82" w:rsidP="00E12E07">
      <w:pPr>
        <w:pStyle w:val="Voetnoottekst"/>
        <w:ind w:left="227" w:hanging="227"/>
      </w:pPr>
      <w:r>
        <w:rPr>
          <w:rStyle w:val="Voetnootmarkering"/>
        </w:rPr>
        <w:footnoteRef/>
      </w:r>
      <w:r>
        <w:t xml:space="preserve"> </w:t>
      </w:r>
      <w:r>
        <w:tab/>
        <w:t>Zie Memorie van toelichting, paragraaf 9, onder b.</w:t>
      </w:r>
    </w:p>
  </w:footnote>
  <w:footnote w:id="9">
    <w:p w:rsidR="009C64E0" w:rsidRDefault="00B60E82" w:rsidP="00E12E07">
      <w:pPr>
        <w:pStyle w:val="Voetnoottekst"/>
        <w:ind w:left="227" w:hanging="227"/>
      </w:pPr>
      <w:r>
        <w:rPr>
          <w:rStyle w:val="Voetnootmarkering"/>
        </w:rPr>
        <w:footnoteRef/>
      </w:r>
      <w:r>
        <w:t xml:space="preserve"> </w:t>
      </w:r>
      <w:r>
        <w:tab/>
        <w:t>Zie paragraaf 18 en o.m. 46</w:t>
      </w:r>
      <w:r>
        <w:t xml:space="preserve"> van de richtsnoeren. Indien de regels van CRD IV strijdig zijn met de sectorspecifieke regelgeving gaat die sectorspecifieke regelgeving voor (overweging 68 van de richtsnoeren).</w:t>
      </w:r>
    </w:p>
  </w:footnote>
  <w:footnote w:id="10">
    <w:p w:rsidR="003B7948" w:rsidRDefault="00B60E82" w:rsidP="003463E9">
      <w:pPr>
        <w:pStyle w:val="Voetnoottekst"/>
        <w:tabs>
          <w:tab w:val="clear" w:pos="227"/>
        </w:tabs>
        <w:ind w:left="227" w:hanging="227"/>
      </w:pPr>
      <w:r>
        <w:rPr>
          <w:rStyle w:val="Voetnootmarkering"/>
        </w:rPr>
        <w:footnoteRef/>
      </w:r>
      <w:r>
        <w:t xml:space="preserve"> </w:t>
      </w:r>
      <w:r>
        <w:tab/>
      </w:r>
      <w:r>
        <w:t>B</w:t>
      </w:r>
      <w:r w:rsidRPr="003B7948">
        <w:t>eheerders van beleggingsinstellingen, instellingen voor collectieve bele</w:t>
      </w:r>
      <w:r w:rsidRPr="003B7948">
        <w:t>gging in effecten en beleggingsondernemingen die uitsluitend voor eigen rekening handelen met eigen middelen en kapitaal, geen externe cliënten hebben en plaatselijke onderneming zijn</w:t>
      </w:r>
    </w:p>
  </w:footnote>
  <w:footnote w:id="11">
    <w:p w:rsidR="009C64E0" w:rsidRDefault="00B60E82" w:rsidP="00E12E07">
      <w:pPr>
        <w:pStyle w:val="Voetnoottekst"/>
        <w:ind w:left="227" w:hanging="227"/>
      </w:pPr>
      <w:r>
        <w:rPr>
          <w:rStyle w:val="Voetnootmarkering"/>
        </w:rPr>
        <w:footnoteRef/>
      </w:r>
      <w:r>
        <w:t xml:space="preserve"> </w:t>
      </w:r>
      <w:r>
        <w:tab/>
        <w:t>Artikel 1:121, achtste lid (nieuw)</w:t>
      </w:r>
      <w:r>
        <w:t>,</w:t>
      </w:r>
      <w:r>
        <w:t xml:space="preserve"> </w:t>
      </w:r>
      <w:proofErr w:type="spellStart"/>
      <w:r>
        <w:t>Wft</w:t>
      </w:r>
      <w:proofErr w:type="spellEnd"/>
      <w:r>
        <w:t>.</w:t>
      </w:r>
    </w:p>
  </w:footnote>
  <w:footnote w:id="12">
    <w:p w:rsidR="009C64E0" w:rsidRDefault="00B60E82" w:rsidP="00E12E07">
      <w:pPr>
        <w:pStyle w:val="Voetnoottekst"/>
        <w:ind w:left="227" w:hanging="227"/>
      </w:pPr>
      <w:r>
        <w:rPr>
          <w:rStyle w:val="Voetnootmarkering"/>
        </w:rPr>
        <w:footnoteRef/>
      </w:r>
      <w:r>
        <w:t xml:space="preserve"> </w:t>
      </w:r>
      <w:r>
        <w:tab/>
        <w:t xml:space="preserve">Kamerstukken II 2013/14, </w:t>
      </w:r>
      <w:r>
        <w:t>33 963.</w:t>
      </w:r>
    </w:p>
  </w:footnote>
  <w:footnote w:id="13">
    <w:p w:rsidR="009C64E0" w:rsidRDefault="00B60E82" w:rsidP="00E12E07">
      <w:pPr>
        <w:pStyle w:val="Voetnoottekst"/>
        <w:ind w:left="227" w:hanging="227"/>
      </w:pPr>
      <w:r>
        <w:rPr>
          <w:rStyle w:val="Voetnootmarkering"/>
        </w:rPr>
        <w:footnoteRef/>
      </w:r>
      <w:r>
        <w:t xml:space="preserve"> </w:t>
      </w:r>
      <w:r>
        <w:tab/>
        <w:t>Artikelsgewijze toelichting op artikel I, onderdeel H.</w:t>
      </w:r>
    </w:p>
  </w:footnote>
  <w:footnote w:id="14">
    <w:p w:rsidR="004320EB" w:rsidRDefault="00B60E82" w:rsidP="004320EB">
      <w:pPr>
        <w:pStyle w:val="Voetnoottekst"/>
      </w:pPr>
      <w:r>
        <w:rPr>
          <w:rStyle w:val="Voetnootmarkering"/>
        </w:rPr>
        <w:footnoteRef/>
      </w:r>
      <w:r>
        <w:t xml:space="preserve"> </w:t>
      </w:r>
      <w:r>
        <w:tab/>
        <w:t>Ten opzichte van de ondernemingen die een bonusplafond hebben van 20</w:t>
      </w:r>
      <w:r>
        <w:t>%</w:t>
      </w:r>
      <w:r>
        <w:t xml:space="preserve"> wordt de </w:t>
      </w:r>
      <w:r>
        <w:tab/>
        <w:t xml:space="preserve">uitzonderingspositie voor genoemde drie typen ondernemingen dus gehandhaafd, </w:t>
      </w:r>
      <w:r>
        <w:tab/>
        <w:t xml:space="preserve">waarbij geen </w:t>
      </w:r>
      <w:r>
        <w:tab/>
        <w:t>maximum bonus p</w:t>
      </w:r>
      <w:r>
        <w:t xml:space="preserve">ercentage van toepassing is, behoudens het geval van consolidatie, in welke </w:t>
      </w:r>
      <w:r>
        <w:tab/>
        <w:t>situatie een maximum percentage van 100</w:t>
      </w:r>
      <w:r>
        <w:t>%</w:t>
      </w:r>
      <w:r>
        <w:t xml:space="preserve"> van toepassing is.</w:t>
      </w:r>
    </w:p>
  </w:footnote>
  <w:footnote w:id="15">
    <w:p w:rsidR="00155566" w:rsidRDefault="00B60E82" w:rsidP="00155566">
      <w:pPr>
        <w:pStyle w:val="Voetnoottekst"/>
      </w:pPr>
      <w:r>
        <w:rPr>
          <w:rStyle w:val="Voetnootmarkering"/>
        </w:rPr>
        <w:footnoteRef/>
      </w:r>
      <w:r>
        <w:t xml:space="preserve"> </w:t>
      </w:r>
      <w:r>
        <w:tab/>
        <w:t xml:space="preserve">Als bedoeld in artikel 1 van het Eerste Protocol bij het EVRM en artikel 17 van het Handvest van </w:t>
      </w:r>
      <w:r>
        <w:tab/>
        <w:t>de grondrechten va</w:t>
      </w:r>
      <w:r>
        <w:t>n de Europese Unie.</w:t>
      </w:r>
    </w:p>
  </w:footnote>
  <w:footnote w:id="16">
    <w:p w:rsidR="008D1552" w:rsidRDefault="00B60E82">
      <w:pPr>
        <w:pStyle w:val="Voetnoottekst"/>
      </w:pPr>
      <w:r>
        <w:rPr>
          <w:rStyle w:val="Voetnootmarkering"/>
        </w:rPr>
        <w:footnoteRef/>
      </w:r>
      <w:r>
        <w:t xml:space="preserve"> </w:t>
      </w:r>
      <w:r>
        <w:tab/>
        <w:t>Zie voetnoot 3.</w:t>
      </w:r>
    </w:p>
  </w:footnote>
  <w:footnote w:id="17">
    <w:p w:rsidR="009C64E0" w:rsidRDefault="00B60E82" w:rsidP="00E12E07">
      <w:pPr>
        <w:pStyle w:val="Voetnoottekst"/>
        <w:ind w:left="227" w:hanging="227"/>
      </w:pPr>
      <w:r>
        <w:rPr>
          <w:rStyle w:val="Voetnootmarkering"/>
        </w:rPr>
        <w:footnoteRef/>
      </w:r>
      <w:r>
        <w:t xml:space="preserve"> </w:t>
      </w:r>
      <w:r>
        <w:tab/>
        <w:t>Memorie van toelichting, paragraaf 3, en artikelsgewijze toelichting op artikel I, onderdeel C.</w:t>
      </w:r>
    </w:p>
  </w:footnote>
  <w:footnote w:id="18">
    <w:p w:rsidR="009C64E0" w:rsidRDefault="00B60E82" w:rsidP="00E12E07">
      <w:pPr>
        <w:pStyle w:val="Voetnoottekst"/>
        <w:ind w:left="227" w:hanging="227"/>
      </w:pPr>
      <w:r>
        <w:rPr>
          <w:rStyle w:val="Voetnootmarkering"/>
        </w:rPr>
        <w:footnoteRef/>
      </w:r>
      <w:r>
        <w:t xml:space="preserve"> </w:t>
      </w:r>
      <w:r>
        <w:tab/>
        <w:t xml:space="preserve">Zoals artikelen 53 e.v. van de CRD IV, artikelen 64 e.v. van de </w:t>
      </w:r>
      <w:r w:rsidRPr="00F8727D">
        <w:rPr>
          <w:bCs/>
        </w:rPr>
        <w:t>Richtlijn 2009/138/EG van het Europees Parlement en</w:t>
      </w:r>
      <w:r w:rsidRPr="00F8727D">
        <w:rPr>
          <w:bCs/>
        </w:rPr>
        <w:t xml:space="preserve"> de Raad van 25 november 2009 betreffende de toegang tot en uitoefening van het verzekerings- en het herverzekeringsbedrijf (Solvabiliteit II</w:t>
      </w:r>
      <w:r>
        <w:rPr>
          <w:b/>
          <w:bCs/>
        </w:rPr>
        <w:t>).</w:t>
      </w:r>
      <w:r>
        <w:t xml:space="preserve"> Vergelijk ook het advies van de Afdeling advisering </w:t>
      </w:r>
      <w:r>
        <w:t xml:space="preserve">van de Raad van State </w:t>
      </w:r>
      <w:r>
        <w:t>van 31 maart 2017</w:t>
      </w:r>
      <w:r>
        <w:t xml:space="preserve"> over </w:t>
      </w:r>
      <w:proofErr w:type="gramStart"/>
      <w:r>
        <w:t>het</w:t>
      </w:r>
      <w:proofErr w:type="gramEnd"/>
      <w:r>
        <w:t xml:space="preserve"> voorste l v</w:t>
      </w:r>
      <w:r>
        <w:t xml:space="preserve">an wet </w:t>
      </w:r>
      <w:r>
        <w:t>tot w</w:t>
      </w:r>
      <w:r w:rsidRPr="00D95102">
        <w:t>ijziging van de Wet op het financieel toezicht, de Wet toezicht accountantsorganisatie, de Pensioenwet en de Wet verplichte beroepspensioenregeling in verband met het vergroten van de transparantie van het toezicht op financiële markten</w:t>
      </w:r>
      <w:r>
        <w:t xml:space="preserve"> (Wet tr</w:t>
      </w:r>
      <w:r>
        <w:t>ansparant toezicht financiële markten)</w:t>
      </w:r>
      <w:r>
        <w:t xml:space="preserve">, nr. </w:t>
      </w:r>
      <w:r w:rsidRPr="00F8727D">
        <w:t>W06.16.0443/III</w:t>
      </w:r>
      <w:r>
        <w:t>.</w:t>
      </w:r>
    </w:p>
  </w:footnote>
  <w:footnote w:id="19">
    <w:p w:rsidR="009C64E0" w:rsidRDefault="00B60E82" w:rsidP="00E12E07">
      <w:pPr>
        <w:pStyle w:val="Voetnoottekst"/>
        <w:ind w:left="227" w:hanging="227"/>
      </w:pPr>
      <w:r>
        <w:rPr>
          <w:rStyle w:val="Voetnootmarkering"/>
        </w:rPr>
        <w:footnoteRef/>
      </w:r>
      <w:r>
        <w:t xml:space="preserve"> </w:t>
      </w:r>
      <w:r>
        <w:tab/>
        <w:t>Artikel 56, eerste lid,</w:t>
      </w:r>
      <w:r>
        <w:t xml:space="preserve"> aanhef</w:t>
      </w:r>
      <w:r>
        <w:t>,</w:t>
      </w:r>
      <w:r>
        <w:t xml:space="preserve"> van CRD IV.</w:t>
      </w:r>
    </w:p>
  </w:footnote>
  <w:footnote w:id="20">
    <w:p w:rsidR="009C64E0" w:rsidRDefault="00B60E82" w:rsidP="00E12E07">
      <w:pPr>
        <w:pStyle w:val="Voetnoottekst"/>
        <w:ind w:left="227" w:hanging="227"/>
      </w:pPr>
      <w:r>
        <w:rPr>
          <w:rStyle w:val="Voetnootmarkering"/>
        </w:rPr>
        <w:footnoteRef/>
      </w:r>
      <w:r>
        <w:t xml:space="preserve"> </w:t>
      </w:r>
      <w:r>
        <w:tab/>
        <w:t xml:space="preserve">Het derde lid van de voorgestelde bepaling1:93c (nieuw) </w:t>
      </w:r>
      <w:proofErr w:type="spellStart"/>
      <w:r>
        <w:t>Wft</w:t>
      </w:r>
      <w:proofErr w:type="spellEnd"/>
      <w:r>
        <w:t>.</w:t>
      </w:r>
    </w:p>
  </w:footnote>
  <w:footnote w:id="21">
    <w:p w:rsidR="00BB0CAE" w:rsidRDefault="00B60E82">
      <w:pPr>
        <w:pStyle w:val="Voetnoottekst"/>
      </w:pPr>
      <w:r>
        <w:rPr>
          <w:rStyle w:val="Voetnootmarkering"/>
        </w:rPr>
        <w:footnoteRef/>
      </w:r>
      <w:r>
        <w:t xml:space="preserve"> </w:t>
      </w:r>
      <w:r>
        <w:tab/>
        <w:t>Wet handhaving consumentenbescherming.</w:t>
      </w:r>
    </w:p>
  </w:footnote>
  <w:footnote w:id="22">
    <w:p w:rsidR="009C64E0" w:rsidRDefault="00B60E82" w:rsidP="00E12E07">
      <w:pPr>
        <w:pStyle w:val="Voetnoottekst"/>
        <w:ind w:left="227" w:hanging="227"/>
      </w:pPr>
      <w:r>
        <w:rPr>
          <w:rStyle w:val="Voetnootmarkering"/>
        </w:rPr>
        <w:footnoteRef/>
      </w:r>
      <w:r>
        <w:t xml:space="preserve"> </w:t>
      </w:r>
      <w:r>
        <w:tab/>
        <w:t>Paragraaf 3, Memorie van toelichting.</w:t>
      </w:r>
    </w:p>
  </w:footnote>
  <w:footnote w:id="23">
    <w:p w:rsidR="009C64E0" w:rsidRDefault="00B60E82" w:rsidP="00E12E07">
      <w:pPr>
        <w:pStyle w:val="Voetnoottekst"/>
        <w:ind w:left="227" w:hanging="227"/>
      </w:pPr>
      <w:r>
        <w:rPr>
          <w:rStyle w:val="Voetnootmarkering"/>
        </w:rPr>
        <w:footnoteRef/>
      </w:r>
      <w:r>
        <w:t xml:space="preserve"> </w:t>
      </w:r>
      <w:r>
        <w:tab/>
        <w:t>Vergelijk ook Aanwijzing 338 van de Aanwijzingen voor de regelgeving.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60E82">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60E82">
      <w:rPr>
        <w:rStyle w:val="Paginanummer"/>
        <w:noProof/>
      </w:rPr>
      <w:t>6</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60E82">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A9B0758"/>
    <w:multiLevelType w:val="hybridMultilevel"/>
    <w:tmpl w:val="8F3A29F0"/>
    <w:lvl w:ilvl="0" w:tplc="C580690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DE131E"/>
    <w:multiLevelType w:val="hybridMultilevel"/>
    <w:tmpl w:val="B8A29080"/>
    <w:lvl w:ilvl="0" w:tplc="23DE5DC0">
      <w:start w:val="1"/>
      <w:numFmt w:val="lowerLetter"/>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40AF301A"/>
    <w:multiLevelType w:val="hybridMultilevel"/>
    <w:tmpl w:val="32DC9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60E82"/>
    <w:rsid w:val="00B82659"/>
    <w:rsid w:val="00B97BA6"/>
    <w:rsid w:val="00BF5460"/>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uiPriority w:val="99"/>
    <w:unhideWhenUsed/>
    <w:rsid w:val="006A5CB4"/>
    <w:rPr>
      <w:vertAlign w:val="superscript"/>
    </w:rPr>
  </w:style>
  <w:style w:type="character" w:styleId="Hyperlink">
    <w:name w:val="Hyperlink"/>
    <w:basedOn w:val="Standaardalinea-lettertype"/>
    <w:uiPriority w:val="99"/>
    <w:unhideWhenUsed/>
    <w:rsid w:val="007B0D2E"/>
    <w:rPr>
      <w:color w:val="0000FF"/>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2D68F6"/>
    <w:rPr>
      <w:sz w:val="16"/>
      <w:szCs w:val="16"/>
    </w:rPr>
  </w:style>
  <w:style w:type="paragraph" w:styleId="Tekstopmerking">
    <w:name w:val="annotation text"/>
    <w:basedOn w:val="Standaard"/>
    <w:link w:val="TekstopmerkingChar"/>
    <w:rsid w:val="002D68F6"/>
    <w:rPr>
      <w:sz w:val="20"/>
      <w:szCs w:val="20"/>
    </w:rPr>
  </w:style>
  <w:style w:type="character" w:customStyle="1" w:styleId="TekstopmerkingChar">
    <w:name w:val="Tekst opmerking Char"/>
    <w:basedOn w:val="Standaardalinea-lettertype"/>
    <w:link w:val="Tekstopmerking"/>
    <w:rsid w:val="002D68F6"/>
    <w:rPr>
      <w:rFonts w:ascii="Univers" w:hAnsi="Univers"/>
    </w:rPr>
  </w:style>
  <w:style w:type="paragraph" w:styleId="Onderwerpvanopmerking">
    <w:name w:val="annotation subject"/>
    <w:basedOn w:val="Tekstopmerking"/>
    <w:next w:val="Tekstopmerking"/>
    <w:link w:val="OnderwerpvanopmerkingChar"/>
    <w:rsid w:val="002D68F6"/>
    <w:rPr>
      <w:b/>
      <w:bCs/>
    </w:rPr>
  </w:style>
  <w:style w:type="character" w:customStyle="1" w:styleId="OnderwerpvanopmerkingChar">
    <w:name w:val="Onderwerp van opmerking Char"/>
    <w:basedOn w:val="TekstopmerkingChar"/>
    <w:link w:val="Onderwerpvanopmerking"/>
    <w:rsid w:val="002D68F6"/>
    <w:rPr>
      <w:rFonts w:ascii="Univers" w:hAnsi="Univers"/>
      <w:b/>
      <w:bCs/>
    </w:rPr>
  </w:style>
  <w:style w:type="paragraph" w:styleId="Lijstalinea">
    <w:name w:val="List Paragraph"/>
    <w:basedOn w:val="Standaard"/>
    <w:uiPriority w:val="34"/>
    <w:qFormat/>
    <w:rsid w:val="00931257"/>
    <w:pPr>
      <w:ind w:left="720"/>
      <w:contextualSpacing/>
    </w:pPr>
  </w:style>
  <w:style w:type="paragraph" w:styleId="Revisie">
    <w:name w:val="Revision"/>
    <w:hidden/>
    <w:uiPriority w:val="99"/>
    <w:semiHidden/>
    <w:rsid w:val="00C27B74"/>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uiPriority w:val="99"/>
    <w:unhideWhenUsed/>
    <w:rsid w:val="006A5CB4"/>
    <w:rPr>
      <w:vertAlign w:val="superscript"/>
    </w:rPr>
  </w:style>
  <w:style w:type="character" w:styleId="Hyperlink">
    <w:name w:val="Hyperlink"/>
    <w:basedOn w:val="Standaardalinea-lettertype"/>
    <w:uiPriority w:val="99"/>
    <w:unhideWhenUsed/>
    <w:rsid w:val="007B0D2E"/>
    <w:rPr>
      <w:color w:val="0000FF"/>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2D68F6"/>
    <w:rPr>
      <w:sz w:val="16"/>
      <w:szCs w:val="16"/>
    </w:rPr>
  </w:style>
  <w:style w:type="paragraph" w:styleId="Tekstopmerking">
    <w:name w:val="annotation text"/>
    <w:basedOn w:val="Standaard"/>
    <w:link w:val="TekstopmerkingChar"/>
    <w:rsid w:val="002D68F6"/>
    <w:rPr>
      <w:sz w:val="20"/>
      <w:szCs w:val="20"/>
    </w:rPr>
  </w:style>
  <w:style w:type="character" w:customStyle="1" w:styleId="TekstopmerkingChar">
    <w:name w:val="Tekst opmerking Char"/>
    <w:basedOn w:val="Standaardalinea-lettertype"/>
    <w:link w:val="Tekstopmerking"/>
    <w:rsid w:val="002D68F6"/>
    <w:rPr>
      <w:rFonts w:ascii="Univers" w:hAnsi="Univers"/>
    </w:rPr>
  </w:style>
  <w:style w:type="paragraph" w:styleId="Onderwerpvanopmerking">
    <w:name w:val="annotation subject"/>
    <w:basedOn w:val="Tekstopmerking"/>
    <w:next w:val="Tekstopmerking"/>
    <w:link w:val="OnderwerpvanopmerkingChar"/>
    <w:rsid w:val="002D68F6"/>
    <w:rPr>
      <w:b/>
      <w:bCs/>
    </w:rPr>
  </w:style>
  <w:style w:type="character" w:customStyle="1" w:styleId="OnderwerpvanopmerkingChar">
    <w:name w:val="Onderwerp van opmerking Char"/>
    <w:basedOn w:val="TekstopmerkingChar"/>
    <w:link w:val="Onderwerpvanopmerking"/>
    <w:rsid w:val="002D68F6"/>
    <w:rPr>
      <w:rFonts w:ascii="Univers" w:hAnsi="Univers"/>
      <w:b/>
      <w:bCs/>
    </w:rPr>
  </w:style>
  <w:style w:type="paragraph" w:styleId="Lijstalinea">
    <w:name w:val="List Paragraph"/>
    <w:basedOn w:val="Standaard"/>
    <w:uiPriority w:val="34"/>
    <w:qFormat/>
    <w:rsid w:val="00931257"/>
    <w:pPr>
      <w:ind w:left="720"/>
      <w:contextualSpacing/>
    </w:pPr>
  </w:style>
  <w:style w:type="paragraph" w:styleId="Revisie">
    <w:name w:val="Revision"/>
    <w:hidden/>
    <w:uiPriority w:val="99"/>
    <w:semiHidden/>
    <w:rsid w:val="00C27B74"/>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1826</ap:Words>
  <ap:Characters>10524</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2017-06-02T12:14:00.0000000Z</lastPrinted>
  <dcterms:created xsi:type="dcterms:W3CDTF">2013-05-08T08:42:00.0000000Z</dcterms:created>
  <dcterms:modified xsi:type="dcterms:W3CDTF">2017-06-02T12:15:00.0000000Z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0x010100D83DA7EADDD41F46BC1A600EBB56FA33</vt:lpwstr>
  </property>
</Properties>
</file>