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pPr>
        <w:rPr>
          <w:rFonts w:asciiTheme="minorHAnsi" w:hAnsiTheme="minorHAnsi"/>
          <w:b/>
          <w:sz w:val="20"/>
          <w:szCs w:val="20"/>
        </w:rPr>
      </w:pPr>
      <w:bookmarkStart w:name="_GoBack" w:id="0"/>
      <w:bookmarkEnd w:id="0"/>
      <w:r w:rsidRPr="00356600">
        <w:rPr>
          <w:rFonts w:asciiTheme="minorHAnsi" w:hAnsiTheme="minorHAnsi"/>
          <w:b/>
          <w:sz w:val="20"/>
          <w:szCs w:val="20"/>
        </w:rPr>
        <w:t xml:space="preserve">Overzicht nieuw gepubliceerde EU-voorstellen </w:t>
      </w:r>
    </w:p>
    <w:p w:rsidRPr="00356600" w:rsidR="009D0028" w:rsidP="009D0028" w:rsidRDefault="009D0028">
      <w:pPr>
        <w:rPr>
          <w:rFonts w:asciiTheme="minorHAnsi" w:hAnsiTheme="minorHAnsi"/>
          <w:sz w:val="20"/>
          <w:szCs w:val="20"/>
        </w:rPr>
      </w:pPr>
    </w:p>
    <w:p w:rsidRPr="00D209CB" w:rsidR="009D0028" w:rsidP="009D0028" w:rsidRDefault="009D0028">
      <w:pPr>
        <w:rPr>
          <w:rFonts w:asciiTheme="minorHAnsi" w:hAnsiTheme="minorHAnsi"/>
          <w:sz w:val="20"/>
          <w:szCs w:val="20"/>
          <w:u w:val="single"/>
        </w:rPr>
      </w:pPr>
      <w:r w:rsidRPr="00D209CB">
        <w:rPr>
          <w:rFonts w:asciiTheme="minorHAnsi" w:hAnsiTheme="minorHAnsi"/>
          <w:sz w:val="20"/>
          <w:szCs w:val="20"/>
          <w:u w:val="single"/>
        </w:rPr>
        <w:t xml:space="preserve">Integraal overzicht met nieuw gepubliceerde EU-voorstellen van </w:t>
      </w:r>
      <w:r w:rsidR="00D209CB">
        <w:rPr>
          <w:rFonts w:asciiTheme="minorHAnsi" w:hAnsiTheme="minorHAnsi"/>
          <w:sz w:val="20"/>
          <w:szCs w:val="20"/>
          <w:u w:val="single"/>
        </w:rPr>
        <w:t>29</w:t>
      </w:r>
      <w:r w:rsidRPr="00D209CB">
        <w:rPr>
          <w:rFonts w:asciiTheme="minorHAnsi" w:hAnsiTheme="minorHAnsi"/>
          <w:sz w:val="20"/>
          <w:szCs w:val="20"/>
          <w:u w:val="single"/>
        </w:rPr>
        <w:t xml:space="preserve"> november tot </w:t>
      </w:r>
      <w:r w:rsidR="00D209CB">
        <w:rPr>
          <w:rFonts w:asciiTheme="minorHAnsi" w:hAnsiTheme="minorHAnsi"/>
          <w:sz w:val="20"/>
          <w:szCs w:val="20"/>
          <w:u w:val="single"/>
        </w:rPr>
        <w:t>13 december</w:t>
      </w:r>
      <w:r w:rsidRPr="00D209CB">
        <w:rPr>
          <w:rFonts w:asciiTheme="minorHAnsi" w:hAnsiTheme="minorHAnsi"/>
          <w:sz w:val="20"/>
          <w:szCs w:val="20"/>
          <w:u w:val="single"/>
        </w:rPr>
        <w:t xml:space="preserve"> 2017 - d.d. </w:t>
      </w:r>
      <w:r w:rsidR="00D209CB">
        <w:rPr>
          <w:rFonts w:asciiTheme="minorHAnsi" w:hAnsiTheme="minorHAnsi"/>
          <w:sz w:val="20"/>
          <w:szCs w:val="20"/>
          <w:u w:val="single"/>
        </w:rPr>
        <w:t>14</w:t>
      </w:r>
      <w:r w:rsidRPr="00D209CB">
        <w:rPr>
          <w:rFonts w:asciiTheme="minorHAnsi" w:hAnsiTheme="minorHAnsi"/>
          <w:sz w:val="20"/>
          <w:szCs w:val="20"/>
          <w:u w:val="single"/>
        </w:rPr>
        <w:t xml:space="preserve"> december 2017</w:t>
      </w:r>
    </w:p>
    <w:p w:rsidRPr="00D209CB" w:rsidR="009D0028" w:rsidP="009D0028" w:rsidRDefault="009D0028">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709"/>
        <w:gridCol w:w="992"/>
        <w:gridCol w:w="3686"/>
      </w:tblGrid>
      <w:tr w:rsidRPr="00D209CB" w:rsidR="009D0028" w:rsidTr="00E82A6D">
        <w:trPr>
          <w:trHeight w:val="1550"/>
        </w:trPr>
        <w:tc>
          <w:tcPr>
            <w:tcW w:w="1149" w:type="dxa"/>
            <w:shd w:val="clear" w:color="auto" w:fill="auto"/>
            <w:textDirection w:val="btLr"/>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Publicatie-</w:t>
            </w:r>
          </w:p>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datum</w:t>
            </w:r>
          </w:p>
        </w:tc>
        <w:tc>
          <w:tcPr>
            <w:tcW w:w="567" w:type="dxa"/>
            <w:shd w:val="clear" w:color="auto" w:fill="auto"/>
            <w:textDirection w:val="btLr"/>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Voortouw</w:t>
            </w:r>
          </w:p>
        </w:tc>
        <w:tc>
          <w:tcPr>
            <w:tcW w:w="1418" w:type="dxa"/>
            <w:shd w:val="clear" w:color="auto" w:fill="auto"/>
            <w:textDirection w:val="btLr"/>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Soort</w:t>
            </w:r>
          </w:p>
        </w:tc>
        <w:tc>
          <w:tcPr>
            <w:tcW w:w="5953" w:type="dxa"/>
            <w:shd w:val="clear" w:color="auto" w:fill="auto"/>
            <w:textDirection w:val="btLr"/>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Titel</w:t>
            </w:r>
          </w:p>
        </w:tc>
        <w:tc>
          <w:tcPr>
            <w:tcW w:w="709" w:type="dxa"/>
            <w:shd w:val="clear" w:color="auto" w:fill="auto"/>
            <w:textDirection w:val="btLr"/>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COM-nummer</w:t>
            </w:r>
          </w:p>
        </w:tc>
        <w:tc>
          <w:tcPr>
            <w:tcW w:w="992" w:type="dxa"/>
            <w:textDirection w:val="btLr"/>
          </w:tcPr>
          <w:p w:rsidRPr="00D209CB" w:rsidR="009D0028" w:rsidP="00E82A6D" w:rsidRDefault="009D0028">
            <w:pPr>
              <w:rPr>
                <w:rFonts w:asciiTheme="minorHAnsi" w:hAnsiTheme="minorHAnsi"/>
                <w:b/>
                <w:bCs/>
                <w:color w:val="000000"/>
                <w:sz w:val="20"/>
                <w:szCs w:val="20"/>
              </w:rPr>
            </w:pPr>
          </w:p>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Deadline</w:t>
            </w:r>
          </w:p>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Sub.toets</w:t>
            </w:r>
          </w:p>
        </w:tc>
        <w:tc>
          <w:tcPr>
            <w:tcW w:w="3686" w:type="dxa"/>
            <w:shd w:val="clear" w:color="auto" w:fill="auto"/>
            <w:textDirection w:val="btLr"/>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Opmerking</w:t>
            </w:r>
          </w:p>
        </w:tc>
      </w:tr>
      <w:tr w:rsidRPr="00D209CB" w:rsidR="009D0028" w:rsidTr="00E82A6D">
        <w:trPr>
          <w:trHeight w:val="300"/>
        </w:trPr>
        <w:tc>
          <w:tcPr>
            <w:tcW w:w="1149" w:type="dxa"/>
            <w:tcBorders>
              <w:bottom w:val="single" w:color="auto" w:sz="4" w:space="0"/>
            </w:tcBorders>
            <w:shd w:val="clear" w:color="000000" w:fill="538DD5"/>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 </w:t>
            </w:r>
          </w:p>
        </w:tc>
        <w:tc>
          <w:tcPr>
            <w:tcW w:w="709" w:type="dxa"/>
            <w:tcBorders>
              <w:bottom w:val="single" w:color="auto" w:sz="4" w:space="0"/>
            </w:tcBorders>
            <w:shd w:val="clear" w:color="000000" w:fill="538DD5"/>
            <w:vAlign w:val="bottom"/>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 </w:t>
            </w:r>
          </w:p>
        </w:tc>
        <w:tc>
          <w:tcPr>
            <w:tcW w:w="992" w:type="dxa"/>
            <w:tcBorders>
              <w:bottom w:val="single" w:color="auto" w:sz="4" w:space="0"/>
            </w:tcBorders>
            <w:shd w:val="clear" w:color="000000" w:fill="538DD5"/>
          </w:tcPr>
          <w:p w:rsidRPr="00D209CB" w:rsidR="009D0028" w:rsidP="00E82A6D" w:rsidRDefault="009D0028">
            <w:pPr>
              <w:rPr>
                <w:rFonts w:asciiTheme="minorHAnsi" w:hAnsiTheme="minorHAnsi"/>
                <w:b/>
                <w:bCs/>
                <w:color w:val="000000"/>
                <w:sz w:val="20"/>
                <w:szCs w:val="20"/>
              </w:rPr>
            </w:pPr>
          </w:p>
        </w:tc>
        <w:tc>
          <w:tcPr>
            <w:tcW w:w="3686" w:type="dxa"/>
            <w:tcBorders>
              <w:bottom w:val="single" w:color="auto" w:sz="4" w:space="0"/>
            </w:tcBorders>
            <w:shd w:val="clear" w:color="000000" w:fill="538DD5"/>
            <w:hideMark/>
          </w:tcPr>
          <w:p w:rsidRPr="00D209CB" w:rsidR="009D0028" w:rsidP="00E82A6D" w:rsidRDefault="009D0028">
            <w:pPr>
              <w:rPr>
                <w:rFonts w:asciiTheme="minorHAnsi" w:hAnsiTheme="minorHAnsi"/>
                <w:b/>
                <w:bCs/>
                <w:color w:val="000000"/>
                <w:sz w:val="20"/>
                <w:szCs w:val="20"/>
              </w:rPr>
            </w:pPr>
            <w:r w:rsidRPr="00D209CB">
              <w:rPr>
                <w:rFonts w:asciiTheme="minorHAnsi" w:hAnsiTheme="minorHAnsi"/>
                <w:b/>
                <w:bCs/>
                <w:color w:val="000000"/>
                <w:sz w:val="20"/>
                <w:szCs w:val="20"/>
              </w:rPr>
              <w:t> </w:t>
            </w:r>
          </w:p>
        </w:tc>
      </w:tr>
      <w:tr w:rsidRPr="00D209CB" w:rsidR="009D0028" w:rsidTr="00E82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D209CB" w:rsidR="009D0028" w:rsidP="00E82A6D" w:rsidRDefault="00D209CB">
            <w:pPr>
              <w:rPr>
                <w:rFonts w:asciiTheme="minorHAnsi" w:hAnsiTheme="minorHAnsi"/>
                <w:sz w:val="20"/>
                <w:szCs w:val="20"/>
              </w:rPr>
            </w:pPr>
            <w:r w:rsidRPr="00D209CB">
              <w:rPr>
                <w:rFonts w:asciiTheme="minorHAnsi" w:hAnsiTheme="minorHAnsi"/>
                <w:sz w:val="20"/>
                <w:szCs w:val="20"/>
              </w:rPr>
              <w:t>6-dec-17</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D209CB" w:rsidR="009D0028" w:rsidP="00E82A6D" w:rsidRDefault="009D0028">
            <w:pPr>
              <w:rPr>
                <w:rFonts w:asciiTheme="minorHAnsi" w:hAnsiTheme="minorHAnsi"/>
                <w:sz w:val="20"/>
                <w:szCs w:val="20"/>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D209CB" w:rsidR="009D0028" w:rsidP="00E82A6D" w:rsidRDefault="00D209CB">
            <w:pPr>
              <w:rPr>
                <w:rFonts w:asciiTheme="minorHAnsi" w:hAnsiTheme="minorHAnsi"/>
                <w:sz w:val="20"/>
                <w:szCs w:val="20"/>
              </w:rPr>
            </w:pPr>
            <w:r w:rsidRPr="00D209CB">
              <w:rPr>
                <w:rFonts w:asciiTheme="minorHAnsi" w:hAnsiTheme="minorHAnsi"/>
                <w:sz w:val="20"/>
                <w:szCs w:val="20"/>
              </w:rPr>
              <w:t>richtlijn</w:t>
            </w:r>
          </w:p>
        </w:tc>
        <w:tc>
          <w:tcPr>
            <w:tcW w:w="5953" w:type="dxa"/>
            <w:tcBorders>
              <w:top w:val="single" w:color="auto" w:sz="4" w:space="0"/>
              <w:left w:val="nil"/>
              <w:bottom w:val="single" w:color="auto" w:sz="4" w:space="0"/>
              <w:right w:val="nil"/>
            </w:tcBorders>
            <w:shd w:val="clear" w:color="auto" w:fill="FFFFFF" w:themeFill="background1"/>
            <w:noWrap/>
          </w:tcPr>
          <w:p w:rsidRPr="00D209CB" w:rsidR="009D0028" w:rsidP="00E82A6D" w:rsidRDefault="00D209CB">
            <w:pPr>
              <w:rPr>
                <w:rFonts w:asciiTheme="minorHAnsi" w:hAnsiTheme="minorHAnsi"/>
                <w:sz w:val="20"/>
                <w:szCs w:val="20"/>
              </w:rPr>
            </w:pPr>
            <w:r w:rsidRPr="00D209CB">
              <w:rPr>
                <w:rFonts w:asciiTheme="minorHAnsi" w:hAnsiTheme="minorHAnsi"/>
                <w:sz w:val="20"/>
                <w:szCs w:val="20"/>
              </w:rPr>
              <w:t>Voorstel voor een RICHTLIJN VAN HET EUROPEES PARLEMENT EN DE RAAD tot wijziging van Richtlijn 92/66/EEG van de Raad tot vaststelling van communautaire maatregelen voor de bestrijding van de ziekte van Newcastle</w:t>
            </w:r>
          </w:p>
        </w:tc>
        <w:tc>
          <w:tcPr>
            <w:tcW w:w="70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D209CB" w:rsidR="009D0028" w:rsidP="00E82A6D" w:rsidRDefault="0028244D">
            <w:pPr>
              <w:rPr>
                <w:rFonts w:asciiTheme="minorHAnsi" w:hAnsiTheme="minorHAnsi"/>
                <w:sz w:val="20"/>
                <w:szCs w:val="20"/>
              </w:rPr>
            </w:pPr>
            <w:hyperlink w:history="1" r:id="rId11">
              <w:r w:rsidRPr="00D209CB" w:rsidR="00D209CB">
                <w:rPr>
                  <w:rStyle w:val="Hyperlink"/>
                  <w:rFonts w:asciiTheme="minorHAnsi" w:hAnsiTheme="minorHAnsi"/>
                  <w:color w:val="auto"/>
                  <w:sz w:val="20"/>
                  <w:szCs w:val="20"/>
                </w:rPr>
                <w:t>COM (2017) 742</w:t>
              </w:r>
            </w:hyperlink>
          </w:p>
        </w:tc>
        <w:tc>
          <w:tcPr>
            <w:tcW w:w="992" w:type="dxa"/>
            <w:tcBorders>
              <w:top w:val="single" w:color="auto" w:sz="4" w:space="0"/>
              <w:left w:val="nil"/>
              <w:bottom w:val="single" w:color="auto" w:sz="4" w:space="0"/>
              <w:right w:val="single" w:color="auto" w:sz="4" w:space="0"/>
            </w:tcBorders>
            <w:shd w:val="clear" w:color="auto" w:fill="FFFFFF" w:themeFill="background1"/>
            <w:noWrap/>
          </w:tcPr>
          <w:p w:rsidRPr="00D209CB" w:rsidR="009D0028" w:rsidP="00E82A6D" w:rsidRDefault="009D0028">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D209CB" w:rsidR="009D0028" w:rsidP="00D209CB" w:rsidRDefault="00D209CB">
            <w:pPr>
              <w:rPr>
                <w:rFonts w:asciiTheme="minorHAnsi" w:hAnsiTheme="minorHAnsi"/>
                <w:sz w:val="20"/>
                <w:szCs w:val="20"/>
              </w:rPr>
            </w:pPr>
            <w:r w:rsidRPr="00D209CB">
              <w:rPr>
                <w:rFonts w:asciiTheme="minorHAnsi" w:hAnsiTheme="minorHAnsi"/>
                <w:sz w:val="20"/>
                <w:szCs w:val="20"/>
              </w:rPr>
              <w:t xml:space="preserve">De minister informeert de Kamer over deze richtlijn in het verslag van de Landbouw en Visserijraad. Voorstel: verslag afwachten. </w:t>
            </w:r>
          </w:p>
        </w:tc>
      </w:tr>
      <w:tr w:rsidRPr="00D209CB" w:rsidR="009D0028" w:rsidTr="00E82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D209CB" w:rsidR="009D0028" w:rsidP="00E82A6D" w:rsidRDefault="00D209CB">
            <w:pPr>
              <w:rPr>
                <w:rFonts w:asciiTheme="minorHAnsi" w:hAnsiTheme="minorHAnsi"/>
                <w:sz w:val="20"/>
                <w:szCs w:val="20"/>
              </w:rPr>
            </w:pPr>
            <w:r w:rsidRPr="00D209CB">
              <w:rPr>
                <w:rFonts w:asciiTheme="minorHAnsi" w:hAnsiTheme="minorHAnsi"/>
                <w:sz w:val="20"/>
                <w:szCs w:val="20"/>
              </w:rPr>
              <w:t>6-dec-17</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D209CB" w:rsidR="009D0028" w:rsidP="00E82A6D" w:rsidRDefault="009D0028">
            <w:pPr>
              <w:rPr>
                <w:rFonts w:asciiTheme="minorHAnsi" w:hAnsiTheme="minorHAnsi"/>
                <w:sz w:val="20"/>
                <w:szCs w:val="20"/>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D209CB" w:rsidR="009D0028" w:rsidP="00E82A6D" w:rsidRDefault="00D209CB">
            <w:pPr>
              <w:rPr>
                <w:rFonts w:asciiTheme="minorHAnsi" w:hAnsiTheme="minorHAnsi"/>
                <w:sz w:val="20"/>
                <w:szCs w:val="20"/>
              </w:rPr>
            </w:pPr>
            <w:r w:rsidRPr="00D209CB">
              <w:rPr>
                <w:rFonts w:asciiTheme="minorHAnsi" w:hAnsiTheme="minorHAnsi"/>
                <w:sz w:val="20"/>
                <w:szCs w:val="20"/>
              </w:rPr>
              <w:t>verordening</w:t>
            </w:r>
          </w:p>
        </w:tc>
        <w:tc>
          <w:tcPr>
            <w:tcW w:w="5953" w:type="dxa"/>
            <w:tcBorders>
              <w:top w:val="single" w:color="auto" w:sz="4" w:space="0"/>
              <w:left w:val="nil"/>
              <w:bottom w:val="single" w:color="auto" w:sz="4" w:space="0"/>
              <w:right w:val="nil"/>
            </w:tcBorders>
            <w:shd w:val="clear" w:color="auto" w:fill="FFFFFF" w:themeFill="background1"/>
            <w:noWrap/>
          </w:tcPr>
          <w:p w:rsidRPr="00D209CB" w:rsidR="009D0028" w:rsidP="00E82A6D" w:rsidRDefault="00D209CB">
            <w:pPr>
              <w:rPr>
                <w:rFonts w:asciiTheme="minorHAnsi" w:hAnsiTheme="minorHAnsi"/>
                <w:sz w:val="20"/>
                <w:szCs w:val="20"/>
              </w:rPr>
            </w:pPr>
            <w:r w:rsidRPr="00D209CB">
              <w:rPr>
                <w:rFonts w:asciiTheme="minorHAnsi" w:hAnsiTheme="minorHAnsi"/>
                <w:sz w:val="20"/>
                <w:szCs w:val="20"/>
              </w:rPr>
              <w:t>Voorstel voor een VERORDENING VAN HET EUROPEES PARLEMENT EN DE RAAD tot wijziging van Verordening (EU) nr. 1303/2013 van het Europees Parlement en de Raad van 17 december 2013 houdende gemeenschappelijke bepalingen inzake het Europees Fonds voor regionale ontwikkeling, het Europees Sociaal Fonds, het Cohesiefonds, het Europees Landbouwfonds voor plattelandsontwikkeling en het Europees Fonds voor maritieme zaken en visserij en algemene bepalingen inzake het Europees Fonds voor regionale ontwikkeling, het Europees Sociaal Fonds, het Cohesiefonds en het Europees Fonds voor maritieme zaken en visserij, en tot intrekking van Verordening (EG) nr. 1083/2006 van de Raad wat betreft steun voor structurele hervormingen in de lidstaten</w:t>
            </w:r>
          </w:p>
        </w:tc>
        <w:tc>
          <w:tcPr>
            <w:tcW w:w="70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D209CB" w:rsidR="009D0028" w:rsidP="00E82A6D" w:rsidRDefault="0028244D">
            <w:pPr>
              <w:rPr>
                <w:rFonts w:asciiTheme="minorHAnsi" w:hAnsiTheme="minorHAnsi"/>
                <w:sz w:val="20"/>
                <w:szCs w:val="20"/>
              </w:rPr>
            </w:pPr>
            <w:hyperlink w:history="1" r:id="rId12">
              <w:r w:rsidRPr="00D209CB" w:rsidR="00D209CB">
                <w:rPr>
                  <w:rStyle w:val="Hyperlink"/>
                  <w:rFonts w:asciiTheme="minorHAnsi" w:hAnsiTheme="minorHAnsi"/>
                  <w:color w:val="auto"/>
                  <w:sz w:val="20"/>
                  <w:szCs w:val="20"/>
                </w:rPr>
                <w:t>COM (2017) 826</w:t>
              </w:r>
            </w:hyperlink>
          </w:p>
        </w:tc>
        <w:tc>
          <w:tcPr>
            <w:tcW w:w="992" w:type="dxa"/>
            <w:tcBorders>
              <w:top w:val="single" w:color="auto" w:sz="4" w:space="0"/>
              <w:left w:val="nil"/>
              <w:bottom w:val="single" w:color="auto" w:sz="4" w:space="0"/>
              <w:right w:val="single" w:color="auto" w:sz="4" w:space="0"/>
            </w:tcBorders>
            <w:shd w:val="clear" w:color="auto" w:fill="FFFFFF" w:themeFill="background1"/>
            <w:noWrap/>
          </w:tcPr>
          <w:p w:rsidRPr="00D209CB" w:rsidR="009D0028" w:rsidP="00E82A6D" w:rsidRDefault="009D0028">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D209CB" w:rsidR="009D0028" w:rsidP="009F653B" w:rsidRDefault="00D209CB">
            <w:pPr>
              <w:rPr>
                <w:rFonts w:asciiTheme="minorHAnsi" w:hAnsiTheme="minorHAnsi"/>
                <w:sz w:val="20"/>
                <w:szCs w:val="20"/>
              </w:rPr>
            </w:pPr>
            <w:r w:rsidRPr="00D209CB">
              <w:rPr>
                <w:rFonts w:asciiTheme="minorHAnsi" w:hAnsiTheme="minorHAnsi"/>
                <w:sz w:val="20"/>
                <w:szCs w:val="20"/>
              </w:rPr>
              <w:t xml:space="preserve">De Kamer ontvangt een BNC-fiche. Voorstel: BNC-fiche afwachten. </w:t>
            </w:r>
          </w:p>
        </w:tc>
      </w:tr>
    </w:tbl>
    <w:p w:rsidR="009D0028" w:rsidP="009D0028" w:rsidRDefault="009D0028">
      <w:pPr>
        <w:spacing w:after="200" w:line="276" w:lineRule="auto"/>
        <w:rPr>
          <w:rFonts w:asciiTheme="minorHAnsi" w:hAnsiTheme="minorHAnsi"/>
          <w:b/>
          <w:sz w:val="22"/>
          <w:szCs w:val="22"/>
        </w:rPr>
      </w:pPr>
    </w:p>
    <w:p w:rsidR="009D0028" w:rsidP="009D0028" w:rsidRDefault="009D0028">
      <w:pPr>
        <w:spacing w:after="200" w:line="276" w:lineRule="auto"/>
        <w:rPr>
          <w:rFonts w:asciiTheme="minorHAnsi" w:hAnsiTheme="minorHAnsi"/>
          <w:b/>
          <w:sz w:val="22"/>
          <w:szCs w:val="22"/>
        </w:rPr>
      </w:pPr>
    </w:p>
    <w:p w:rsidR="00D209CB" w:rsidRDefault="00D209CB">
      <w:pPr>
        <w:spacing w:after="200" w:line="276" w:lineRule="auto"/>
        <w:rPr>
          <w:rFonts w:asciiTheme="minorHAnsi" w:hAnsiTheme="minorHAnsi"/>
          <w:b/>
          <w:sz w:val="22"/>
          <w:szCs w:val="22"/>
        </w:rPr>
      </w:pPr>
      <w:r>
        <w:rPr>
          <w:rFonts w:asciiTheme="minorHAnsi" w:hAnsiTheme="minorHAnsi"/>
          <w:b/>
          <w:sz w:val="22"/>
          <w:szCs w:val="22"/>
        </w:rPr>
        <w:br w:type="page"/>
      </w:r>
    </w:p>
    <w:p w:rsidRPr="004E324F" w:rsidR="009D0028" w:rsidP="009D0028" w:rsidRDefault="009D0028">
      <w:pPr>
        <w:spacing w:after="200" w:line="276" w:lineRule="auto"/>
        <w:rPr>
          <w:rFonts w:asciiTheme="minorHAnsi" w:hAnsiTheme="minorHAnsi"/>
          <w:b/>
          <w:sz w:val="22"/>
          <w:szCs w:val="22"/>
        </w:rPr>
      </w:pPr>
      <w:r w:rsidRPr="004E324F">
        <w:rPr>
          <w:rFonts w:asciiTheme="minorHAnsi" w:hAnsiTheme="minorHAnsi"/>
          <w:b/>
          <w:sz w:val="22"/>
          <w:szCs w:val="22"/>
        </w:rPr>
        <w:lastRenderedPageBreak/>
        <w:t>Bijlage: behandelmogelijkheden EU-voorstellen</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tc>
          <w:tcPr>
            <w:tcW w:w="2093" w:type="dxa"/>
          </w:tcPr>
          <w:p w:rsidRPr="00356600" w:rsidR="009D0028" w:rsidP="00E82A6D" w:rsidRDefault="009D0028">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p>
          <w:p w:rsidRPr="00356600" w:rsidR="009D0028" w:rsidP="00E82A6D" w:rsidRDefault="009D0028">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subsidiariteitstoets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behandelvoorbehoud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overleg met kabinet NL onderhandelingsinzet aan de orde stellen, evt. aan de hand van het “BNC-fiche”.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NB: Pas na afronding van het onderhandelingstraject: nationale wetgevingstraject monitoren (i.h.k.v. omzetting naar nationale wetgeving).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Richtlijn </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(Besluit)</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besluit is verbindend in al zijn onderdelen. Indien de adressanten worden </w:t>
            </w:r>
            <w:r w:rsidRPr="00356600">
              <w:rPr>
                <w:rFonts w:asciiTheme="minorHAnsi" w:hAnsiTheme="minorHAnsi"/>
              </w:rPr>
              <w:lastRenderedPageBreak/>
              <w:t xml:space="preserve">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lastRenderedPageBreak/>
              <w:t>Niet-wetgevende bindende rechtshandelingen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Gedelegeerde 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356600" w:rsidR="009D0028" w:rsidP="00E82A6D" w:rsidRDefault="009D0028">
            <w:pPr>
              <w:pStyle w:val="Voetnoottekst"/>
              <w:ind w:left="360"/>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Uitvoerings-handeling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algemeen overleg/debat bevragen over stand van zaken en appreciatie EU onderhandelingen en NL inzet.</w:t>
            </w:r>
          </w:p>
          <w:p w:rsidRPr="00356600" w:rsidR="009D0028" w:rsidP="00E82A6D" w:rsidRDefault="009D0028">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3">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Handelingen vastgesteld volgens de regelgevingsprocedure met toetsing</w:t>
            </w:r>
          </w:p>
        </w:tc>
        <w:tc>
          <w:tcPr>
            <w:tcW w:w="6946" w:type="dxa"/>
          </w:tcPr>
          <w:p w:rsidRPr="00356600" w:rsidR="009D0028" w:rsidP="00E82A6D" w:rsidRDefault="009D0028">
            <w:pPr>
              <w:rPr>
                <w:rFonts w:asciiTheme="minorHAnsi" w:hAnsiTheme="minorHAnsi"/>
                <w:sz w:val="20"/>
                <w:szCs w:val="20"/>
              </w:rPr>
            </w:pPr>
            <w:r w:rsidRPr="00356600">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356600" w:rsidR="009D0028" w:rsidP="00E82A6D" w:rsidRDefault="009D0028">
            <w:pPr>
              <w:pStyle w:val="Voetnoottekst"/>
              <w:numPr>
                <w:ilvl w:val="0"/>
                <w:numId w:val="1"/>
              </w:numPr>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pPr>
              <w:pStyle w:val="Voetnoottekst"/>
              <w:rPr>
                <w:rFonts w:asciiTheme="minorHAnsi" w:hAnsiTheme="minorHAnsi"/>
              </w:rPr>
            </w:pP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pPr>
              <w:pStyle w:val="Voetnoottekst"/>
              <w:ind w:left="360"/>
              <w:rPr>
                <w:rFonts w:asciiTheme="minorHAnsi" w:hAnsiTheme="minorHAnsi"/>
              </w:rPr>
            </w:pPr>
            <w:r w:rsidRPr="00356600">
              <w:rPr>
                <w:rFonts w:asciiTheme="minorHAnsi" w:hAnsiTheme="minorHAnsi"/>
              </w:rPr>
              <w:t>nationale wetgevingstraject (i.h.k.v. omzetting van richtlijn naar nationale wetgeving).</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Niet-bindende handelingen (soft-law)</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Advies, aanbeveling, mededeling</w:t>
            </w: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 xml:space="preserve">Overige handelingen en instrumenten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onderzocht.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Groen- en witboek</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Groenboek: een discussiestuk, waarmee de Europese Commissie de stand van </w:t>
            </w:r>
            <w:r w:rsidRPr="00356600">
              <w:rPr>
                <w:rFonts w:asciiTheme="minorHAnsi" w:hAnsiTheme="minorHAnsi"/>
              </w:rPr>
              <w:lastRenderedPageBreak/>
              <w:t xml:space="preserve">zaken inventariseert omtrent een onderwerp. Ook doet ze aanbevelingen voor nieuw beleid. </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 xml:space="preserve">desgewenst ambtenaren EC of Europees Commissaris </w:t>
            </w:r>
            <w:r w:rsidRPr="00356600">
              <w:rPr>
                <w:rFonts w:asciiTheme="minorHAnsi" w:hAnsiTheme="minorHAnsi"/>
              </w:rPr>
              <w:lastRenderedPageBreak/>
              <w:t>uitnodigen voor een toelichting.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Openbare raadpleging (consultatie)</w:t>
            </w: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4">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de Kamer ontvangt krachtens de standaard-informatieafspraken de definitieve kabinetsreactie op alle consultaties van de Europese Commissie waarop het kabinet reageert.</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Uitgelicht: twee specifieke parlementaire instrumenten bij nieuw gepubliceerde EU-voorstellen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pPr>
              <w:pStyle w:val="Voetnoottekst"/>
              <w:rPr>
                <w:rFonts w:asciiTheme="minorHAnsi" w:hAnsiTheme="minorHAnsi"/>
              </w:rPr>
            </w:pPr>
            <w:r w:rsidRPr="00356600">
              <w:rPr>
                <w:rFonts w:asciiTheme="minorHAnsi" w:hAnsiTheme="minorHAnsi"/>
              </w:rPr>
              <w:t>(richting EU)</w:t>
            </w:r>
          </w:p>
        </w:tc>
        <w:tc>
          <w:tcPr>
            <w:tcW w:w="6946" w:type="dxa"/>
          </w:tcPr>
          <w:p w:rsidRPr="00356600" w:rsidR="009D0028" w:rsidP="00E82A6D" w:rsidRDefault="009D0028">
            <w:pPr>
              <w:pStyle w:val="Lijstalinea"/>
              <w:ind w:left="0"/>
              <w:rPr>
                <w:rFonts w:asciiTheme="minorHAnsi" w:hAnsiTheme="minorHAnsi"/>
                <w:sz w:val="20"/>
                <w:szCs w:val="20"/>
              </w:rPr>
            </w:pPr>
            <w:r w:rsidRPr="00356600">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Elk parlement krijgt 2 stemmen, maar bij een bicameraal stelsel, 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met andere parlementen in overleg treden t.b.v. behalen meerderheid voor ’gele kaart’ (1/3 stemmen) via parlementaire vertegenwoordiging en/of fractielijnen.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Behandel-voorbehoud (richting regering)</w:t>
            </w:r>
          </w:p>
        </w:tc>
        <w:tc>
          <w:tcPr>
            <w:tcW w:w="6946" w:type="dxa"/>
          </w:tcPr>
          <w:p w:rsidRPr="00356600" w:rsidR="009D0028" w:rsidP="00E82A6D" w:rsidRDefault="009D0028">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commissie besluiten tot het uitvoeren van een zgn. ‘behandelvoorbehoud’. Over deze brief moet plenair gestemd worden (let op de termijnen).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behandelvoorbehouden binnen drie weken t.b.v. een snelle behandeling.</w:t>
            </w:r>
          </w:p>
          <w:p w:rsidRPr="00356600" w:rsidR="009D0028" w:rsidP="00E82A6D" w:rsidRDefault="009D0028">
            <w:pPr>
              <w:pStyle w:val="Voetnoottekst"/>
              <w:rPr>
                <w:rFonts w:asciiTheme="minorHAnsi" w:hAnsiTheme="minorHAnsi"/>
              </w:rPr>
            </w:pPr>
          </w:p>
        </w:tc>
      </w:tr>
    </w:tbl>
    <w:p w:rsidRPr="00356600" w:rsidR="009D0028" w:rsidP="009D0028" w:rsidRDefault="009D0028">
      <w:pPr>
        <w:rPr>
          <w:rFonts w:asciiTheme="minorHAnsi" w:hAnsiTheme="minorHAnsi"/>
          <w:sz w:val="20"/>
          <w:szCs w:val="20"/>
        </w:rPr>
      </w:pPr>
    </w:p>
    <w:p w:rsidRPr="009D0028" w:rsidR="003B00CB" w:rsidP="009D0028" w:rsidRDefault="003B00CB"/>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73C" w:rsidRDefault="00E5273C" w:rsidP="003B00CB">
      <w:r>
        <w:separator/>
      </w:r>
    </w:p>
  </w:endnote>
  <w:endnote w:type="continuationSeparator" w:id="0">
    <w:p w:rsidR="00E5273C" w:rsidRDefault="00E5273C"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73C" w:rsidRDefault="00E5273C" w:rsidP="003B00CB">
      <w:r>
        <w:separator/>
      </w:r>
    </w:p>
  </w:footnote>
  <w:footnote w:type="continuationSeparator" w:id="0">
    <w:p w:rsidR="00E5273C" w:rsidRDefault="00E5273C" w:rsidP="003B00CB">
      <w:r>
        <w:continuationSeparator/>
      </w:r>
    </w:p>
  </w:footnote>
  <w:footnote w:id="1">
    <w:p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67D3"/>
    <w:rsid w:val="000240FB"/>
    <w:rsid w:val="0005004F"/>
    <w:rsid w:val="000538C6"/>
    <w:rsid w:val="00111A2B"/>
    <w:rsid w:val="001257B9"/>
    <w:rsid w:val="00130225"/>
    <w:rsid w:val="001641B2"/>
    <w:rsid w:val="0016420D"/>
    <w:rsid w:val="00175685"/>
    <w:rsid w:val="001A60DF"/>
    <w:rsid w:val="001A7A62"/>
    <w:rsid w:val="001C5CB5"/>
    <w:rsid w:val="00225895"/>
    <w:rsid w:val="00254069"/>
    <w:rsid w:val="002703E1"/>
    <w:rsid w:val="0027622B"/>
    <w:rsid w:val="0028244D"/>
    <w:rsid w:val="00291102"/>
    <w:rsid w:val="002A4BA8"/>
    <w:rsid w:val="002E555E"/>
    <w:rsid w:val="0031357F"/>
    <w:rsid w:val="00356600"/>
    <w:rsid w:val="00363547"/>
    <w:rsid w:val="00394DAC"/>
    <w:rsid w:val="003A4D14"/>
    <w:rsid w:val="003B00CB"/>
    <w:rsid w:val="003F2EE4"/>
    <w:rsid w:val="00404F0F"/>
    <w:rsid w:val="004058AE"/>
    <w:rsid w:val="00436E4A"/>
    <w:rsid w:val="00437A4F"/>
    <w:rsid w:val="00451237"/>
    <w:rsid w:val="00456106"/>
    <w:rsid w:val="00467106"/>
    <w:rsid w:val="0047022E"/>
    <w:rsid w:val="00482E2E"/>
    <w:rsid w:val="00497A86"/>
    <w:rsid w:val="004C6BA4"/>
    <w:rsid w:val="004E324F"/>
    <w:rsid w:val="004F61E3"/>
    <w:rsid w:val="0050503E"/>
    <w:rsid w:val="005059B0"/>
    <w:rsid w:val="005900D0"/>
    <w:rsid w:val="005B10A2"/>
    <w:rsid w:val="005B31C5"/>
    <w:rsid w:val="005B323D"/>
    <w:rsid w:val="005D308F"/>
    <w:rsid w:val="005E086B"/>
    <w:rsid w:val="005E4AFC"/>
    <w:rsid w:val="0060426E"/>
    <w:rsid w:val="00624124"/>
    <w:rsid w:val="006404DB"/>
    <w:rsid w:val="0067641B"/>
    <w:rsid w:val="0069271C"/>
    <w:rsid w:val="006934BC"/>
    <w:rsid w:val="006A16F2"/>
    <w:rsid w:val="006C55D1"/>
    <w:rsid w:val="006E1B67"/>
    <w:rsid w:val="006E261D"/>
    <w:rsid w:val="00730CC3"/>
    <w:rsid w:val="00746FC1"/>
    <w:rsid w:val="00755BB0"/>
    <w:rsid w:val="007604EB"/>
    <w:rsid w:val="00776B77"/>
    <w:rsid w:val="00792685"/>
    <w:rsid w:val="0086251C"/>
    <w:rsid w:val="008D788E"/>
    <w:rsid w:val="009306E7"/>
    <w:rsid w:val="009608C8"/>
    <w:rsid w:val="00962F1E"/>
    <w:rsid w:val="00975411"/>
    <w:rsid w:val="009A7C48"/>
    <w:rsid w:val="009C2105"/>
    <w:rsid w:val="009D0028"/>
    <w:rsid w:val="009F653B"/>
    <w:rsid w:val="00A0121B"/>
    <w:rsid w:val="00A21D8E"/>
    <w:rsid w:val="00A64A58"/>
    <w:rsid w:val="00AB569C"/>
    <w:rsid w:val="00AD6887"/>
    <w:rsid w:val="00AE09BD"/>
    <w:rsid w:val="00AF0709"/>
    <w:rsid w:val="00B129F0"/>
    <w:rsid w:val="00B306F2"/>
    <w:rsid w:val="00B42D2E"/>
    <w:rsid w:val="00B51D2E"/>
    <w:rsid w:val="00B86BB8"/>
    <w:rsid w:val="00B92D04"/>
    <w:rsid w:val="00BA0AEF"/>
    <w:rsid w:val="00BA5136"/>
    <w:rsid w:val="00BE146F"/>
    <w:rsid w:val="00C30329"/>
    <w:rsid w:val="00C60B45"/>
    <w:rsid w:val="00C8738C"/>
    <w:rsid w:val="00C87458"/>
    <w:rsid w:val="00CA7C04"/>
    <w:rsid w:val="00CD5AF9"/>
    <w:rsid w:val="00D209CB"/>
    <w:rsid w:val="00D645F3"/>
    <w:rsid w:val="00D825E6"/>
    <w:rsid w:val="00DA2B58"/>
    <w:rsid w:val="00DA780E"/>
    <w:rsid w:val="00DC20FA"/>
    <w:rsid w:val="00E033E1"/>
    <w:rsid w:val="00E30201"/>
    <w:rsid w:val="00E3653D"/>
    <w:rsid w:val="00E41E69"/>
    <w:rsid w:val="00E5273C"/>
    <w:rsid w:val="00E70347"/>
    <w:rsid w:val="00EA2497"/>
    <w:rsid w:val="00EC414D"/>
    <w:rsid w:val="00EF091E"/>
    <w:rsid w:val="00EF48F7"/>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3" /><Relationship Type="http://schemas.openxmlformats.org/officeDocument/2006/relationships/settings" Target="settings.xml" Id="rId7" /><Relationship Type="http://schemas.openxmlformats.org/officeDocument/2006/relationships/hyperlink" Target="http://www.ipex.eu/IPEXL-WEB/dossier/document/COM2017826.do" TargetMode="External" Id="rId12" /><Relationship Type="http://schemas.openxmlformats.org/officeDocument/2006/relationships/theme" Target="theme/theme1.xml" Id="rId16" /><Relationship Type="http://schemas.microsoft.com/office/2007/relationships/stylesWithEffects" Target="stylesWithEffects.xml" Id="rId6" /><Relationship Type="http://schemas.openxmlformats.org/officeDocument/2006/relationships/hyperlink" Target="http://www.ipex.eu/IPEXL-WEB/dossier/document/COM20170742.do"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ec.europa.eu/yourvoice/consultations/index_nl.htm"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2510</ap:Words>
  <ap:Characters>13807</ap:Characters>
  <ap:DocSecurity>4</ap:DocSecurity>
  <ap:Lines>115</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16285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2017-09-06T11:45:00.0000000Z</lastPrinted>
  <dcterms:created xsi:type="dcterms:W3CDTF">2017-12-14T16:02:00.0000000Z</dcterms:created>
  <dcterms:modified xsi:type="dcterms:W3CDTF">2017-12-14T16:02:00.0000000Z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0x010100B94EDA55836FFE49983C7469B58A7E73</vt:lpwstr>
  </property>
</Properties>
</file>