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54185" w:rsidR="00CB655C" w:rsidP="00B04D57" w:rsidRDefault="00354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32"/>
          <w:szCs w:val="18"/>
          <w:lang w:val="nl-NL"/>
        </w:rPr>
      </w:pPr>
      <w:r>
        <w:rPr>
          <w:rFonts w:ascii="Verdana" w:hAnsi="Verdana" w:cs="Arial"/>
          <w:bCs/>
          <w:sz w:val="32"/>
          <w:szCs w:val="18"/>
          <w:lang w:val="nl-NL"/>
        </w:rPr>
        <w:t>Scenario 6: Europese desintegratie</w:t>
      </w:r>
    </w:p>
    <w:p w:rsidR="00CB655C" w:rsidP="00B04D57" w:rsidRDefault="00CB65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bCs/>
          <w:sz w:val="18"/>
          <w:szCs w:val="18"/>
          <w:lang w:val="nl-NL"/>
        </w:rPr>
      </w:pPr>
    </w:p>
    <w:p w:rsidRPr="00354185" w:rsidR="00B04D57" w:rsidP="00B04D57" w:rsidRDefault="00B04D5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bCs/>
          <w:sz w:val="18"/>
          <w:szCs w:val="18"/>
          <w:lang w:val="nl-NL"/>
        </w:rPr>
      </w:pPr>
      <w:r>
        <w:rPr>
          <w:rFonts w:ascii="Verdana" w:hAnsi="Verdana" w:cs="Arial"/>
          <w:b/>
          <w:bCs/>
          <w:sz w:val="18"/>
          <w:szCs w:val="18"/>
          <w:lang w:val="nl-NL"/>
        </w:rPr>
        <w:t>Hans Vollaard – Universiteit Utrecht</w:t>
      </w:r>
    </w:p>
    <w:p w:rsidR="00CB655C" w:rsidP="00B04D57" w:rsidRDefault="00CB65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bCs/>
          <w:sz w:val="18"/>
          <w:szCs w:val="18"/>
          <w:lang w:val="nl-NL"/>
        </w:rPr>
      </w:pPr>
    </w:p>
    <w:p w:rsidRPr="00354185" w:rsidR="00B04D57" w:rsidP="00B04D57" w:rsidRDefault="00B04D5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bCs/>
          <w:sz w:val="18"/>
          <w:szCs w:val="18"/>
          <w:lang w:val="nl-NL"/>
        </w:rPr>
      </w:pPr>
    </w:p>
    <w:p w:rsidRPr="00ED2A70" w:rsidR="00745841" w:rsidP="00ED2A70" w:rsidRDefault="00354185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i/>
          <w:sz w:val="22"/>
          <w:szCs w:val="22"/>
          <w:lang w:val="nl-NL"/>
        </w:rPr>
      </w:pPr>
      <w:r w:rsidRPr="00ED2A70">
        <w:rPr>
          <w:rFonts w:ascii="Verdana" w:hAnsi="Verdana"/>
          <w:i/>
          <w:sz w:val="22"/>
          <w:szCs w:val="22"/>
          <w:lang w:val="nl-NL"/>
        </w:rPr>
        <w:t>Inleiding</w:t>
      </w:r>
    </w:p>
    <w:p w:rsidRPr="00E02DE8" w:rsidR="00E02DE8" w:rsidP="00E02DE8" w:rsidRDefault="00E02D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  <w:lang w:val="nl-NL"/>
        </w:rPr>
      </w:pPr>
      <w:r w:rsidRPr="00E02DE8">
        <w:rPr>
          <w:rFonts w:ascii="Verdana" w:hAnsi="Verdana" w:cs="Arial"/>
          <w:bCs/>
          <w:sz w:val="22"/>
          <w:szCs w:val="22"/>
          <w:lang w:val="nl-NL"/>
        </w:rPr>
        <w:t xml:space="preserve">Hartelijk dank voor de uitnodiging om hier enkele gedachten over de toekomst van de Europese Unie naar aanleiding van het witboek van de Europese Commissie </w:t>
      </w:r>
    </w:p>
    <w:p w:rsidR="005077E2" w:rsidP="005077E2" w:rsidRDefault="0035418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nl-NL"/>
        </w:rPr>
      </w:pPr>
      <w:r w:rsidRPr="005077E2">
        <w:rPr>
          <w:rFonts w:ascii="Verdana" w:hAnsi="Verdana"/>
          <w:sz w:val="22"/>
          <w:szCs w:val="22"/>
          <w:lang w:val="nl-NL"/>
        </w:rPr>
        <w:t xml:space="preserve">De Europese Commissie </w:t>
      </w:r>
      <w:r w:rsidR="00896445">
        <w:rPr>
          <w:rFonts w:ascii="Verdana" w:hAnsi="Verdana"/>
          <w:sz w:val="22"/>
          <w:szCs w:val="22"/>
          <w:lang w:val="nl-NL"/>
        </w:rPr>
        <w:t xml:space="preserve">presenteerde </w:t>
      </w:r>
      <w:r w:rsidR="00E02DE8">
        <w:rPr>
          <w:rFonts w:ascii="Verdana" w:hAnsi="Verdana"/>
          <w:sz w:val="22"/>
          <w:szCs w:val="22"/>
          <w:lang w:val="nl-NL"/>
        </w:rPr>
        <w:t>daarin</w:t>
      </w:r>
      <w:r w:rsidRPr="005077E2">
        <w:rPr>
          <w:rFonts w:ascii="Verdana" w:hAnsi="Verdana"/>
          <w:sz w:val="22"/>
          <w:szCs w:val="22"/>
          <w:lang w:val="nl-NL"/>
        </w:rPr>
        <w:t xml:space="preserve"> </w:t>
      </w:r>
      <w:r w:rsidR="00896445">
        <w:rPr>
          <w:rFonts w:ascii="Verdana" w:hAnsi="Verdana"/>
          <w:sz w:val="22"/>
          <w:szCs w:val="22"/>
          <w:lang w:val="nl-NL"/>
        </w:rPr>
        <w:t xml:space="preserve">een vijftal scenario’s </w:t>
      </w:r>
      <w:r w:rsidRPr="005077E2">
        <w:rPr>
          <w:rFonts w:ascii="Verdana" w:hAnsi="Verdana"/>
          <w:sz w:val="22"/>
          <w:szCs w:val="22"/>
          <w:lang w:val="nl-NL"/>
        </w:rPr>
        <w:t>over de toekomst van de Europese Unie (EU). Opvallend is dat het scenario van Europese desintegratie ontbreekt</w:t>
      </w:r>
      <w:r w:rsidRPr="005077E2" w:rsidR="00B04D57">
        <w:rPr>
          <w:rFonts w:ascii="Verdana" w:hAnsi="Verdana"/>
          <w:sz w:val="22"/>
          <w:szCs w:val="22"/>
          <w:lang w:val="nl-NL"/>
        </w:rPr>
        <w:t xml:space="preserve">, terwijl daar bijvoorbeeld in het bedrijfsleven nog steeds rekening mee wordt gehouden. Bovendien kan </w:t>
      </w:r>
      <w:r w:rsidRPr="005077E2">
        <w:rPr>
          <w:rFonts w:ascii="Verdana" w:hAnsi="Verdana"/>
          <w:sz w:val="22"/>
          <w:szCs w:val="22"/>
          <w:lang w:val="nl-NL"/>
        </w:rPr>
        <w:t>Europese desintegratie op steun rekenen binnen de Europese Unie</w:t>
      </w:r>
      <w:r w:rsidRPr="005077E2" w:rsidR="00B04D57">
        <w:rPr>
          <w:rFonts w:ascii="Verdana" w:hAnsi="Verdana"/>
          <w:sz w:val="22"/>
          <w:szCs w:val="22"/>
          <w:lang w:val="nl-NL"/>
        </w:rPr>
        <w:t xml:space="preserve">. </w:t>
      </w:r>
      <w:r w:rsidRPr="005077E2" w:rsidR="009C5747">
        <w:rPr>
          <w:rFonts w:ascii="Verdana" w:hAnsi="Verdana"/>
          <w:sz w:val="22"/>
          <w:szCs w:val="22"/>
          <w:lang w:val="nl-NL"/>
        </w:rPr>
        <w:t xml:space="preserve">Diverse kiezers en partijen zouden het ook als de Nederlandse koers </w:t>
      </w:r>
      <w:r w:rsidR="00896445">
        <w:rPr>
          <w:rFonts w:ascii="Verdana" w:hAnsi="Verdana"/>
          <w:sz w:val="22"/>
          <w:szCs w:val="22"/>
          <w:lang w:val="nl-NL"/>
        </w:rPr>
        <w:t>te</w:t>
      </w:r>
      <w:r w:rsidRPr="005077E2" w:rsidR="005077E2">
        <w:rPr>
          <w:rFonts w:ascii="Verdana" w:hAnsi="Verdana"/>
          <w:sz w:val="22"/>
          <w:szCs w:val="22"/>
          <w:lang w:val="nl-NL"/>
        </w:rPr>
        <w:t>n</w:t>
      </w:r>
      <w:r w:rsidRPr="005077E2" w:rsidR="009C5747">
        <w:rPr>
          <w:rFonts w:ascii="Verdana" w:hAnsi="Verdana"/>
          <w:sz w:val="22"/>
          <w:szCs w:val="22"/>
          <w:lang w:val="nl-NL"/>
        </w:rPr>
        <w:t xml:space="preserve"> </w:t>
      </w:r>
      <w:r w:rsidR="00896445">
        <w:rPr>
          <w:rFonts w:ascii="Verdana" w:hAnsi="Verdana"/>
          <w:sz w:val="22"/>
          <w:szCs w:val="22"/>
          <w:lang w:val="nl-NL"/>
        </w:rPr>
        <w:t xml:space="preserve">aanzien van </w:t>
      </w:r>
      <w:r w:rsidRPr="005077E2" w:rsidR="009C5747">
        <w:rPr>
          <w:rFonts w:ascii="Verdana" w:hAnsi="Verdana"/>
          <w:sz w:val="22"/>
          <w:szCs w:val="22"/>
          <w:lang w:val="nl-NL"/>
        </w:rPr>
        <w:t xml:space="preserve">de EU wensen. </w:t>
      </w:r>
    </w:p>
    <w:p w:rsidRPr="00E02DE8" w:rsidR="00896445" w:rsidP="008C70DE" w:rsidRDefault="00E02DE8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 w:rsidRPr="00E02DE8">
        <w:rPr>
          <w:rFonts w:ascii="Verdana" w:hAnsi="Verdana"/>
          <w:sz w:val="22"/>
          <w:szCs w:val="22"/>
          <w:lang w:val="nl-NL"/>
        </w:rPr>
        <w:t xml:space="preserve">Ik ben wetenschapper en geef daarom geen standpunt waarom Europese desintegratie goed of slecht is. Wel geef ik een analyse of en hoe Europese desintegratie zou gebeuren. </w:t>
      </w:r>
      <w:r w:rsidRPr="00E02DE8">
        <w:rPr>
          <w:rFonts w:ascii="Verdana" w:hAnsi="Verdana"/>
          <w:sz w:val="22"/>
          <w:szCs w:val="22"/>
          <w:lang w:val="nl-NL"/>
        </w:rPr>
        <w:t xml:space="preserve">Daarmee biedt het ook een reflectie op de </w:t>
      </w:r>
      <w:r>
        <w:rPr>
          <w:rFonts w:ascii="Verdana" w:hAnsi="Verdana"/>
          <w:sz w:val="22"/>
          <w:szCs w:val="22"/>
          <w:lang w:val="nl-NL"/>
        </w:rPr>
        <w:t>waarschijnlijkheid</w:t>
      </w:r>
      <w:r w:rsidRPr="00E02DE8">
        <w:rPr>
          <w:rFonts w:ascii="Verdana" w:hAnsi="Verdana"/>
          <w:sz w:val="22"/>
          <w:szCs w:val="22"/>
          <w:lang w:val="nl-NL"/>
        </w:rPr>
        <w:t xml:space="preserve"> van de vijf scenario’s van de Europese Commissie. Daarbij zal </w:t>
      </w:r>
      <w:r>
        <w:rPr>
          <w:rFonts w:ascii="Verdana" w:hAnsi="Verdana"/>
          <w:sz w:val="22"/>
          <w:szCs w:val="22"/>
          <w:lang w:val="nl-NL"/>
        </w:rPr>
        <w:t xml:space="preserve">ik </w:t>
      </w:r>
      <w:r w:rsidRPr="00E02DE8">
        <w:rPr>
          <w:rFonts w:ascii="Verdana" w:hAnsi="Verdana"/>
          <w:sz w:val="22"/>
          <w:szCs w:val="22"/>
          <w:lang w:val="nl-NL"/>
        </w:rPr>
        <w:t xml:space="preserve">speciaal aandacht </w:t>
      </w:r>
      <w:r>
        <w:rPr>
          <w:rFonts w:ascii="Verdana" w:hAnsi="Verdana"/>
          <w:sz w:val="22"/>
          <w:szCs w:val="22"/>
          <w:lang w:val="nl-NL"/>
        </w:rPr>
        <w:t>geven</w:t>
      </w:r>
      <w:r w:rsidRPr="00E02DE8">
        <w:rPr>
          <w:rFonts w:ascii="Verdana" w:hAnsi="Verdana"/>
          <w:sz w:val="22"/>
          <w:szCs w:val="22"/>
          <w:lang w:val="nl-NL"/>
        </w:rPr>
        <w:t xml:space="preserve"> voor de politiek-culturele dimensie van de EU, omdat </w:t>
      </w:r>
      <w:r>
        <w:rPr>
          <w:rFonts w:ascii="Verdana" w:hAnsi="Verdana"/>
          <w:sz w:val="22"/>
          <w:szCs w:val="22"/>
          <w:lang w:val="nl-NL"/>
        </w:rPr>
        <w:t>dat in</w:t>
      </w:r>
      <w:r w:rsidRPr="00E02DE8">
        <w:rPr>
          <w:rFonts w:ascii="Verdana" w:hAnsi="Verdana"/>
          <w:sz w:val="22"/>
          <w:szCs w:val="22"/>
          <w:lang w:val="nl-NL"/>
        </w:rPr>
        <w:t xml:space="preserve"> deze ronde extra aandacht krijgt.</w:t>
      </w:r>
    </w:p>
    <w:p w:rsidR="00B04D57" w:rsidP="00B04D57" w:rsidRDefault="00B04D5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Pr="005077E2" w:rsidR="005077E2" w:rsidP="005077E2" w:rsidRDefault="005077E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i/>
          <w:color w:val="000000"/>
          <w:sz w:val="22"/>
          <w:szCs w:val="22"/>
          <w:lang w:val="nl-NL"/>
        </w:rPr>
      </w:pPr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 xml:space="preserve"> Exit, </w:t>
      </w:r>
      <w:proofErr w:type="spellStart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voice</w:t>
      </w:r>
      <w:proofErr w:type="spellEnd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 xml:space="preserve"> </w:t>
      </w:r>
      <w:proofErr w:type="spellStart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and</w:t>
      </w:r>
      <w:proofErr w:type="spellEnd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 xml:space="preserve"> </w:t>
      </w:r>
      <w:proofErr w:type="spellStart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loyalty</w:t>
      </w:r>
      <w:proofErr w:type="spellEnd"/>
    </w:p>
    <w:p w:rsidR="005077E2" w:rsidP="005077E2" w:rsidRDefault="005077E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Europese desintegratie is het best te begrijpen aan de hand van een mechanisme dat elke organisatie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kenmerkt: </w:t>
      </w:r>
      <w:r>
        <w:rPr>
          <w:rFonts w:ascii="Verdana" w:hAnsi="Verdana"/>
          <w:color w:val="000000"/>
          <w:sz w:val="22"/>
          <w:szCs w:val="22"/>
          <w:lang w:val="nl-NL"/>
        </w:rPr>
        <w:t>Het mechanisme van exit,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proofErr w:type="spellStart"/>
      <w:r w:rsidR="00896445"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proofErr w:type="spellStart"/>
      <w:r w:rsidR="00896445">
        <w:rPr>
          <w:rFonts w:ascii="Verdana" w:hAnsi="Verdana"/>
          <w:color w:val="000000"/>
          <w:sz w:val="22"/>
          <w:szCs w:val="22"/>
          <w:lang w:val="nl-NL"/>
        </w:rPr>
        <w:t>and</w:t>
      </w:r>
      <w:proofErr w:type="spellEnd"/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proofErr w:type="spellStart"/>
      <w:r w:rsidR="00896445">
        <w:rPr>
          <w:rFonts w:ascii="Verdana" w:hAnsi="Verdana"/>
          <w:color w:val="000000"/>
          <w:sz w:val="22"/>
          <w:szCs w:val="22"/>
          <w:lang w:val="nl-NL"/>
        </w:rPr>
        <w:t>loyalty</w:t>
      </w:r>
      <w:proofErr w:type="spellEnd"/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-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ooit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>ontwikkeld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door de econoom Albert Hirschman.</w:t>
      </w:r>
    </w:p>
    <w:p w:rsidR="005077E2" w:rsidP="005077E2" w:rsidRDefault="005077E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Wat houdt het mechanisme? Als een lid, een onderdeel van een organisatie ontevreden is, kan die kiezen om zich te laten horen om zo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diens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situatie te verbeteren: </w:t>
      </w:r>
      <w:proofErr w:type="spellStart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. Een lid kan er ook voor kiezen om weg te gaan: </w:t>
      </w:r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exit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, om </w:t>
      </w:r>
      <w:proofErr w:type="gramStart"/>
      <w:r w:rsidR="00896445">
        <w:rPr>
          <w:rFonts w:ascii="Verdana" w:hAnsi="Verdana"/>
          <w:color w:val="000000"/>
          <w:sz w:val="22"/>
          <w:szCs w:val="22"/>
          <w:lang w:val="nl-NL"/>
        </w:rPr>
        <w:t>elders</w:t>
      </w:r>
      <w:proofErr w:type="gramEnd"/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een beter, of minder slechte situatie te vinden.</w:t>
      </w:r>
    </w:p>
    <w:p w:rsidR="005077E2" w:rsidP="005077E2" w:rsidRDefault="005077E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Bij ontevredenheid is er een afweging: heeft </w:t>
      </w:r>
      <w:proofErr w:type="spellStart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zin? Kan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je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je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stem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>laten horen,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en </w:t>
      </w:r>
      <w:r>
        <w:rPr>
          <w:rFonts w:ascii="Verdana" w:hAnsi="Verdana"/>
          <w:color w:val="000000"/>
          <w:sz w:val="22"/>
          <w:szCs w:val="22"/>
          <w:lang w:val="nl-NL"/>
        </w:rPr>
        <w:t>leid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>t dat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tot een verbeterde situatie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 binnen de organisatie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? en wat biedt </w:t>
      </w:r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exit</w:t>
      </w:r>
      <w:r>
        <w:rPr>
          <w:rFonts w:ascii="Verdana" w:hAnsi="Verdana"/>
          <w:color w:val="000000"/>
          <w:sz w:val="22"/>
          <w:szCs w:val="22"/>
          <w:lang w:val="nl-NL"/>
        </w:rPr>
        <w:t>? I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s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>het buiten de organisatie beter dan binnen?</w:t>
      </w:r>
    </w:p>
    <w:p w:rsidR="005077E2" w:rsidP="005077E2" w:rsidRDefault="005077E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Bij de afwegingen over het gebruik van </w:t>
      </w:r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exit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en </w:t>
      </w:r>
      <w:proofErr w:type="spellStart"/>
      <w:r w:rsidRPr="005077E2">
        <w:rPr>
          <w:rFonts w:ascii="Verdana" w:hAnsi="Verdana"/>
          <w:i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, is loyaliteit van invloed. Als een ontevreden lid, een loyaal lid is, dan zal die meer geneigd zijn om te blijven, ondanks die ontevredenheid.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>Weggaan v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oelt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bij veel loyaliteit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toch een beetje als verraad. Dus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loyaliteit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is niet een rationele afweging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over de vraag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welke strategie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– exit en </w:t>
      </w:r>
      <w:proofErr w:type="spellStart"/>
      <w:r w:rsidR="00896445"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- </w:t>
      </w:r>
      <w:r>
        <w:rPr>
          <w:rFonts w:ascii="Verdana" w:hAnsi="Verdana"/>
          <w:color w:val="000000"/>
          <w:sz w:val="22"/>
          <w:szCs w:val="22"/>
          <w:lang w:val="nl-NL"/>
        </w:rPr>
        <w:lastRenderedPageBreak/>
        <w:t xml:space="preserve">levert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>het meeste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op, maar een meer emotionele rem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 xml:space="preserve"> op exit, en soms zelfs ook </w:t>
      </w:r>
      <w:proofErr w:type="spellStart"/>
      <w:r w:rsidR="00896445"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 w:rsidR="001C3317">
        <w:rPr>
          <w:rFonts w:ascii="Verdana" w:hAnsi="Verdana"/>
          <w:color w:val="000000"/>
          <w:sz w:val="22"/>
          <w:szCs w:val="22"/>
          <w:lang w:val="nl-NL"/>
        </w:rPr>
        <w:t>. Die loyaliteit betreft dus de politiek-culturele dimensie, het gevoel van verbondenheid met de organisatie en de andere leden</w:t>
      </w:r>
    </w:p>
    <w:p w:rsidR="005077E2" w:rsidP="005077E2" w:rsidRDefault="005077E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Een organisatie kan die afwegingen bij ontevredenheid beïnvloeden door ontevredenheid te bestrijden, door betere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infrastructuur te geven (hoe meer invloedsmogelijkheden, des minder geneigd men is om exit-optie te gebruiken), de loyaliteitsbanden te versterken, en de kosten van </w:t>
      </w:r>
      <w:r w:rsidR="00896445">
        <w:rPr>
          <w:rFonts w:ascii="Verdana" w:hAnsi="Verdana"/>
          <w:color w:val="000000"/>
          <w:sz w:val="22"/>
          <w:szCs w:val="22"/>
          <w:lang w:val="nl-NL"/>
        </w:rPr>
        <w:t>exit te verhogen door steeds hechter een lid in te snoeren in de organisatie.</w:t>
      </w:r>
    </w:p>
    <w:p w:rsidR="005077E2" w:rsidP="00896445" w:rsidRDefault="005077E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E02DE8" w:rsidP="00B56972" w:rsidRDefault="0089644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 w:rsidRPr="00E02DE8">
        <w:rPr>
          <w:rFonts w:ascii="Verdana" w:hAnsi="Verdana"/>
          <w:color w:val="000000"/>
          <w:sz w:val="22"/>
          <w:szCs w:val="22"/>
          <w:lang w:val="nl-NL"/>
        </w:rPr>
        <w:t xml:space="preserve">het mechanisme van exit, </w:t>
      </w:r>
      <w:proofErr w:type="spellStart"/>
      <w:r w:rsidRPr="00E02DE8"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 w:rsidRPr="00E02DE8">
        <w:rPr>
          <w:rFonts w:ascii="Verdana" w:hAnsi="Verdana"/>
          <w:color w:val="000000"/>
          <w:sz w:val="22"/>
          <w:szCs w:val="22"/>
          <w:lang w:val="nl-NL"/>
        </w:rPr>
        <w:t xml:space="preserve"> en </w:t>
      </w:r>
      <w:proofErr w:type="spellStart"/>
      <w:r w:rsidRPr="00E02DE8">
        <w:rPr>
          <w:rFonts w:ascii="Verdana" w:hAnsi="Verdana"/>
          <w:color w:val="000000"/>
          <w:sz w:val="22"/>
          <w:szCs w:val="22"/>
          <w:lang w:val="nl-NL"/>
        </w:rPr>
        <w:t>loyalty</w:t>
      </w:r>
      <w:proofErr w:type="spellEnd"/>
      <w:r w:rsidRPr="00E02DE8">
        <w:rPr>
          <w:rFonts w:ascii="Verdana" w:hAnsi="Verdana"/>
          <w:color w:val="000000"/>
          <w:sz w:val="22"/>
          <w:szCs w:val="22"/>
          <w:lang w:val="nl-NL"/>
        </w:rPr>
        <w:t xml:space="preserve"> is op van allerlei soorten organisaties toegepast: staten, zorgsector, bedrijven, en ook op huwelijks- en vriendschapsrelaties </w:t>
      </w:r>
    </w:p>
    <w:p w:rsidRPr="00E02DE8" w:rsidR="00896445" w:rsidP="00B56972" w:rsidRDefault="0089644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 w:rsidRPr="00E02DE8">
        <w:rPr>
          <w:rFonts w:ascii="Verdana" w:hAnsi="Verdana"/>
          <w:color w:val="000000"/>
          <w:sz w:val="22"/>
          <w:szCs w:val="22"/>
          <w:lang w:val="nl-NL"/>
        </w:rPr>
        <w:t>het mechanisme is echter ook goed toe te passen op de EU</w:t>
      </w:r>
    </w:p>
    <w:p w:rsidR="00896445" w:rsidP="00896445" w:rsidRDefault="0089644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er is immers een hoop onvrede over wat de EU levert, of beter gezegd niet levert. </w:t>
      </w:r>
    </w:p>
    <w:p w:rsidR="00896445" w:rsidP="00896445" w:rsidRDefault="0089644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De vraag is nu hoe die onvrede zich vertaald. In een exit à la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Brexit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of niet?</w:t>
      </w:r>
    </w:p>
    <w:p w:rsidR="00896445" w:rsidP="00896445" w:rsidRDefault="008964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896445" w:rsidP="00B0016E" w:rsidRDefault="00B0016E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in het geval van het Verenigd Koninkrijk was dat als volgt:</w:t>
      </w:r>
    </w:p>
    <w:p w:rsidR="00B0016E" w:rsidP="00B0016E" w:rsidRDefault="00B0016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relatief veel beschouwen de EU als een ‘bad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thing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>’</w:t>
      </w:r>
    </w:p>
    <w:p w:rsidR="00B0016E" w:rsidP="00B0016E" w:rsidRDefault="00B0016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de loyaliteit aan de EU was en is laag</w:t>
      </w:r>
    </w:p>
    <w:p w:rsidR="00B0016E" w:rsidP="00B0016E" w:rsidRDefault="00B0016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het geloof in effectieve invloed –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– voor hun land in de EU is ook relatief laag</w:t>
      </w:r>
    </w:p>
    <w:p w:rsidR="00B0016E" w:rsidP="00B0016E" w:rsidRDefault="00B0016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en de kosten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>van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r w:rsidR="00151F41">
        <w:rPr>
          <w:rFonts w:ascii="Verdana" w:hAnsi="Verdana"/>
          <w:color w:val="000000"/>
          <w:sz w:val="22"/>
          <w:szCs w:val="22"/>
          <w:lang w:val="nl-NL"/>
        </w:rPr>
        <w:t xml:space="preserve">volledige uittreding uit de EU – een volledige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exit </w:t>
      </w:r>
      <w:r w:rsidR="00151F41">
        <w:rPr>
          <w:rFonts w:ascii="Verdana" w:hAnsi="Verdana"/>
          <w:color w:val="000000"/>
          <w:sz w:val="22"/>
          <w:szCs w:val="22"/>
          <w:lang w:val="nl-NL"/>
        </w:rPr>
        <w:t xml:space="preserve">–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werden </w:t>
      </w:r>
      <w:r w:rsidR="00151F41">
        <w:rPr>
          <w:rFonts w:ascii="Verdana" w:hAnsi="Verdana"/>
          <w:color w:val="000000"/>
          <w:sz w:val="22"/>
          <w:szCs w:val="22"/>
          <w:lang w:val="nl-NL"/>
        </w:rPr>
        <w:t>redelijk laag ingeschat</w:t>
      </w:r>
    </w:p>
    <w:p w:rsidR="00151F41" w:rsidP="00151F41" w:rsidRDefault="00E02DE8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Al in 2013 gaven veel Britten aan dat volledige uittrekking </w:t>
      </w:r>
      <w:r w:rsidR="00151F41">
        <w:rPr>
          <w:rFonts w:ascii="Verdana" w:hAnsi="Verdana"/>
          <w:color w:val="000000"/>
          <w:sz w:val="22"/>
          <w:szCs w:val="22"/>
          <w:lang w:val="nl-NL"/>
        </w:rPr>
        <w:t xml:space="preserve">relatief weinig </w:t>
      </w:r>
      <w:r>
        <w:rPr>
          <w:rFonts w:ascii="Verdana" w:hAnsi="Verdana"/>
          <w:color w:val="000000"/>
          <w:sz w:val="22"/>
          <w:szCs w:val="22"/>
          <w:lang w:val="nl-NL"/>
        </w:rPr>
        <w:t>zou kosten, terwijl dat wel baten zou opleveren, zoals</w:t>
      </w:r>
      <w:r w:rsidR="00151F41">
        <w:rPr>
          <w:rFonts w:ascii="Verdana" w:hAnsi="Verdana"/>
          <w:color w:val="000000"/>
          <w:sz w:val="22"/>
          <w:szCs w:val="22"/>
          <w:lang w:val="nl-NL"/>
        </w:rPr>
        <w:t xml:space="preserve"> minder migranten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en minder juridische bemoeienis vanaf het continent</w:t>
      </w:r>
    </w:p>
    <w:p w:rsidR="00E02DE8" w:rsidP="00E02DE8" w:rsidRDefault="00E02DE8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Bovendien achten zij dat het VK wel zelfstandig kon voortleven, als relatief grote economie, met een eigen zetel in de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de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VN-veiligheidsraad, banden met de VS, etc.</w:t>
      </w:r>
    </w:p>
    <w:p w:rsidR="00151F41" w:rsidP="00E02DE8" w:rsidRDefault="00E02DE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1800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</w:p>
    <w:p w:rsidR="00151F41" w:rsidP="004E1C9B" w:rsidRDefault="004E1C9B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elders in de EU ligt dat anders, </w:t>
      </w:r>
      <w:r w:rsidR="00393FFA">
        <w:rPr>
          <w:rFonts w:ascii="Verdana" w:hAnsi="Verdana"/>
          <w:color w:val="000000"/>
          <w:sz w:val="22"/>
          <w:szCs w:val="22"/>
          <w:lang w:val="nl-NL"/>
        </w:rPr>
        <w:t>behalve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dan bij het kapitaal en grote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MNCs</w:t>
      </w:r>
      <w:proofErr w:type="spellEnd"/>
    </w:p>
    <w:p w:rsidR="004E1C9B" w:rsidP="004E1C9B" w:rsidRDefault="004E1C9B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die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>kunnen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relatief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makkelijk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weg – met andere woorden, de exit-optie gebruiken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-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als er elders betere investeringsmogelijkheden zijn; </w:t>
      </w:r>
    </w:p>
    <w:p w:rsidR="004E1C9B" w:rsidP="004E1C9B" w:rsidRDefault="004E1C9B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in die zin wordt het lot van de EU mede bepaald of er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elders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betere investeringsmogelijkheden zijn</w:t>
      </w:r>
    </w:p>
    <w:p w:rsidR="004E1C9B" w:rsidP="004E1C9B" w:rsidRDefault="004E1C9B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overigens biedt de dreiging met exit-opties door grote bedrijven </w:t>
      </w:r>
      <w:r>
        <w:rPr>
          <w:rFonts w:ascii="Verdana" w:hAnsi="Verdana"/>
          <w:color w:val="000000"/>
          <w:sz w:val="22"/>
          <w:szCs w:val="22"/>
          <w:lang w:val="nl-NL"/>
        </w:rPr>
        <w:lastRenderedPageBreak/>
        <w:t xml:space="preserve">ook weer voordelen: het kan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hen </w:t>
      </w:r>
      <w:r>
        <w:rPr>
          <w:rFonts w:ascii="Verdana" w:hAnsi="Verdana"/>
          <w:color w:val="000000"/>
          <w:sz w:val="22"/>
          <w:szCs w:val="22"/>
          <w:lang w:val="nl-NL"/>
        </w:rPr>
        <w:t>een effectievere stem geven, waardoor overheden toegeven aan hun redenen van ontevredenheid, bijv. t.a.v. arbeidsrecht of belastingen</w:t>
      </w:r>
    </w:p>
    <w:p w:rsidR="004E1C9B" w:rsidP="004E1C9B" w:rsidRDefault="004E1C9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4E1C9B" w:rsidP="00393FFA" w:rsidRDefault="00393FFA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maar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elders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in de EU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dus, levert het mechanisme van </w:t>
      </w:r>
      <w:r w:rsidRPr="00393FFA">
        <w:rPr>
          <w:rFonts w:ascii="Verdana" w:hAnsi="Verdana"/>
          <w:i/>
          <w:color w:val="000000"/>
          <w:sz w:val="22"/>
          <w:szCs w:val="22"/>
          <w:lang w:val="nl-NL"/>
        </w:rPr>
        <w:t>exit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, </w:t>
      </w:r>
      <w:proofErr w:type="spellStart"/>
      <w:r w:rsidRPr="00393FFA">
        <w:rPr>
          <w:rFonts w:ascii="Verdana" w:hAnsi="Verdana"/>
          <w:i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en </w:t>
      </w:r>
      <w:proofErr w:type="spellStart"/>
      <w:r w:rsidRPr="00393FFA">
        <w:rPr>
          <w:rFonts w:ascii="Verdana" w:hAnsi="Verdana"/>
          <w:i/>
          <w:color w:val="000000"/>
          <w:sz w:val="22"/>
          <w:szCs w:val="22"/>
          <w:lang w:val="nl-NL"/>
        </w:rPr>
        <w:t>loyalty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een ander resultaat op dan volledige terugtrekking/uittreding uit de EU</w:t>
      </w:r>
    </w:p>
    <w:p w:rsidR="00393FFA" w:rsidP="00393FFA" w:rsidRDefault="00393FFA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dat is niet omdat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elders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de onvrede over de EU per se veel minder is dan in het VK</w:t>
      </w:r>
    </w:p>
    <w:p w:rsidR="00393FFA" w:rsidP="00393FFA" w:rsidRDefault="00393FFA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denk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maar </w:t>
      </w:r>
      <w:r>
        <w:rPr>
          <w:rFonts w:ascii="Verdana" w:hAnsi="Verdana"/>
          <w:color w:val="000000"/>
          <w:sz w:val="22"/>
          <w:szCs w:val="22"/>
          <w:lang w:val="nl-NL"/>
        </w:rPr>
        <w:t>aan Italië, Cyprus, Griekenland en Oostenrijk</w:t>
      </w:r>
    </w:p>
    <w:p w:rsidR="00393FFA" w:rsidP="00393FFA" w:rsidRDefault="00393FFA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dat is niet omdat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elders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de inschatting van een invloedrijke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voor hun land zoveel hoger is dan in het VK</w:t>
      </w:r>
    </w:p>
    <w:p w:rsidR="00393FFA" w:rsidP="00FE4E38" w:rsidRDefault="00FE4E38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sterker nog: in veel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>Oost-Europese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en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>Zuid-Europese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landen lager</w:t>
      </w:r>
    </w:p>
    <w:p w:rsidR="00A12E15" w:rsidP="00FE4E38" w:rsidRDefault="00E02DE8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dat is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>ook niet vreemd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, omdat vaak de perceptie is van een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>democratisch deficit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in de EU, of van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>opgelegde bezuinigingen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of afgedwongen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 xml:space="preserve"> vreemdelingenquota</w:t>
      </w:r>
    </w:p>
    <w:p w:rsidR="00FE4E38" w:rsidP="00FE4E38" w:rsidRDefault="00FE4E38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dat is niet omdat de Europese loyaliteit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elders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nu zoveel sterker is dan in het VK</w:t>
      </w:r>
    </w:p>
    <w:p w:rsidRPr="00393FFA" w:rsidR="00FE4E38" w:rsidP="00FE4E38" w:rsidRDefault="00FE4E38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dat is in Tsjechië, Cyprus en Griekenland lager dan in het VK</w:t>
      </w:r>
    </w:p>
    <w:p w:rsidR="00896445" w:rsidP="00896445" w:rsidRDefault="0089644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896445" w:rsidP="00A12E15" w:rsidRDefault="00A12E1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het verschil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zit’m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in het perspectief op de relatieve voor- en nadelen van EU-lidmaatschap en daarbuiten</w:t>
      </w:r>
    </w:p>
    <w:p w:rsidR="00A12E15" w:rsidP="00A12E15" w:rsidRDefault="00A12E1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kosten om uit de interne markt en Euro te gaan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 zijn hoger. De economische en geopolitieke afhankelijkheden op het continent zijn groter, terwijl de mogelijkheid tot zelfstandig overleven lager wordt ingeschat; of dat nu gaat om een land dat zichzelf in verval ziet (het </w:t>
      </w:r>
      <w:proofErr w:type="spellStart"/>
      <w:r w:rsidR="00E02DE8">
        <w:rPr>
          <w:rFonts w:ascii="Verdana" w:hAnsi="Verdana"/>
          <w:color w:val="000000"/>
          <w:sz w:val="22"/>
          <w:szCs w:val="22"/>
          <w:lang w:val="nl-NL"/>
        </w:rPr>
        <w:t>declinisme</w:t>
      </w:r>
      <w:proofErr w:type="spellEnd"/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 in Frankrijk) of als een klein land ziet (Nederland);</w:t>
      </w:r>
    </w:p>
    <w:p w:rsidR="00A12E15" w:rsidP="00A12E15" w:rsidRDefault="00A12E1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ook al wordt door bepaalde regeringen, partijen en kiezers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 het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EU-lidmaatschap als beroerd ervaren, het alternatief: nationale zelfstandigheid al dan niet in combinatie met andere internationale samenwerkingsverbanden, levert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nog </w:t>
      </w:r>
      <w:r>
        <w:rPr>
          <w:rFonts w:ascii="Verdana" w:hAnsi="Verdana"/>
          <w:color w:val="000000"/>
          <w:sz w:val="22"/>
          <w:szCs w:val="22"/>
          <w:lang w:val="nl-NL"/>
        </w:rPr>
        <w:t>minder op.</w:t>
      </w:r>
    </w:p>
    <w:p w:rsidR="00A12E15" w:rsidP="00A12E15" w:rsidRDefault="00A12E1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En dan blijven lidstaten toch maar in meerderheid voor blijven</w:t>
      </w:r>
    </w:p>
    <w:p w:rsidR="00A12E15" w:rsidP="00A12E15" w:rsidRDefault="00A12E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A12E15" w:rsidP="00A12E15" w:rsidRDefault="00A12E1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dat betekent niet dat de onvrede weg is – dus wat dan?</w:t>
      </w:r>
    </w:p>
    <w:p w:rsidR="00A12E15" w:rsidP="00A12E15" w:rsidRDefault="00A12E1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 xml:space="preserve">deels 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zal </w:t>
      </w:r>
      <w:r w:rsidRPr="00A12E15">
        <w:rPr>
          <w:rFonts w:ascii="Verdana" w:hAnsi="Verdana"/>
          <w:color w:val="000000"/>
          <w:sz w:val="22"/>
          <w:szCs w:val="22"/>
          <w:u w:val="single"/>
          <w:lang w:val="nl-NL"/>
        </w:rPr>
        <w:t>apathie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 xml:space="preserve"> het resultaat zijn: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er is onvrede, maar er is geen uitweg, noch binnen de EU, noch buiten de EU</w:t>
      </w:r>
      <w:r w:rsidR="00E02DE8">
        <w:rPr>
          <w:rFonts w:ascii="Verdana" w:hAnsi="Verdana"/>
          <w:color w:val="000000"/>
          <w:sz w:val="22"/>
          <w:szCs w:val="22"/>
          <w:lang w:val="nl-NL"/>
        </w:rPr>
        <w:t>; en dan doen mensen het zwijgen er toe – een vorm van interne terugtrekking</w:t>
      </w:r>
      <w:proofErr w:type="gramEnd"/>
    </w:p>
    <w:p w:rsidR="00A12E15" w:rsidP="00A12E15" w:rsidRDefault="00E02DE8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Daarnaast zijn er vormen van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 xml:space="preserve">gedeeltelijke uittreding </w:t>
      </w:r>
      <w:r w:rsidR="001C3317">
        <w:rPr>
          <w:rFonts w:ascii="Verdana" w:hAnsi="Verdana"/>
          <w:color w:val="000000"/>
          <w:sz w:val="22"/>
          <w:szCs w:val="22"/>
          <w:lang w:val="nl-NL"/>
        </w:rPr>
        <w:t>binnen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t xml:space="preserve"> de </w:t>
      </w:r>
      <w:r w:rsidR="00A12E15">
        <w:rPr>
          <w:rFonts w:ascii="Verdana" w:hAnsi="Verdana"/>
          <w:color w:val="000000"/>
          <w:sz w:val="22"/>
          <w:szCs w:val="22"/>
          <w:lang w:val="nl-NL"/>
        </w:rPr>
        <w:lastRenderedPageBreak/>
        <w:t>EU</w:t>
      </w:r>
      <w:r w:rsidR="001C3317">
        <w:rPr>
          <w:rFonts w:ascii="Verdana" w:hAnsi="Verdana"/>
          <w:color w:val="000000"/>
          <w:sz w:val="22"/>
          <w:szCs w:val="22"/>
          <w:lang w:val="nl-NL"/>
        </w:rPr>
        <w:t xml:space="preserve"> te zien, zoals:</w:t>
      </w:r>
    </w:p>
    <w:p w:rsidR="00C60C35" w:rsidP="00C60C35" w:rsidRDefault="00C60C35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minder naleving van EU-regels</w:t>
      </w:r>
      <w:r w:rsidR="001C3317">
        <w:rPr>
          <w:rFonts w:ascii="Verdana" w:hAnsi="Verdana"/>
          <w:color w:val="000000"/>
          <w:sz w:val="22"/>
          <w:szCs w:val="22"/>
          <w:lang w:val="nl-NL"/>
        </w:rPr>
        <w:t>, zoals het hernieuwd opzetten van binnengrenscontrole in het Schengengebied</w:t>
      </w:r>
    </w:p>
    <w:p w:rsidR="001C3317" w:rsidP="00C60C35" w:rsidRDefault="001C3317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bevoegdheden uit de EU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terugclaimen</w:t>
      </w:r>
      <w:proofErr w:type="spellEnd"/>
    </w:p>
    <w:p w:rsidR="00A12E15" w:rsidP="001C3317" w:rsidRDefault="00A12E15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minder budget willen afdragen</w:t>
      </w:r>
    </w:p>
    <w:p w:rsidR="00C60C35" w:rsidP="00C60C35" w:rsidRDefault="00C60C35">
      <w:pPr>
        <w:pStyle w:val="ListParagraph"/>
        <w:widowControl w:val="0"/>
        <w:numPr>
          <w:ilvl w:val="3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proofErr w:type="gramStart"/>
      <w:r w:rsidRPr="00C60C35">
        <w:rPr>
          <w:rFonts w:ascii="Verdana" w:hAnsi="Verdana"/>
          <w:color w:val="000000"/>
          <w:sz w:val="22"/>
          <w:szCs w:val="22"/>
          <w:lang w:val="nl-NL"/>
        </w:rPr>
        <w:t xml:space="preserve">of op andere manieren </w:t>
      </w:r>
      <w:r w:rsidR="001C3317">
        <w:rPr>
          <w:rFonts w:ascii="Verdana" w:hAnsi="Verdana"/>
          <w:color w:val="000000"/>
          <w:sz w:val="22"/>
          <w:szCs w:val="22"/>
          <w:lang w:val="nl-NL"/>
        </w:rPr>
        <w:t xml:space="preserve">de </w:t>
      </w:r>
      <w:r w:rsidRPr="00C60C35">
        <w:rPr>
          <w:rFonts w:ascii="Verdana" w:hAnsi="Verdana"/>
          <w:color w:val="000000"/>
          <w:sz w:val="22"/>
          <w:szCs w:val="22"/>
          <w:lang w:val="nl-NL"/>
        </w:rPr>
        <w:t>kosten EU-lidmaatschap te drukken: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zo min mogelijk willen delen met armere lidstaten; geen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Oekraïnes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dichterbij; geen nieuwe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Griekenlanden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– liefst eerder eruit</w:t>
      </w:r>
      <w:r w:rsidR="001C3317">
        <w:rPr>
          <w:rFonts w:ascii="Verdana" w:hAnsi="Verdana"/>
          <w:color w:val="000000"/>
          <w:sz w:val="22"/>
          <w:szCs w:val="22"/>
          <w:lang w:val="nl-NL"/>
        </w:rPr>
        <w:t>, zoals Nederlandse regering wel bepleit heeft</w:t>
      </w:r>
      <w:proofErr w:type="gramEnd"/>
    </w:p>
    <w:p w:rsidR="00C60C35" w:rsidP="00C60C35" w:rsidRDefault="00C60C3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en daarmee zijn we bij </w:t>
      </w:r>
      <w:r w:rsidRPr="00C60C35">
        <w:rPr>
          <w:rFonts w:ascii="Verdana" w:hAnsi="Verdana"/>
          <w:color w:val="000000"/>
          <w:sz w:val="22"/>
          <w:szCs w:val="22"/>
          <w:u w:val="single"/>
          <w:lang w:val="nl-NL"/>
        </w:rPr>
        <w:t>Nederland</w:t>
      </w:r>
      <w:r>
        <w:rPr>
          <w:rFonts w:ascii="Verdana" w:hAnsi="Verdana"/>
          <w:color w:val="000000"/>
          <w:sz w:val="22"/>
          <w:szCs w:val="22"/>
          <w:lang w:val="nl-NL"/>
        </w:rPr>
        <w:t>: een rijk land, met enige onvrede over de EU, die de kosten zo wil drukken</w:t>
      </w:r>
    </w:p>
    <w:p w:rsidR="00C60C35" w:rsidP="00C60C35" w:rsidRDefault="00C60C3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of die onvrede veel uithaalt, is maar de vraag. Europese integratie kan gewoon worden verder gezet, omdat Nederland wel zal volgen, want buiten de EU is toch nog beroerder. </w:t>
      </w:r>
    </w:p>
    <w:p w:rsidRPr="00C60C35" w:rsidR="00C60C35" w:rsidP="00C60C35" w:rsidRDefault="00C60C3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het is in de geschiedenis vaker vertoond: Europese integratie ging verder met Nederlandse steun, niet uit enthousiasme, maar “bij gebrek aan beter”</w:t>
      </w:r>
    </w:p>
    <w:p w:rsidR="00A12E15" w:rsidP="00896445" w:rsidRDefault="00A12E1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A12E15" w:rsidP="001467A3" w:rsidRDefault="001467A3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en de EU zelf dan?</w:t>
      </w:r>
    </w:p>
    <w:p w:rsidR="001467A3" w:rsidP="001467A3" w:rsidRDefault="001467A3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behoudens VK, de dreiging van volledige uittreding beperkt</w:t>
      </w:r>
    </w:p>
    <w:p w:rsidRPr="001467A3" w:rsidR="001467A3" w:rsidP="001467A3" w:rsidRDefault="001C331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niettemin is het in </w:t>
      </w:r>
      <w:r w:rsidR="001467A3">
        <w:rPr>
          <w:rFonts w:ascii="Verdana" w:hAnsi="Verdana"/>
          <w:color w:val="000000"/>
          <w:sz w:val="22"/>
          <w:szCs w:val="22"/>
          <w:lang w:val="nl-NL"/>
        </w:rPr>
        <w:t>de EU lastig om ieder</w:t>
      </w:r>
      <w:r>
        <w:rPr>
          <w:rFonts w:ascii="Verdana" w:hAnsi="Verdana"/>
          <w:color w:val="000000"/>
          <w:sz w:val="22"/>
          <w:szCs w:val="22"/>
          <w:lang w:val="nl-NL"/>
        </w:rPr>
        <w:t>een effectievere stem te geven</w:t>
      </w:r>
    </w:p>
    <w:p w:rsidR="00B31143" w:rsidP="00BD12AC" w:rsidRDefault="001467A3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proofErr w:type="gramStart"/>
      <w:r w:rsidRPr="001C3317">
        <w:rPr>
          <w:rFonts w:ascii="Verdana" w:hAnsi="Verdana"/>
          <w:color w:val="000000"/>
          <w:sz w:val="22"/>
          <w:szCs w:val="22"/>
          <w:lang w:val="nl-NL"/>
        </w:rPr>
        <w:t xml:space="preserve">ga maar na: als iedereen meer een stem krijgt in Europese besluitvorming, dan wordt het alleen maar onduidelijker </w:t>
      </w:r>
      <w:r w:rsidRPr="001C3317" w:rsidR="001C3317">
        <w:rPr>
          <w:rFonts w:ascii="Verdana" w:hAnsi="Verdana"/>
          <w:color w:val="000000"/>
          <w:sz w:val="22"/>
          <w:szCs w:val="22"/>
          <w:lang w:val="nl-NL"/>
        </w:rPr>
        <w:t>wie waar</w:t>
      </w:r>
      <w:r w:rsidRPr="001C3317">
        <w:rPr>
          <w:rFonts w:ascii="Verdana" w:hAnsi="Verdana"/>
          <w:color w:val="000000"/>
          <w:sz w:val="22"/>
          <w:szCs w:val="22"/>
          <w:lang w:val="nl-NL"/>
        </w:rPr>
        <w:t xml:space="preserve"> no</w:t>
      </w:r>
      <w:r w:rsidRPr="001C3317" w:rsidR="001C3317">
        <w:rPr>
          <w:rFonts w:ascii="Verdana" w:hAnsi="Verdana"/>
          <w:color w:val="000000"/>
          <w:sz w:val="22"/>
          <w:szCs w:val="22"/>
          <w:lang w:val="nl-NL"/>
        </w:rPr>
        <w:t xml:space="preserve">g enige invloed uitoefent; </w:t>
      </w:r>
      <w:r w:rsidRPr="001C3317" w:rsidR="00B31143">
        <w:rPr>
          <w:rFonts w:ascii="Verdana" w:hAnsi="Verdana"/>
          <w:color w:val="000000"/>
          <w:sz w:val="22"/>
          <w:szCs w:val="22"/>
          <w:lang w:val="nl-NL"/>
        </w:rPr>
        <w:t>Democratisering zou dus eerder geloof in democratische invloed nog verder kunnen ondermijnen</w:t>
      </w:r>
      <w:proofErr w:type="gramEnd"/>
    </w:p>
    <w:p w:rsidRPr="001C3317" w:rsidR="001C3317" w:rsidP="00BD12AC" w:rsidRDefault="001C3317">
      <w:pPr>
        <w:pStyle w:val="ListParagraph"/>
        <w:widowControl w:val="0"/>
        <w:numPr>
          <w:ilvl w:val="2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bovendien zijn veel wensen tegengesteld, of het nu om migratie of de eurozone gaat. Dan is het lastig om iedereen een effectieve </w:t>
      </w:r>
      <w:proofErr w:type="spellStart"/>
      <w:r w:rsidRPr="001C3317">
        <w:rPr>
          <w:rFonts w:ascii="Verdana" w:hAnsi="Verdana"/>
          <w:i/>
          <w:color w:val="000000"/>
          <w:sz w:val="22"/>
          <w:szCs w:val="22"/>
          <w:lang w:val="nl-NL"/>
        </w:rPr>
        <w:t>voice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te geven</w:t>
      </w:r>
    </w:p>
    <w:p w:rsidR="001C3317" w:rsidP="001C3317" w:rsidRDefault="001C331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Daarnaast</w:t>
      </w:r>
      <w:r w:rsidRPr="001467A3">
        <w:rPr>
          <w:rFonts w:ascii="Verdana" w:hAnsi="Verdana"/>
          <w:color w:val="000000"/>
          <w:sz w:val="22"/>
          <w:szCs w:val="22"/>
          <w:lang w:val="nl-NL"/>
        </w:rPr>
        <w:t xml:space="preserve"> staat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de Europese commissie </w:t>
      </w:r>
      <w:r w:rsidRPr="001467A3">
        <w:rPr>
          <w:rFonts w:ascii="Verdana" w:hAnsi="Verdana"/>
          <w:color w:val="000000"/>
          <w:sz w:val="22"/>
          <w:szCs w:val="22"/>
          <w:lang w:val="nl-NL"/>
        </w:rPr>
        <w:t xml:space="preserve">onder druk door gedeeltelijke </w:t>
      </w:r>
      <w:proofErr w:type="spellStart"/>
      <w:r w:rsidRPr="00A035B8">
        <w:rPr>
          <w:rFonts w:ascii="Verdana" w:hAnsi="Verdana"/>
          <w:i/>
          <w:color w:val="000000"/>
          <w:sz w:val="22"/>
          <w:szCs w:val="22"/>
          <w:lang w:val="nl-NL"/>
        </w:rPr>
        <w:t>exits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>, juist ook door de rijkere lidstaten in het noordwesten:</w:t>
      </w:r>
      <w:r w:rsidRPr="001467A3">
        <w:rPr>
          <w:rFonts w:ascii="Verdana" w:hAnsi="Verdana"/>
          <w:color w:val="000000"/>
          <w:sz w:val="22"/>
          <w:szCs w:val="22"/>
          <w:lang w:val="nl-NL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dat beperkt </w:t>
      </w:r>
      <w:r>
        <w:rPr>
          <w:rFonts w:ascii="Verdana" w:hAnsi="Verdana"/>
          <w:color w:val="000000"/>
          <w:sz w:val="22"/>
          <w:szCs w:val="22"/>
          <w:lang w:val="nl-NL"/>
        </w:rPr>
        <w:t>de mogelijkheden de nalevingscapaciteit te versterken. Bovendien beperkt dat d</w:t>
      </w:r>
      <w:r>
        <w:rPr>
          <w:rFonts w:ascii="Verdana" w:hAnsi="Verdana"/>
          <w:color w:val="000000"/>
          <w:sz w:val="22"/>
          <w:szCs w:val="22"/>
          <w:lang w:val="nl-NL"/>
        </w:rPr>
        <w:t>e financiële, politieke en juridische armslag om loyaliteit te versterken via onderwijs, media en welvaartsverdeling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 – wat een belangrijk instrument is geweest voor een groter gevoel van verbondenheid in eerdere stelsels bestaande uit verschillende lidstaten</w:t>
      </w:r>
    </w:p>
    <w:p w:rsidR="00C60C35" w:rsidP="00896445" w:rsidRDefault="00C60C3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1C3317" w:rsidP="001C3317" w:rsidRDefault="001C331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Niettemin zijn er op het vlak van meer solidariteit wel enige </w:t>
      </w:r>
      <w:r>
        <w:rPr>
          <w:rFonts w:ascii="Verdana" w:hAnsi="Verdana"/>
          <w:color w:val="000000"/>
          <w:sz w:val="22"/>
          <w:szCs w:val="22"/>
          <w:lang w:val="nl-NL"/>
        </w:rPr>
        <w:lastRenderedPageBreak/>
        <w:t>mogelijkheden</w:t>
      </w:r>
    </w:p>
    <w:p w:rsidR="001C3317" w:rsidP="001C3317" w:rsidRDefault="001C331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Onderzoek tijdens de </w:t>
      </w:r>
      <w:r w:rsidR="00493095">
        <w:rPr>
          <w:rFonts w:ascii="Verdana" w:hAnsi="Verdana"/>
          <w:color w:val="000000"/>
          <w:sz w:val="22"/>
          <w:szCs w:val="22"/>
          <w:lang w:val="nl-NL"/>
        </w:rPr>
        <w:t>Euro-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crisis wees uit dat heel wat mensen in Polen, Duitsland en Spanje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op grond van </w:t>
      </w:r>
      <w:proofErr w:type="spellStart"/>
      <w:r>
        <w:rPr>
          <w:rFonts w:ascii="Verdana" w:hAnsi="Verdana"/>
          <w:color w:val="000000"/>
          <w:sz w:val="22"/>
          <w:szCs w:val="22"/>
          <w:lang w:val="nl-NL"/>
        </w:rPr>
        <w:t>cosmopolitische</w:t>
      </w:r>
      <w:proofErr w:type="spellEnd"/>
      <w:r>
        <w:rPr>
          <w:rFonts w:ascii="Verdana" w:hAnsi="Verdana"/>
          <w:color w:val="000000"/>
          <w:sz w:val="22"/>
          <w:szCs w:val="22"/>
          <w:lang w:val="nl-NL"/>
        </w:rPr>
        <w:t xml:space="preserve"> waarden bereid zijn </w:t>
      </w:r>
      <w:r>
        <w:rPr>
          <w:rFonts w:ascii="Verdana" w:hAnsi="Verdana"/>
          <w:color w:val="000000"/>
          <w:sz w:val="22"/>
          <w:szCs w:val="22"/>
          <w:lang w:val="nl-NL"/>
        </w:rPr>
        <w:t>tot internationale herverdeling; dus delen met mensen buiten hun nationale gemeenschap, want veelal als de belangrijkste herverdelingsgemeenschap wordt beschouwd</w:t>
      </w:r>
    </w:p>
    <w:p w:rsidR="001C3317" w:rsidP="001C3317" w:rsidRDefault="001C331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Bovendien vindt herverdeling/solidariteit niet alleen plaats op grond van waarden of andere politiek-culturele vormen van verbondenheid</w:t>
      </w:r>
    </w:p>
    <w:p w:rsidR="001C3317" w:rsidP="001C3317" w:rsidRDefault="001C331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Als rijken last krijgen van de armen, of zelf ook arm zouden kunnen worden, </w:t>
      </w:r>
      <w:r w:rsidR="00493095">
        <w:rPr>
          <w:rFonts w:ascii="Verdana" w:hAnsi="Verdana"/>
          <w:color w:val="000000"/>
          <w:sz w:val="22"/>
          <w:szCs w:val="22"/>
          <w:lang w:val="nl-NL"/>
        </w:rPr>
        <w:t>dan zijn ze geneigd om ook tot herverdeling over te gaan</w:t>
      </w:r>
    </w:p>
    <w:p w:rsidR="00493095" w:rsidP="001C3317" w:rsidRDefault="0049309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Bij de Euro-crisis zag je dat ook gebeuren: zonder steun aan armere Eurolanden, zouden de rijkere Eurolanden teveel nadeel hebben ondervonden</w:t>
      </w:r>
    </w:p>
    <w:p w:rsidR="00493095" w:rsidP="001C3317" w:rsidRDefault="0049309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In toekomstige crisissituaties zou dat ook weer kunnen gebeuren</w:t>
      </w:r>
    </w:p>
    <w:p w:rsidR="00493095" w:rsidP="001C3317" w:rsidRDefault="0049309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 xml:space="preserve">Hoe imperfect een muntunie dus ook kan zijn, het betekent niet </w:t>
      </w:r>
      <w:proofErr w:type="gramStart"/>
      <w:r>
        <w:rPr>
          <w:rFonts w:ascii="Verdana" w:hAnsi="Verdana"/>
          <w:color w:val="000000"/>
          <w:sz w:val="22"/>
          <w:szCs w:val="22"/>
          <w:lang w:val="nl-NL"/>
        </w:rPr>
        <w:t>per se</w:t>
      </w:r>
      <w:proofErr w:type="gramEnd"/>
      <w:r>
        <w:rPr>
          <w:rFonts w:ascii="Verdana" w:hAnsi="Verdana"/>
          <w:color w:val="000000"/>
          <w:sz w:val="22"/>
          <w:szCs w:val="22"/>
          <w:lang w:val="nl-NL"/>
        </w:rPr>
        <w:t xml:space="preserve"> dat die uit elkaar valt; hoezeer politiek-culturele verbondenheid ook zou kunnen helpen om meer solidariteit te tonen bij asymmetrische schokken</w:t>
      </w:r>
    </w:p>
    <w:p w:rsidR="00493095" w:rsidP="00493095" w:rsidRDefault="0049309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B31143" w:rsidP="00493095" w:rsidRDefault="0049309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 w:rsidRPr="00493095">
        <w:rPr>
          <w:rFonts w:ascii="Verdana" w:hAnsi="Verdana"/>
          <w:color w:val="000000"/>
          <w:sz w:val="22"/>
          <w:szCs w:val="22"/>
          <w:lang w:val="nl-NL"/>
        </w:rPr>
        <w:t xml:space="preserve">En daar wordt de EU op een andere manier ook nog bij geholpen: 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ze kan voortgaan met Europese integratie omdat het voorlopig </w:t>
      </w:r>
      <w:r w:rsidR="00B31143">
        <w:rPr>
          <w:rFonts w:ascii="Verdana" w:hAnsi="Verdana"/>
          <w:color w:val="000000"/>
          <w:sz w:val="22"/>
          <w:szCs w:val="22"/>
          <w:lang w:val="nl-NL"/>
        </w:rPr>
        <w:t>veel lidsta</w:t>
      </w:r>
      <w:r>
        <w:rPr>
          <w:rFonts w:ascii="Verdana" w:hAnsi="Verdana"/>
          <w:color w:val="000000"/>
          <w:sz w:val="22"/>
          <w:szCs w:val="22"/>
          <w:lang w:val="nl-NL"/>
        </w:rPr>
        <w:t xml:space="preserve">ten een leven buiten de EU als </w:t>
      </w:r>
      <w:r w:rsidR="00B31143">
        <w:rPr>
          <w:rFonts w:ascii="Verdana" w:hAnsi="Verdana"/>
          <w:color w:val="000000"/>
          <w:sz w:val="22"/>
          <w:szCs w:val="22"/>
          <w:lang w:val="nl-NL"/>
        </w:rPr>
        <w:t xml:space="preserve">nog beroerder </w:t>
      </w:r>
      <w:r>
        <w:rPr>
          <w:rFonts w:ascii="Verdana" w:hAnsi="Verdana"/>
          <w:color w:val="000000"/>
          <w:sz w:val="22"/>
          <w:szCs w:val="22"/>
          <w:lang w:val="nl-NL"/>
        </w:rPr>
        <w:t>beschouwen</w:t>
      </w:r>
    </w:p>
    <w:p w:rsidR="00493095" w:rsidP="00493095" w:rsidRDefault="00493095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  <w:r>
        <w:rPr>
          <w:rFonts w:ascii="Verdana" w:hAnsi="Verdana"/>
          <w:color w:val="000000"/>
          <w:sz w:val="22"/>
          <w:szCs w:val="22"/>
          <w:lang w:val="nl-NL"/>
        </w:rPr>
        <w:t>Dat maakt voortgang van Europese integratie dus waarschijnlijk, zelfs op het vlak van herverdeling, ook al zijn er regeringen, partijen en kiezers</w:t>
      </w:r>
      <w:bookmarkStart w:name="_GoBack" w:id="0"/>
      <w:bookmarkEnd w:id="0"/>
      <w:r>
        <w:rPr>
          <w:rFonts w:ascii="Verdana" w:hAnsi="Verdana"/>
          <w:color w:val="000000"/>
          <w:sz w:val="22"/>
          <w:szCs w:val="22"/>
          <w:lang w:val="nl-NL"/>
        </w:rPr>
        <w:t xml:space="preserve"> die dat niet graag willen</w:t>
      </w:r>
    </w:p>
    <w:p w:rsidRPr="005077E2" w:rsidR="00A035B8" w:rsidP="00896445" w:rsidRDefault="00A035B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5077E2" w:rsidP="00B04D57" w:rsidRDefault="005077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nl-NL"/>
        </w:rPr>
      </w:pPr>
    </w:p>
    <w:p w:rsidR="00ED2A70" w:rsidP="00B04D57" w:rsidRDefault="002708D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i/>
          <w:sz w:val="22"/>
          <w:szCs w:val="22"/>
          <w:lang w:val="nl-NL"/>
        </w:rPr>
      </w:pPr>
      <w:r w:rsidRPr="002708D8">
        <w:rPr>
          <w:rFonts w:ascii="Verdana" w:hAnsi="Verdana"/>
          <w:i/>
          <w:sz w:val="22"/>
          <w:szCs w:val="22"/>
          <w:lang w:val="nl-NL"/>
        </w:rPr>
        <w:t>Over de auteur</w:t>
      </w:r>
    </w:p>
    <w:p w:rsidRPr="00C176A4" w:rsidR="00ED2A70" w:rsidP="00B04D57" w:rsidRDefault="00ED2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nl-NL"/>
        </w:rPr>
      </w:pPr>
      <w:r w:rsidRPr="00C176A4">
        <w:rPr>
          <w:rFonts w:ascii="Verdana" w:hAnsi="Verdana"/>
          <w:sz w:val="22"/>
          <w:szCs w:val="22"/>
          <w:lang w:val="nl-NL"/>
        </w:rPr>
        <w:t>Hans Vollaard is universitair docent Nederlandse en Europese politiek. Hij werkt in het Departement Bestuurs- en Organisatiewetenschap van de Universiteit Utrecht. Enkele publicaties over Europese integratie zijn:</w:t>
      </w:r>
    </w:p>
    <w:p w:rsidRPr="00C176A4" w:rsidR="00ED2A70" w:rsidP="00B04D57" w:rsidRDefault="00ED2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nl-NL"/>
        </w:rPr>
      </w:pPr>
    </w:p>
    <w:p w:rsidRPr="00C176A4" w:rsidR="00C176A4" w:rsidP="00C176A4" w:rsidRDefault="00C176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nl-NL"/>
        </w:rPr>
      </w:pPr>
      <w:r w:rsidRPr="00C176A4">
        <w:rPr>
          <w:rFonts w:ascii="Verdana" w:hAnsi="Verdana"/>
          <w:sz w:val="20"/>
          <w:szCs w:val="20"/>
          <w:lang w:val="en-US"/>
        </w:rPr>
        <w:t xml:space="preserve">Vollaard, H. (2018). </w:t>
      </w:r>
      <w:r w:rsidRPr="00C176A4" w:rsidR="00ED2A70">
        <w:rPr>
          <w:rFonts w:ascii="Verdana" w:hAnsi="Verdana"/>
          <w:i/>
          <w:sz w:val="20"/>
          <w:szCs w:val="20"/>
          <w:lang w:val="en-US"/>
        </w:rPr>
        <w:t>European disintegration: A search for explanations</w:t>
      </w:r>
      <w:r w:rsidRPr="00C176A4" w:rsidR="00ED2A70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Pr="00C176A4" w:rsidR="00ED2A70">
        <w:rPr>
          <w:rFonts w:ascii="Verdana" w:hAnsi="Verdana"/>
          <w:sz w:val="20"/>
          <w:szCs w:val="20"/>
          <w:lang w:val="nl-NL"/>
        </w:rPr>
        <w:t>Basingstoke</w:t>
      </w:r>
      <w:proofErr w:type="spellEnd"/>
      <w:r w:rsidRPr="00C176A4" w:rsidR="00ED2A70">
        <w:rPr>
          <w:rFonts w:ascii="Verdana" w:hAnsi="Verdana"/>
          <w:sz w:val="20"/>
          <w:szCs w:val="20"/>
          <w:lang w:val="nl-NL"/>
        </w:rPr>
        <w:t xml:space="preserve">: </w:t>
      </w:r>
      <w:proofErr w:type="spellStart"/>
      <w:r w:rsidRPr="00C176A4" w:rsidR="00ED2A70">
        <w:rPr>
          <w:rFonts w:ascii="Verdana" w:hAnsi="Verdana"/>
          <w:sz w:val="20"/>
          <w:szCs w:val="20"/>
          <w:lang w:val="nl-NL"/>
        </w:rPr>
        <w:t>PalgraveMacMillan</w:t>
      </w:r>
      <w:proofErr w:type="spellEnd"/>
      <w:r w:rsidRPr="00C176A4" w:rsidR="00ED2A70">
        <w:rPr>
          <w:rFonts w:ascii="Verdana" w:hAnsi="Verdana"/>
          <w:sz w:val="20"/>
          <w:szCs w:val="20"/>
          <w:lang w:val="nl-NL"/>
        </w:rPr>
        <w:t>.</w:t>
      </w:r>
    </w:p>
    <w:p w:rsidRPr="00C176A4" w:rsidR="00C176A4" w:rsidP="00C176A4" w:rsidRDefault="00C176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de-DE"/>
        </w:rPr>
      </w:pPr>
      <w:r w:rsidRPr="00C176A4">
        <w:rPr>
          <w:rFonts w:ascii="Verdana" w:hAnsi="Verdana" w:cs="ProximaNova-Light"/>
          <w:sz w:val="20"/>
          <w:szCs w:val="20"/>
          <w:lang w:val="nl-NL"/>
        </w:rPr>
        <w:t xml:space="preserve">Harryvan, A., Krause, A., Vollaard, H. en Wielinga, F. (red.) (2018). </w:t>
      </w:r>
      <w:r w:rsidRPr="00C176A4">
        <w:rPr>
          <w:rFonts w:ascii="Verdana" w:hAnsi="Verdana" w:cs="ProximaNova-Light"/>
          <w:i/>
          <w:sz w:val="20"/>
          <w:szCs w:val="20"/>
          <w:lang w:val="de-DE"/>
        </w:rPr>
        <w:t xml:space="preserve">Europa zur Diskussion: Deutschland und die Niederlande über die </w:t>
      </w:r>
      <w:r>
        <w:rPr>
          <w:rFonts w:ascii="Verdana" w:hAnsi="Verdana" w:cs="ProximaNova-Light"/>
          <w:i/>
          <w:sz w:val="20"/>
          <w:szCs w:val="20"/>
          <w:lang w:val="de-DE"/>
        </w:rPr>
        <w:t>E</w:t>
      </w:r>
      <w:r w:rsidRPr="00C176A4">
        <w:rPr>
          <w:rFonts w:ascii="Verdana" w:hAnsi="Verdana" w:cs="ProximaNova-Light"/>
          <w:i/>
          <w:sz w:val="20"/>
          <w:szCs w:val="20"/>
          <w:lang w:val="de-DE"/>
        </w:rPr>
        <w:t>uropäische Integration seit 1990</w:t>
      </w:r>
      <w:r w:rsidRPr="00C176A4">
        <w:rPr>
          <w:rFonts w:ascii="Verdana" w:hAnsi="Verdana" w:cs="ProximaNova-Light"/>
          <w:sz w:val="20"/>
          <w:szCs w:val="20"/>
          <w:lang w:val="de-DE"/>
        </w:rPr>
        <w:t xml:space="preserve">. Münster: </w:t>
      </w:r>
      <w:proofErr w:type="spellStart"/>
      <w:r w:rsidRPr="00C176A4">
        <w:rPr>
          <w:rFonts w:ascii="Verdana" w:hAnsi="Verdana" w:cs="ProximaNova-Light"/>
          <w:sz w:val="20"/>
          <w:szCs w:val="20"/>
          <w:lang w:val="de-DE"/>
        </w:rPr>
        <w:t>Waxmann</w:t>
      </w:r>
      <w:proofErr w:type="spellEnd"/>
      <w:r w:rsidRPr="00C176A4">
        <w:rPr>
          <w:rFonts w:ascii="Verdana" w:hAnsi="Verdana" w:cs="ProximaNova-Light"/>
          <w:sz w:val="20"/>
          <w:szCs w:val="20"/>
          <w:lang w:val="de-DE"/>
        </w:rPr>
        <w:t xml:space="preserve"> Verlag</w:t>
      </w:r>
    </w:p>
    <w:p w:rsidRPr="00C176A4" w:rsidR="00C176A4" w:rsidP="00C176A4" w:rsidRDefault="00C176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nl-NL"/>
        </w:rPr>
      </w:pPr>
      <w:r w:rsidRPr="00C176A4">
        <w:rPr>
          <w:rFonts w:ascii="Verdana" w:hAnsi="Verdana" w:cs="ProximaNova-Light"/>
          <w:sz w:val="20"/>
          <w:szCs w:val="20"/>
          <w:lang w:val="nl-NL"/>
        </w:rPr>
        <w:t xml:space="preserve">Vollaard, H., Bovenkamp, H. van de, en Martinsen, D.M. (2016). </w:t>
      </w:r>
      <w:r w:rsidRPr="00C176A4">
        <w:rPr>
          <w:rFonts w:ascii="Verdana" w:hAnsi="Verdana" w:cs="ProximaNova-Light"/>
          <w:sz w:val="20"/>
          <w:szCs w:val="20"/>
          <w:lang w:val="en-US"/>
        </w:rPr>
        <w:t xml:space="preserve">The making of a European </w:t>
      </w:r>
      <w:r>
        <w:rPr>
          <w:rFonts w:ascii="Verdana" w:hAnsi="Verdana" w:cs="ProximaNova-Light"/>
          <w:sz w:val="20"/>
          <w:szCs w:val="20"/>
          <w:lang w:val="en-US"/>
        </w:rPr>
        <w:t>h</w:t>
      </w:r>
      <w:r w:rsidRPr="00C176A4">
        <w:rPr>
          <w:rFonts w:ascii="Verdana" w:hAnsi="Verdana" w:cs="ProximaNova-Light"/>
          <w:sz w:val="20"/>
          <w:szCs w:val="20"/>
          <w:lang w:val="en-US"/>
        </w:rPr>
        <w:t xml:space="preserve">ealthcare </w:t>
      </w:r>
      <w:r>
        <w:rPr>
          <w:rFonts w:ascii="Verdana" w:hAnsi="Verdana" w:cs="ProximaNova-Light"/>
          <w:sz w:val="20"/>
          <w:szCs w:val="20"/>
          <w:lang w:val="en-US"/>
        </w:rPr>
        <w:t>u</w:t>
      </w:r>
      <w:r w:rsidRPr="00C176A4">
        <w:rPr>
          <w:rFonts w:ascii="Verdana" w:hAnsi="Verdana" w:cs="ProximaNova-Light"/>
          <w:sz w:val="20"/>
          <w:szCs w:val="20"/>
          <w:lang w:val="en-US"/>
        </w:rPr>
        <w:t xml:space="preserve">nion: A </w:t>
      </w:r>
      <w:r>
        <w:rPr>
          <w:rFonts w:ascii="Verdana" w:hAnsi="Verdana" w:cs="ProximaNova-Light"/>
          <w:sz w:val="20"/>
          <w:szCs w:val="20"/>
          <w:lang w:val="en-US"/>
        </w:rPr>
        <w:t>f</w:t>
      </w:r>
      <w:r w:rsidRPr="00C176A4">
        <w:rPr>
          <w:rFonts w:ascii="Verdana" w:hAnsi="Verdana" w:cs="ProximaNova-Light"/>
          <w:sz w:val="20"/>
          <w:szCs w:val="20"/>
          <w:lang w:val="en-US"/>
        </w:rPr>
        <w:t xml:space="preserve">ederalist </w:t>
      </w:r>
      <w:r>
        <w:rPr>
          <w:rFonts w:ascii="Verdana" w:hAnsi="Verdana" w:cs="ProximaNova-Light"/>
          <w:sz w:val="20"/>
          <w:szCs w:val="20"/>
          <w:lang w:val="en-US"/>
        </w:rPr>
        <w:t>p</w:t>
      </w:r>
      <w:r w:rsidRPr="00C176A4">
        <w:rPr>
          <w:rFonts w:ascii="Verdana" w:hAnsi="Verdana" w:cs="ProximaNova-Light"/>
          <w:sz w:val="20"/>
          <w:szCs w:val="20"/>
          <w:lang w:val="en-US"/>
        </w:rPr>
        <w:t xml:space="preserve">erspective. </w:t>
      </w:r>
      <w:r w:rsidRPr="00C176A4">
        <w:rPr>
          <w:rFonts w:ascii="Verdana" w:hAnsi="Verdana" w:cs="ProximaNova-Light"/>
          <w:i/>
          <w:sz w:val="20"/>
          <w:szCs w:val="20"/>
          <w:lang w:val="nl-NL"/>
        </w:rPr>
        <w:t xml:space="preserve">Journal of European </w:t>
      </w:r>
      <w:r w:rsidRPr="00C176A4">
        <w:rPr>
          <w:rFonts w:ascii="Verdana" w:hAnsi="Verdana" w:cs="ProximaNova-Light"/>
          <w:i/>
          <w:sz w:val="20"/>
          <w:szCs w:val="20"/>
          <w:lang w:val="nl-NL"/>
        </w:rPr>
        <w:lastRenderedPageBreak/>
        <w:t>Public Policy</w:t>
      </w:r>
      <w:r w:rsidRPr="00C176A4">
        <w:rPr>
          <w:rFonts w:ascii="Verdana" w:hAnsi="Verdana" w:cs="ProximaNova-Light"/>
          <w:sz w:val="20"/>
          <w:szCs w:val="20"/>
          <w:lang w:val="nl-NL"/>
        </w:rPr>
        <w:t>, 23(2), 157-176</w:t>
      </w:r>
    </w:p>
    <w:p w:rsidRPr="00C176A4" w:rsidR="00C176A4" w:rsidP="00C176A4" w:rsidRDefault="00C176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nl-NL"/>
        </w:rPr>
      </w:pPr>
      <w:r w:rsidRPr="00C176A4">
        <w:rPr>
          <w:rFonts w:ascii="Verdana" w:hAnsi="Verdana" w:cs="ProximaNova-Light"/>
          <w:sz w:val="20"/>
          <w:szCs w:val="20"/>
          <w:lang w:val="nl-NL"/>
        </w:rPr>
        <w:t xml:space="preserve">Vollaard, H., Harst, J. van der en Voerman, G. (red.) (2015). </w:t>
      </w:r>
      <w:r w:rsidRPr="00C176A4">
        <w:rPr>
          <w:rFonts w:ascii="Verdana" w:hAnsi="Verdana" w:cs="ProximaNova-Light"/>
          <w:i/>
          <w:sz w:val="20"/>
          <w:szCs w:val="20"/>
          <w:lang w:val="nl-NL"/>
        </w:rPr>
        <w:t xml:space="preserve">Van Aanvallen! naar verdedigen? De </w:t>
      </w:r>
      <w:r>
        <w:rPr>
          <w:rFonts w:ascii="Verdana" w:hAnsi="Verdana" w:cs="ProximaNova-Light"/>
          <w:i/>
          <w:sz w:val="20"/>
          <w:szCs w:val="20"/>
          <w:lang w:val="nl-NL"/>
        </w:rPr>
        <w:t>o</w:t>
      </w:r>
      <w:r w:rsidRPr="00C176A4">
        <w:rPr>
          <w:rFonts w:ascii="Verdana" w:hAnsi="Verdana" w:cs="ProximaNova-Light"/>
          <w:i/>
          <w:sz w:val="20"/>
          <w:szCs w:val="20"/>
          <w:lang w:val="nl-NL"/>
        </w:rPr>
        <w:t xml:space="preserve">pstelling van Nederland ten aanzien van Europese </w:t>
      </w:r>
      <w:r>
        <w:rPr>
          <w:rFonts w:ascii="Verdana" w:hAnsi="Verdana" w:cs="ProximaNova-Light"/>
          <w:i/>
          <w:sz w:val="20"/>
          <w:szCs w:val="20"/>
          <w:lang w:val="nl-NL"/>
        </w:rPr>
        <w:t>i</w:t>
      </w:r>
      <w:r w:rsidRPr="00C176A4">
        <w:rPr>
          <w:rFonts w:ascii="Verdana" w:hAnsi="Verdana" w:cs="ProximaNova-Light"/>
          <w:i/>
          <w:sz w:val="20"/>
          <w:szCs w:val="20"/>
          <w:lang w:val="nl-NL"/>
        </w:rPr>
        <w:t>ntegratie, 1945-2015</w:t>
      </w:r>
      <w:r w:rsidRPr="00C176A4">
        <w:rPr>
          <w:rFonts w:ascii="Verdana" w:hAnsi="Verdana" w:cs="ProximaNova-Light"/>
          <w:sz w:val="20"/>
          <w:szCs w:val="20"/>
          <w:lang w:val="nl-NL"/>
        </w:rPr>
        <w:t>. Den Haag: Boom Bestuurskunde.</w:t>
      </w:r>
    </w:p>
    <w:p w:rsidRPr="005077E2" w:rsidR="00ED2A70" w:rsidP="00ED2A70" w:rsidRDefault="00C176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5077E2">
        <w:rPr>
          <w:rFonts w:ascii="Verdana" w:hAnsi="Verdana" w:cs="ProximaNova-Light"/>
          <w:sz w:val="20"/>
          <w:szCs w:val="20"/>
          <w:lang w:val="en-US"/>
        </w:rPr>
        <w:t>Vollaard</w:t>
      </w:r>
      <w:proofErr w:type="spellEnd"/>
      <w:r w:rsidRPr="005077E2">
        <w:rPr>
          <w:rFonts w:ascii="Verdana" w:hAnsi="Verdana" w:cs="ProximaNova-Light"/>
          <w:sz w:val="20"/>
          <w:szCs w:val="20"/>
          <w:lang w:val="en-US"/>
        </w:rPr>
        <w:t xml:space="preserve">, H. (2014). </w:t>
      </w:r>
      <w:r w:rsidRPr="005077E2" w:rsidR="00ED2A70">
        <w:rPr>
          <w:rFonts w:ascii="Verdana" w:hAnsi="Verdana" w:cs="ProximaNova-Light"/>
          <w:sz w:val="20"/>
          <w:szCs w:val="20"/>
          <w:lang w:val="en-US"/>
        </w:rPr>
        <w:t xml:space="preserve">Explaining European </w:t>
      </w:r>
      <w:r w:rsidRPr="005077E2">
        <w:rPr>
          <w:rFonts w:ascii="Verdana" w:hAnsi="Verdana" w:cs="ProximaNova-Light"/>
          <w:sz w:val="20"/>
          <w:szCs w:val="20"/>
          <w:lang w:val="en-US"/>
        </w:rPr>
        <w:t>d</w:t>
      </w:r>
      <w:r w:rsidRPr="005077E2" w:rsidR="00ED2A70">
        <w:rPr>
          <w:rFonts w:ascii="Verdana" w:hAnsi="Verdana" w:cs="ProximaNova-Light"/>
          <w:sz w:val="20"/>
          <w:szCs w:val="20"/>
          <w:lang w:val="en-US"/>
        </w:rPr>
        <w:t xml:space="preserve">isintegration. </w:t>
      </w:r>
      <w:r w:rsidRPr="005077E2" w:rsidR="00ED2A70">
        <w:rPr>
          <w:rFonts w:ascii="Verdana" w:hAnsi="Verdana" w:cs="ProximaNova-Light"/>
          <w:i/>
          <w:sz w:val="20"/>
          <w:szCs w:val="20"/>
          <w:lang w:val="en-US"/>
        </w:rPr>
        <w:t>Journal of Common Market Studies</w:t>
      </w:r>
      <w:r w:rsidRPr="005077E2" w:rsidR="00ED2A70">
        <w:rPr>
          <w:rFonts w:ascii="Verdana" w:hAnsi="Verdana" w:cs="ProximaNova-Light"/>
          <w:sz w:val="20"/>
          <w:szCs w:val="20"/>
          <w:lang w:val="en-US"/>
        </w:rPr>
        <w:t>, 52(5), 1142-1159</w:t>
      </w:r>
      <w:r w:rsidRPr="005077E2">
        <w:rPr>
          <w:rFonts w:ascii="Verdana" w:hAnsi="Verdana" w:cs="ProximaNova-Light"/>
          <w:sz w:val="20"/>
          <w:szCs w:val="20"/>
          <w:lang w:val="en-US"/>
        </w:rPr>
        <w:t>.</w:t>
      </w:r>
    </w:p>
    <w:sectPr w:rsidRPr="005077E2" w:rsidR="00ED2A70" w:rsidSect="005C0C5A">
      <w:headerReference w:type="default" r:id="rId7"/>
      <w:footerReference w:type="even" r:id="rId8"/>
      <w:pgSz w:w="11900" w:h="16840"/>
      <w:pgMar w:top="2525" w:right="1418" w:bottom="1418" w:left="2126" w:header="0" w:footer="709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6D" w:rsidRDefault="00D31BD2">
      <w:r>
        <w:separator/>
      </w:r>
    </w:p>
  </w:endnote>
  <w:endnote w:type="continuationSeparator" w:id="0">
    <w:p w:rsidR="00F21E6D" w:rsidRDefault="00D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Nov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43336"/>
      <w:docPartObj>
        <w:docPartGallery w:val="Page Numbers (Bottom of Page)"/>
        <w:docPartUnique/>
      </w:docPartObj>
    </w:sdtPr>
    <w:sdtEndPr/>
    <w:sdtContent>
      <w:p w:rsidR="00A20F28" w:rsidRDefault="00A20F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95" w:rsidRPr="00493095">
          <w:rPr>
            <w:noProof/>
            <w:lang w:val="nl-NL"/>
          </w:rPr>
          <w:t>4</w:t>
        </w:r>
        <w:r>
          <w:fldChar w:fldCharType="end"/>
        </w:r>
      </w:p>
    </w:sdtContent>
  </w:sdt>
  <w:p w:rsidR="00A20F28" w:rsidRDefault="00A2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6D" w:rsidRDefault="00D31BD2">
      <w:r>
        <w:separator/>
      </w:r>
    </w:p>
  </w:footnote>
  <w:footnote w:type="continuationSeparator" w:id="0">
    <w:p w:rsidR="00F21E6D" w:rsidRDefault="00D3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D8" w:rsidRDefault="000B19D8" w:rsidP="00CB655C">
    <w:pPr>
      <w:pStyle w:val="Header"/>
      <w:ind w:left="709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100033" cy="1616149"/>
          <wp:effectExtent l="25400" t="0" r="0" b="0"/>
          <wp:wrapNone/>
          <wp:docPr id="1" name="Picture 1" descr="UU_logo(600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_logo(600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0033" cy="1616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B013C"/>
    <w:multiLevelType w:val="hybridMultilevel"/>
    <w:tmpl w:val="F0B03A60"/>
    <w:lvl w:ilvl="0" w:tplc="DFD69440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F21230"/>
    <w:multiLevelType w:val="hybridMultilevel"/>
    <w:tmpl w:val="2FC29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6621E"/>
    <w:multiLevelType w:val="hybridMultilevel"/>
    <w:tmpl w:val="D70EB2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41"/>
    <w:rsid w:val="000B19D8"/>
    <w:rsid w:val="000B3D15"/>
    <w:rsid w:val="00111113"/>
    <w:rsid w:val="001467A3"/>
    <w:rsid w:val="00151F41"/>
    <w:rsid w:val="0018740B"/>
    <w:rsid w:val="001C3317"/>
    <w:rsid w:val="00241DA5"/>
    <w:rsid w:val="002708D8"/>
    <w:rsid w:val="00354185"/>
    <w:rsid w:val="00393FFA"/>
    <w:rsid w:val="003B573A"/>
    <w:rsid w:val="00403FD8"/>
    <w:rsid w:val="00456A21"/>
    <w:rsid w:val="00493095"/>
    <w:rsid w:val="004E1C9B"/>
    <w:rsid w:val="005077E2"/>
    <w:rsid w:val="005224B2"/>
    <w:rsid w:val="00570F29"/>
    <w:rsid w:val="00571C88"/>
    <w:rsid w:val="005C0C5A"/>
    <w:rsid w:val="005C4054"/>
    <w:rsid w:val="005C719B"/>
    <w:rsid w:val="006B5D35"/>
    <w:rsid w:val="006C69E4"/>
    <w:rsid w:val="0074579C"/>
    <w:rsid w:val="00745841"/>
    <w:rsid w:val="00896445"/>
    <w:rsid w:val="009C5747"/>
    <w:rsid w:val="009E102E"/>
    <w:rsid w:val="00A035B8"/>
    <w:rsid w:val="00A12E15"/>
    <w:rsid w:val="00A20F28"/>
    <w:rsid w:val="00A34AFB"/>
    <w:rsid w:val="00B0016E"/>
    <w:rsid w:val="00B04D57"/>
    <w:rsid w:val="00B31143"/>
    <w:rsid w:val="00C176A4"/>
    <w:rsid w:val="00C60C35"/>
    <w:rsid w:val="00CB655C"/>
    <w:rsid w:val="00CD5D01"/>
    <w:rsid w:val="00D26F40"/>
    <w:rsid w:val="00D31BD2"/>
    <w:rsid w:val="00D5022D"/>
    <w:rsid w:val="00D63891"/>
    <w:rsid w:val="00E02DE8"/>
    <w:rsid w:val="00E41914"/>
    <w:rsid w:val="00ED2A70"/>
    <w:rsid w:val="00F21E6D"/>
    <w:rsid w:val="00F55F35"/>
    <w:rsid w:val="00F7627A"/>
    <w:rsid w:val="00FE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2BB8E81-39AE-4C77-886F-6517A981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55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55C"/>
  </w:style>
  <w:style w:type="paragraph" w:styleId="Footer">
    <w:name w:val="footer"/>
    <w:basedOn w:val="Normal"/>
    <w:link w:val="FooterChar"/>
    <w:uiPriority w:val="99"/>
    <w:unhideWhenUsed/>
    <w:rsid w:val="00CB65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55C"/>
  </w:style>
  <w:style w:type="character" w:styleId="Hyperlink">
    <w:name w:val="Hyperlink"/>
    <w:basedOn w:val="DefaultParagraphFont"/>
    <w:uiPriority w:val="99"/>
    <w:unhideWhenUsed/>
    <w:rsid w:val="00354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1621</ap:Words>
  <ap:Characters>8917</ap:Characters>
  <ap:DocSecurity>0</ap:DocSecurity>
  <ap:Lines>74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2017-12-07T15:21:00.0000000Z</dcterms:created>
  <dcterms:modified xsi:type="dcterms:W3CDTF">2017-12-12T13:51:00.0000000Z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