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76" w:rsidP="004D4C93" w:rsidRDefault="00602716">
      <w:pPr>
        <w:spacing w:line="260" w:lineRule="exact"/>
        <w:rPr>
          <w:b/>
          <w:color w:val="5B9BD5" w:themeColor="accent5"/>
          <w:sz w:val="24"/>
          <w:szCs w:val="24"/>
        </w:rPr>
      </w:pPr>
      <w:r w:rsidRPr="00016A34">
        <w:rPr>
          <w:b/>
          <w:color w:val="5B9BD5" w:themeColor="accent5"/>
          <w:sz w:val="24"/>
          <w:szCs w:val="24"/>
        </w:rPr>
        <w:t>Gespreksnotitie</w:t>
      </w:r>
      <w:r w:rsidRPr="00016A34" w:rsidR="00C517DF">
        <w:rPr>
          <w:b/>
          <w:color w:val="5B9BD5" w:themeColor="accent5"/>
          <w:sz w:val="24"/>
          <w:szCs w:val="24"/>
        </w:rPr>
        <w:t xml:space="preserve"> FNV Bouwen en Wonen </w:t>
      </w:r>
    </w:p>
    <w:p w:rsidRPr="00016A34" w:rsidR="002153A7" w:rsidP="004D4C93" w:rsidRDefault="002153A7">
      <w:pPr>
        <w:spacing w:line="260" w:lineRule="exact"/>
        <w:rPr>
          <w:b/>
          <w:color w:val="5B9BD5" w:themeColor="accent5"/>
          <w:sz w:val="24"/>
          <w:szCs w:val="24"/>
        </w:rPr>
      </w:pPr>
      <w:bookmarkStart w:name="_GoBack" w:id="0"/>
      <w:bookmarkEnd w:id="0"/>
    </w:p>
    <w:p w:rsidR="00C517DF" w:rsidP="004D4C93" w:rsidRDefault="00C517DF">
      <w:pPr>
        <w:spacing w:line="260" w:lineRule="exact"/>
      </w:pPr>
      <w:proofErr w:type="spellStart"/>
      <w:r>
        <w:t>Tbv</w:t>
      </w:r>
      <w:proofErr w:type="spellEnd"/>
      <w:r>
        <w:t xml:space="preserve"> </w:t>
      </w:r>
      <w:r w:rsidR="00E10DF7">
        <w:t>Ronde tafelgesprek Nederlandse Bouwopgave</w:t>
      </w:r>
      <w:r w:rsidR="00620874">
        <w:t xml:space="preserve"> –</w:t>
      </w:r>
      <w:r w:rsidR="00020B0F">
        <w:t xml:space="preserve"> </w:t>
      </w:r>
      <w:r w:rsidR="00620874">
        <w:t>Blok 2: Innovatie</w:t>
      </w:r>
    </w:p>
    <w:p w:rsidR="00620874" w:rsidP="004D4C93" w:rsidRDefault="00620874">
      <w:pPr>
        <w:spacing w:line="260" w:lineRule="exact"/>
      </w:pPr>
      <w:r>
        <w:t>Vaste commissie voor Binnenlandse Zaken</w:t>
      </w:r>
    </w:p>
    <w:p w:rsidR="00620874" w:rsidP="004D4C93" w:rsidRDefault="00620874">
      <w:pPr>
        <w:spacing w:line="260" w:lineRule="exact"/>
      </w:pPr>
      <w:r>
        <w:t>6 december 2017</w:t>
      </w:r>
    </w:p>
    <w:p w:rsidR="00071E33" w:rsidP="00071E33" w:rsidRDefault="00071E33">
      <w:pPr>
        <w:ind w:left="4248" w:firstLine="708"/>
        <w:rPr>
          <w:b/>
          <w:bCs/>
          <w:color w:val="1F497D"/>
          <w:lang w:eastAsia="nl-NL"/>
        </w:rPr>
      </w:pPr>
      <w:r>
        <w:rPr>
          <w:b/>
          <w:bCs/>
          <w:color w:val="1F497D"/>
          <w:lang w:eastAsia="nl-NL"/>
        </w:rPr>
        <w:t>Bert Ormel</w:t>
      </w:r>
    </w:p>
    <w:p w:rsidR="00071E33" w:rsidP="00071E33" w:rsidRDefault="00071E33">
      <w:pPr>
        <w:ind w:left="4248" w:firstLine="708"/>
        <w:rPr>
          <w:caps/>
          <w:color w:val="009CDE"/>
          <w:lang w:eastAsia="nl-NL"/>
        </w:rPr>
      </w:pPr>
      <w:r>
        <w:rPr>
          <w:caps/>
          <w:color w:val="009CDE"/>
          <w:lang w:eastAsia="nl-NL"/>
        </w:rPr>
        <w:t>Beleidsmedewerker bouwkolom</w:t>
      </w:r>
    </w:p>
    <w:p w:rsidR="00071E33" w:rsidP="00071E33" w:rsidRDefault="00071E33">
      <w:pPr>
        <w:spacing w:line="240" w:lineRule="auto"/>
        <w:ind w:left="4248" w:firstLine="708"/>
        <w:rPr>
          <w:color w:val="AF0D16"/>
          <w:sz w:val="16"/>
          <w:szCs w:val="16"/>
          <w:lang w:eastAsia="nl-NL"/>
        </w:rPr>
      </w:pPr>
      <w:r>
        <w:rPr>
          <w:caps/>
          <w:noProof/>
          <w:color w:val="009CDE"/>
          <w:lang w:eastAsia="nl-NL"/>
        </w:rPr>
        <w:drawing>
          <wp:inline distT="0" distB="0" distL="0" distR="0">
            <wp:extent cx="755650" cy="715645"/>
            <wp:effectExtent l="0" t="0" r="6350" b="8255"/>
            <wp:docPr id="2" name="Afbeelding 2" descr="cid:image001.png@01D0BAFF.5E122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0BAFF.5E122A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55650" cy="715645"/>
                    </a:xfrm>
                    <a:prstGeom prst="rect">
                      <a:avLst/>
                    </a:prstGeom>
                    <a:noFill/>
                    <a:ln>
                      <a:noFill/>
                    </a:ln>
                  </pic:spPr>
                </pic:pic>
              </a:graphicData>
            </a:graphic>
          </wp:inline>
        </w:drawing>
      </w:r>
    </w:p>
    <w:p w:rsidR="00071E33" w:rsidP="00071E33" w:rsidRDefault="00071E33">
      <w:pPr>
        <w:spacing w:line="280" w:lineRule="atLeast"/>
        <w:ind w:left="4248" w:firstLine="708"/>
        <w:rPr>
          <w:color w:val="1F497D"/>
          <w:lang w:eastAsia="nl-NL"/>
        </w:rPr>
      </w:pPr>
      <w:r>
        <w:rPr>
          <w:color w:val="1F497D"/>
          <w:lang w:eastAsia="nl-NL"/>
        </w:rPr>
        <w:t>Hertogswetering 159, 3543 AS Utrecht</w:t>
      </w:r>
    </w:p>
    <w:p w:rsidR="00071E33" w:rsidP="00071E33" w:rsidRDefault="00071E33">
      <w:pPr>
        <w:spacing w:line="280" w:lineRule="atLeast"/>
        <w:ind w:left="4248" w:firstLine="708"/>
        <w:rPr>
          <w:color w:val="1F497D"/>
          <w:lang w:eastAsia="nl-NL"/>
        </w:rPr>
      </w:pPr>
      <w:r>
        <w:rPr>
          <w:b/>
          <w:bCs/>
          <w:color w:val="009CDE"/>
          <w:lang w:eastAsia="nl-NL"/>
        </w:rPr>
        <w:t xml:space="preserve">Z </w:t>
      </w:r>
      <w:r>
        <w:rPr>
          <w:color w:val="1F497D"/>
          <w:lang w:eastAsia="nl-NL"/>
        </w:rPr>
        <w:t>088 3681640</w:t>
      </w:r>
      <w:r>
        <w:rPr>
          <w:b/>
          <w:bCs/>
          <w:color w:val="009CDE"/>
          <w:lang w:eastAsia="nl-NL"/>
        </w:rPr>
        <w:t xml:space="preserve"> M</w:t>
      </w:r>
      <w:r>
        <w:rPr>
          <w:color w:val="1F497D"/>
          <w:lang w:eastAsia="nl-NL"/>
        </w:rPr>
        <w:t xml:space="preserve"> 06 50612976</w:t>
      </w:r>
    </w:p>
    <w:p w:rsidR="00071E33" w:rsidP="004D4C93" w:rsidRDefault="00071E33">
      <w:pPr>
        <w:spacing w:line="260" w:lineRule="exact"/>
      </w:pPr>
    </w:p>
    <w:p w:rsidRPr="00016A34" w:rsidR="0060688B" w:rsidP="004D4C93" w:rsidRDefault="0060688B">
      <w:pPr>
        <w:spacing w:line="260" w:lineRule="exact"/>
        <w:rPr>
          <w:b/>
          <w:i/>
          <w:color w:val="5B9BD5" w:themeColor="accent5"/>
        </w:rPr>
      </w:pPr>
      <w:r w:rsidRPr="00016A34">
        <w:rPr>
          <w:b/>
          <w:i/>
          <w:color w:val="5B9BD5" w:themeColor="accent5"/>
        </w:rPr>
        <w:t xml:space="preserve">De uitdaging </w:t>
      </w:r>
    </w:p>
    <w:p w:rsidRPr="00E101FA" w:rsidR="00E101FA" w:rsidP="00E101FA" w:rsidRDefault="00D04416">
      <w:pPr>
        <w:spacing w:line="260" w:lineRule="exact"/>
      </w:pPr>
      <w:r>
        <w:t xml:space="preserve">De bouwsector </w:t>
      </w:r>
      <w:r w:rsidR="00E101FA">
        <w:t>st</w:t>
      </w:r>
      <w:r w:rsidR="00020B0F">
        <w:t xml:space="preserve">elt </w:t>
      </w:r>
      <w:r w:rsidR="00F63878">
        <w:t xml:space="preserve">zich </w:t>
      </w:r>
      <w:r w:rsidR="00E101FA">
        <w:t xml:space="preserve">grote </w:t>
      </w:r>
      <w:r>
        <w:t>uitdagingen</w:t>
      </w:r>
      <w:r w:rsidR="00E101FA">
        <w:t>. De ‘Bouwagenda’ verwoordt ambitieuze plannen met betrekking tot de inrichting -en vernieuwing- van Nederland. De Circulaire Bouweconomie</w:t>
      </w:r>
      <w:r w:rsidR="00020B0F">
        <w:t>,</w:t>
      </w:r>
      <w:r w:rsidR="00E101FA">
        <w:t xml:space="preserve"> als onderdeel van de brede Transitieagenda</w:t>
      </w:r>
      <w:r w:rsidR="00020B0F">
        <w:t>,</w:t>
      </w:r>
      <w:r w:rsidR="00E101FA">
        <w:t xml:space="preserve"> verwoordt ambitieuze plannen met betrekking tot verduurzaming</w:t>
      </w:r>
      <w:r w:rsidR="00FF20F3">
        <w:t xml:space="preserve">. </w:t>
      </w:r>
      <w:r w:rsidR="00E101FA">
        <w:t xml:space="preserve">Daarbij hebben we van doen met de transitie naar groene energie, </w:t>
      </w:r>
      <w:r w:rsidR="00FF20F3">
        <w:t xml:space="preserve">het ontwikkelen van een circulaire economie, </w:t>
      </w:r>
      <w:r w:rsidR="00E101FA">
        <w:t>met digitalisering, industrialisatie en robotisering</w:t>
      </w:r>
      <w:r w:rsidRPr="00757D98" w:rsidR="00E101FA">
        <w:rPr>
          <w:i/>
        </w:rPr>
        <w:t>.</w:t>
      </w:r>
      <w:r w:rsidRPr="00757D98" w:rsidR="00FF20F3">
        <w:rPr>
          <w:i/>
        </w:rPr>
        <w:t xml:space="preserve"> </w:t>
      </w:r>
      <w:r w:rsidRPr="00757D98" w:rsidR="00757D98">
        <w:rPr>
          <w:i/>
        </w:rPr>
        <w:t>I</w:t>
      </w:r>
      <w:r w:rsidR="00E101FA">
        <w:rPr>
          <w:i/>
        </w:rPr>
        <w:t>nnovatie</w:t>
      </w:r>
      <w:r w:rsidR="00757D98">
        <w:t xml:space="preserve"> is hierbij het gevleugelde woord</w:t>
      </w:r>
      <w:r w:rsidR="00E101FA">
        <w:t xml:space="preserve"> </w:t>
      </w:r>
      <w:r w:rsidR="00FF20F3">
        <w:t xml:space="preserve">om </w:t>
      </w:r>
      <w:r w:rsidR="00E101FA">
        <w:t xml:space="preserve">die uitdagingen </w:t>
      </w:r>
      <w:r w:rsidR="00FF20F3">
        <w:t>te kunnen realiseren.</w:t>
      </w:r>
    </w:p>
    <w:p w:rsidR="00E101FA" w:rsidP="004D4C93" w:rsidRDefault="00E101FA">
      <w:pPr>
        <w:spacing w:line="260" w:lineRule="exact"/>
      </w:pPr>
    </w:p>
    <w:p w:rsidR="00FF20F3" w:rsidP="0060688B" w:rsidRDefault="0060688B">
      <w:pPr>
        <w:spacing w:line="260" w:lineRule="exact"/>
      </w:pPr>
      <w:r>
        <w:t>De FNV</w:t>
      </w:r>
      <w:r w:rsidR="00757D98">
        <w:t>,</w:t>
      </w:r>
      <w:r>
        <w:t xml:space="preserve"> </w:t>
      </w:r>
      <w:r w:rsidR="00FF20F3">
        <w:t xml:space="preserve">in het bijzonder de sector Bouwen en Wonen, </w:t>
      </w:r>
      <w:r>
        <w:t xml:space="preserve">wil intensief betrokken zijn bij de uitvoering van deze agenda’s en vanuit </w:t>
      </w:r>
      <w:r w:rsidR="00020B0F">
        <w:t>zijn</w:t>
      </w:r>
      <w:r>
        <w:t xml:space="preserve"> deskundigheid daaraan bijdragen. </w:t>
      </w:r>
      <w:r w:rsidR="00020B0F">
        <w:t>Sociale partners moeten</w:t>
      </w:r>
      <w:r>
        <w:t xml:space="preserve"> gezamenlijk de maatschappelijke uitdagingen het hoofd bieden </w:t>
      </w:r>
      <w:r w:rsidR="005A2F40">
        <w:t>é</w:t>
      </w:r>
      <w:r>
        <w:t>n tegelijkertijd de vernieuwing van de inrichting van de productie in de sectoren vorm en inhoud geven. Centra</w:t>
      </w:r>
      <w:r w:rsidR="00CA30BC">
        <w:t>a</w:t>
      </w:r>
      <w:r>
        <w:t xml:space="preserve">l aandachtspunt voor de </w:t>
      </w:r>
      <w:r w:rsidR="00FF20F3">
        <w:t xml:space="preserve">FNV </w:t>
      </w:r>
      <w:r w:rsidR="00CA30BC">
        <w:t xml:space="preserve">is </w:t>
      </w:r>
      <w:r>
        <w:t xml:space="preserve">hierbij </w:t>
      </w:r>
      <w:r w:rsidR="005A0C7C">
        <w:t>dat er Echte Banen gecreëerd worden</w:t>
      </w:r>
      <w:r w:rsidR="00CA30BC">
        <w:t xml:space="preserve"> die zekerheid bieden en goede arbeidsvoorwaarden. </w:t>
      </w:r>
      <w:r w:rsidR="00CE1375">
        <w:t>Bovendien</w:t>
      </w:r>
      <w:r w:rsidR="00CA30BC">
        <w:t xml:space="preserve"> gaat het daarbij om </w:t>
      </w:r>
      <w:r>
        <w:t xml:space="preserve">kwalitatief hoogwaardige arbeid, het realiseren van een eerlijk speelveld </w:t>
      </w:r>
      <w:r w:rsidR="005A2F40">
        <w:t>é</w:t>
      </w:r>
      <w:r>
        <w:t xml:space="preserve">n </w:t>
      </w:r>
      <w:r w:rsidRPr="00020B0F">
        <w:rPr>
          <w:i/>
        </w:rPr>
        <w:t>sociale</w:t>
      </w:r>
      <w:r>
        <w:t xml:space="preserve"> </w:t>
      </w:r>
      <w:r w:rsidRPr="00020B0F">
        <w:t>innovatie</w:t>
      </w:r>
      <w:r w:rsidR="00020B0F">
        <w:rPr>
          <w:i/>
        </w:rPr>
        <w:t>,</w:t>
      </w:r>
      <w:r>
        <w:t xml:space="preserve"> als pendant van </w:t>
      </w:r>
      <w:r w:rsidRPr="00020B0F">
        <w:rPr>
          <w:i/>
        </w:rPr>
        <w:t xml:space="preserve">technologische </w:t>
      </w:r>
      <w:r w:rsidRPr="00020B0F">
        <w:t>innovatie</w:t>
      </w:r>
      <w:r>
        <w:t>.</w:t>
      </w:r>
    </w:p>
    <w:p w:rsidR="00FF20F3" w:rsidP="0060688B" w:rsidRDefault="00FF20F3">
      <w:pPr>
        <w:spacing w:line="260" w:lineRule="exact"/>
      </w:pPr>
    </w:p>
    <w:p w:rsidRPr="00016A34" w:rsidR="00757D98" w:rsidP="00757D98" w:rsidRDefault="00757D98">
      <w:pPr>
        <w:spacing w:line="260" w:lineRule="exact"/>
        <w:rPr>
          <w:b/>
          <w:i/>
          <w:color w:val="5B9BD5" w:themeColor="accent5"/>
        </w:rPr>
      </w:pPr>
      <w:r w:rsidRPr="00016A34">
        <w:rPr>
          <w:b/>
          <w:i/>
          <w:color w:val="5B9BD5" w:themeColor="accent5"/>
        </w:rPr>
        <w:t>Sociale innovatie</w:t>
      </w:r>
    </w:p>
    <w:p w:rsidR="0043153A" w:rsidP="0043153A" w:rsidRDefault="00757D98">
      <w:pPr>
        <w:spacing w:line="260" w:lineRule="exact"/>
      </w:pPr>
      <w:r>
        <w:t>S</w:t>
      </w:r>
      <w:r w:rsidR="0060688B">
        <w:t>ociale innovatie</w:t>
      </w:r>
      <w:r w:rsidRPr="00016A34" w:rsidR="006E74A9">
        <w:rPr>
          <w:rStyle w:val="Eindnootmarkering"/>
          <w:i/>
          <w:color w:val="5B9BD5" w:themeColor="accent5"/>
        </w:rPr>
        <w:endnoteReference w:id="1"/>
      </w:r>
      <w:r w:rsidRPr="005A2F40" w:rsidR="0060688B">
        <w:rPr>
          <w:i/>
        </w:rPr>
        <w:t xml:space="preserve"> </w:t>
      </w:r>
      <w:r>
        <w:t>verdient</w:t>
      </w:r>
      <w:r w:rsidR="00910BCC">
        <w:t xml:space="preserve"> naar de opvatting van de FNV </w:t>
      </w:r>
      <w:r w:rsidR="0060688B">
        <w:t>een gelijkwaardige rol naast technologische/ecologische innovatie.</w:t>
      </w:r>
      <w:r>
        <w:t xml:space="preserve"> </w:t>
      </w:r>
      <w:r w:rsidR="00910BCC">
        <w:t xml:space="preserve">Dat is momenteel helaas niet het geval. We zien dit als een gemiste kans, aangezien onderzoek uitwijst, dat sociale innovatie </w:t>
      </w:r>
      <w:r w:rsidR="00020B0F">
        <w:t xml:space="preserve">een belangrijk draagvlak biedt voor technologische vernieuwingen, </w:t>
      </w:r>
      <w:r w:rsidR="00910BCC">
        <w:t xml:space="preserve">bijdraagt aan productiviteit en rendement van bedrijven, </w:t>
      </w:r>
      <w:r w:rsidR="005A2F40">
        <w:t>é</w:t>
      </w:r>
      <w:r w:rsidR="00020B0F">
        <w:t xml:space="preserve">n bijdraagt </w:t>
      </w:r>
      <w:r w:rsidR="00910BCC">
        <w:t>aan motivatie en betrokkenheid van de werkenden</w:t>
      </w:r>
      <w:r w:rsidRPr="00016A34" w:rsidR="00910BCC">
        <w:rPr>
          <w:rStyle w:val="Eindnootmarkering"/>
          <w:i/>
          <w:color w:val="5B9BD5" w:themeColor="accent5"/>
        </w:rPr>
        <w:endnoteReference w:id="2"/>
      </w:r>
      <w:r w:rsidR="00910BCC">
        <w:t xml:space="preserve">. </w:t>
      </w:r>
      <w:r>
        <w:t>Het SER-Advies ‘Werken aan een circulaire economie: geen tijd te verliezen”</w:t>
      </w:r>
      <w:r w:rsidRPr="00016A34" w:rsidR="006E74A9">
        <w:rPr>
          <w:rStyle w:val="Eindnootmarkering"/>
          <w:i/>
          <w:color w:val="5B9BD5" w:themeColor="accent5"/>
        </w:rPr>
        <w:endnoteReference w:id="3"/>
      </w:r>
      <w:r w:rsidR="005A2F40">
        <w:rPr>
          <w:i/>
          <w:sz w:val="20"/>
          <w:szCs w:val="20"/>
        </w:rPr>
        <w:t xml:space="preserve"> </w:t>
      </w:r>
      <w:r>
        <w:t>onderkent</w:t>
      </w:r>
      <w:r w:rsidR="00910BCC">
        <w:t xml:space="preserve"> ook</w:t>
      </w:r>
      <w:r>
        <w:t>, dat kwalitatieve arbeidsmarkt</w:t>
      </w:r>
      <w:r w:rsidR="00910BCC">
        <w:t>aspecten</w:t>
      </w:r>
      <w:r>
        <w:t xml:space="preserve"> onderbelicht blijven</w:t>
      </w:r>
      <w:r w:rsidR="005A2F40">
        <w:t>.</w:t>
      </w:r>
      <w:r>
        <w:t xml:space="preserve"> </w:t>
      </w:r>
      <w:r w:rsidR="00910BCC">
        <w:t xml:space="preserve">Voor de FNV is het daarom een bijzondere uitdaging om te bewerkstelligen, om naast de technologische/ecologische innovatie de vernieuwing van de factor arbeid een gelijkwaardige plek te geven. </w:t>
      </w:r>
      <w:r w:rsidR="000B7209">
        <w:t>Uiteraard is hiervoor samenwerking met sociale partners nodig. We zien er dan ook een uitdaging in, samen met werkgevers en overheid, j</w:t>
      </w:r>
      <w:r w:rsidR="0043153A">
        <w:t xml:space="preserve">uist ook in deze transitieperiode, </w:t>
      </w:r>
      <w:r w:rsidR="000B7209">
        <w:t xml:space="preserve">een sociale </w:t>
      </w:r>
      <w:r w:rsidR="0043153A">
        <w:t xml:space="preserve">agenda te formuleren, gericht op </w:t>
      </w:r>
      <w:r w:rsidR="00F63878">
        <w:t xml:space="preserve">versterking van </w:t>
      </w:r>
      <w:r w:rsidR="0043153A">
        <w:t>de rol en positie van de factor arbeid in de arbeidsorganisatie.</w:t>
      </w:r>
    </w:p>
    <w:p w:rsidR="0060688B" w:rsidP="004D4C93" w:rsidRDefault="0060688B">
      <w:pPr>
        <w:spacing w:line="260" w:lineRule="exact"/>
      </w:pPr>
    </w:p>
    <w:p w:rsidRPr="00016A34" w:rsidR="0060688B" w:rsidP="004D4C93" w:rsidRDefault="00910BCC">
      <w:pPr>
        <w:spacing w:line="260" w:lineRule="exact"/>
        <w:rPr>
          <w:b/>
          <w:i/>
          <w:color w:val="5B9BD5" w:themeColor="accent5"/>
        </w:rPr>
      </w:pPr>
      <w:r w:rsidRPr="00016A34">
        <w:rPr>
          <w:b/>
          <w:i/>
          <w:color w:val="5B9BD5" w:themeColor="accent5"/>
        </w:rPr>
        <w:t>Sociale innovatie vraagt om ve</w:t>
      </w:r>
      <w:r w:rsidRPr="00016A34" w:rsidR="0060688B">
        <w:rPr>
          <w:b/>
          <w:i/>
          <w:color w:val="5B9BD5" w:themeColor="accent5"/>
        </w:rPr>
        <w:t xml:space="preserve">rnieuwing </w:t>
      </w:r>
      <w:r w:rsidRPr="00016A34">
        <w:rPr>
          <w:b/>
          <w:i/>
          <w:color w:val="5B9BD5" w:themeColor="accent5"/>
        </w:rPr>
        <w:t xml:space="preserve">van de </w:t>
      </w:r>
      <w:r w:rsidRPr="00016A34" w:rsidR="0060688B">
        <w:rPr>
          <w:b/>
          <w:i/>
          <w:color w:val="5B9BD5" w:themeColor="accent5"/>
        </w:rPr>
        <w:t>arbeidsorganisatie</w:t>
      </w:r>
    </w:p>
    <w:p w:rsidR="0043153A" w:rsidP="0043153A" w:rsidRDefault="0043153A">
      <w:pPr>
        <w:spacing w:line="260" w:lineRule="exact"/>
      </w:pPr>
      <w:r>
        <w:t xml:space="preserve">Sociale vernieuwing moet een substantieel onderdeel zijn van het transitieproces. Dat gaat </w:t>
      </w:r>
      <w:r w:rsidR="000B7209">
        <w:t xml:space="preserve">in belangrijke mate </w:t>
      </w:r>
      <w:r>
        <w:t xml:space="preserve">om het gekwalificeerd houden van werknemers voor de arbeidsmarkt. Daar is vanuit verschillende hoeken veel aandacht voor. Maar </w:t>
      </w:r>
      <w:r w:rsidR="00F63878">
        <w:t xml:space="preserve">daarnaast </w:t>
      </w:r>
      <w:r>
        <w:t xml:space="preserve">gaat het in het bijzonder ook, zoals het SER-advies het formuleert, om “actieve betrokkenheid van werknemers”. Dat gaat om wat </w:t>
      </w:r>
      <w:r w:rsidR="000B7209">
        <w:t>we noemen:</w:t>
      </w:r>
      <w:r>
        <w:t xml:space="preserve"> ‘3M’: </w:t>
      </w:r>
      <w:r>
        <w:rPr>
          <w:i/>
        </w:rPr>
        <w:t>“meedenken, meepraten, meebeslissen</w:t>
      </w:r>
      <w:r>
        <w:t>”. Het drukt uit, dat het van wezenlijk belang is voor de werknemer om meer te zijn dan productiemiddel</w:t>
      </w:r>
      <w:r w:rsidR="00917142">
        <w:t xml:space="preserve">, </w:t>
      </w:r>
      <w:proofErr w:type="spellStart"/>
      <w:r w:rsidR="00917142">
        <w:t>cq</w:t>
      </w:r>
      <w:proofErr w:type="spellEnd"/>
      <w:r w:rsidR="00917142">
        <w:t xml:space="preserve"> ‘handjes’</w:t>
      </w:r>
      <w:r>
        <w:t xml:space="preserve">, en dat het ook van belang is voor de organisatie van het werk om kennis en kunde van werknemers te waarderen. Het gaat hierbij fundamenteel om de rol van de werkende om zijn vakmanschap in te zetten om mee te beslissen over de inrichting van de arbeidsorganisatie – </w:t>
      </w:r>
      <w:r w:rsidRPr="00517718">
        <w:rPr>
          <w:i/>
          <w:u w:val="single"/>
        </w:rPr>
        <w:t>zíjn</w:t>
      </w:r>
      <w:r>
        <w:t xml:space="preserve"> werkplek. We moeten ons er voortdurend van </w:t>
      </w:r>
      <w:r>
        <w:lastRenderedPageBreak/>
        <w:t xml:space="preserve">bewust zijn, dat de inrichting van de arbeidsorganisatie een keuze is. De technologie schrijft dat niet voor. Zo zijn er voor de organisatie van het werk bij twee nieuwe fietsenfabrieken, van Gazelle en van Koga </w:t>
      </w:r>
      <w:proofErr w:type="spellStart"/>
      <w:r>
        <w:t>Myata</w:t>
      </w:r>
      <w:proofErr w:type="spellEnd"/>
      <w:r>
        <w:t xml:space="preserve">, totaal verschillende concepten gebruikt. Verschillende keuzes. Zo heeft de één de productie van de fiets op </w:t>
      </w:r>
      <w:proofErr w:type="spellStart"/>
      <w:r>
        <w:t>tayloristische</w:t>
      </w:r>
      <w:proofErr w:type="spellEnd"/>
      <w:r>
        <w:t xml:space="preserve"> wijze opgeknipt in -tig kort-cyclische handelingen, terwijl de ander de productie van een gehele fiets bij één vakman neerlegt. Over arbeidsvreugde en inzet van vakmanschap gesproken… Toch zien we dat door o.a. </w:t>
      </w:r>
      <w:proofErr w:type="spellStart"/>
      <w:r>
        <w:t>jobcarving</w:t>
      </w:r>
      <w:proofErr w:type="spellEnd"/>
      <w:r>
        <w:t xml:space="preserve"> steeds meer taken in partjes opgeknipt worden, hetgeen vakmanschap ondermijnt. Dat zijn geen keuzes waar de werkenden bij betrokken zijn…</w:t>
      </w:r>
    </w:p>
    <w:p w:rsidR="0060688B" w:rsidP="004D4C93" w:rsidRDefault="0060688B">
      <w:pPr>
        <w:spacing w:line="260" w:lineRule="exact"/>
      </w:pPr>
    </w:p>
    <w:p w:rsidR="00160A18" w:rsidP="0043153A" w:rsidRDefault="0043153A">
      <w:pPr>
        <w:spacing w:line="260" w:lineRule="exact"/>
      </w:pPr>
      <w:r>
        <w:t xml:space="preserve">FNV </w:t>
      </w:r>
      <w:r w:rsidR="000B7209">
        <w:t xml:space="preserve">Bouwen en Wonen </w:t>
      </w:r>
      <w:r>
        <w:t xml:space="preserve">laat momenteel onderzoek uitvoeren naar sociale innovatie in de bouw. Door het EIB, het Economisch Instituut voor de Bouw en door De Burcht, het wetenschappelijk bureau van de </w:t>
      </w:r>
      <w:r w:rsidR="00CA30BC">
        <w:t>Vakbeweging</w:t>
      </w:r>
      <w:r>
        <w:t>. We zien dat er in de bouw, evenals in andere sectoren, voorlopers zijn wat betreft het nadenken</w:t>
      </w:r>
      <w:r w:rsidR="000B7209">
        <w:t xml:space="preserve"> over</w:t>
      </w:r>
      <w:r>
        <w:t xml:space="preserve"> en realiseren van sociale innovatie.</w:t>
      </w:r>
      <w:r w:rsidR="000B7209">
        <w:t xml:space="preserve"> </w:t>
      </w:r>
      <w:r>
        <w:t xml:space="preserve">Maar we zien in ons contact met de werkvloer ook, dat er vooral ook heel veel achterblijvers </w:t>
      </w:r>
      <w:r w:rsidR="00803A8F">
        <w:t xml:space="preserve">zijn </w:t>
      </w:r>
      <w:r w:rsidR="000B7209">
        <w:t>(</w:t>
      </w:r>
      <w:r w:rsidR="00160A18">
        <w:t xml:space="preserve">uit </w:t>
      </w:r>
      <w:r w:rsidR="000B7209">
        <w:t>het onderzoek</w:t>
      </w:r>
      <w:r w:rsidR="00160A18">
        <w:t>:</w:t>
      </w:r>
      <w:r w:rsidR="000B7209">
        <w:t xml:space="preserve"> 39%)</w:t>
      </w:r>
      <w:r>
        <w:t>, waar rol en positie van de werkenden</w:t>
      </w:r>
      <w:r w:rsidR="000B7209">
        <w:t xml:space="preserve"> vrijwel</w:t>
      </w:r>
      <w:r>
        <w:t xml:space="preserve"> geen issue zijn, laat staan om te vernieuwen mét betrokkenheid van werknemers. </w:t>
      </w:r>
    </w:p>
    <w:p w:rsidR="0043153A" w:rsidP="0043153A" w:rsidRDefault="000B7209">
      <w:pPr>
        <w:spacing w:line="260" w:lineRule="exact"/>
      </w:pPr>
      <w:r>
        <w:t xml:space="preserve">Het kwalitatieve </w:t>
      </w:r>
      <w:r w:rsidR="00917142">
        <w:t xml:space="preserve">deel van het </w:t>
      </w:r>
      <w:r>
        <w:t xml:space="preserve">onderzoek laat zien, dat veel werknemers </w:t>
      </w:r>
      <w:r w:rsidRPr="000B7209">
        <w:rPr>
          <w:b/>
          <w:i/>
        </w:rPr>
        <w:t>‘een beter verhaal voor de bouw willen’</w:t>
      </w:r>
      <w:r w:rsidR="00160A18">
        <w:t xml:space="preserve">. Zij vinden dat het bestaande verhaal van de bouw vooral wordt geschreven door hoogopgeleide werknemers, die </w:t>
      </w:r>
      <w:r w:rsidR="00160A18">
        <w:rPr>
          <w:i/>
        </w:rPr>
        <w:t xml:space="preserve">geloven </w:t>
      </w:r>
      <w:r w:rsidR="00160A18">
        <w:t>dat alleen nieuwe technologie de problemen in de organisatie van de bouw zal oplossen. Dit verhaal verdient -zoals de onderzoekers het formuleren- aanvulling met sociaal innovatieve elementen.</w:t>
      </w:r>
      <w:r w:rsidRPr="00016A34" w:rsidR="00020B0F">
        <w:rPr>
          <w:rStyle w:val="Eindnootmarkering"/>
          <w:i/>
          <w:color w:val="5B9BD5" w:themeColor="accent5"/>
        </w:rPr>
        <w:endnoteReference w:id="4"/>
      </w:r>
    </w:p>
    <w:p w:rsidR="0043153A" w:rsidP="0043153A" w:rsidRDefault="00197B53">
      <w:pPr>
        <w:spacing w:line="260" w:lineRule="exact"/>
      </w:pPr>
      <w:r>
        <w:t>Een belangrijk gegeven van het onderzoek is</w:t>
      </w:r>
      <w:r w:rsidR="00803A8F">
        <w:t xml:space="preserve"> ook -in het verlengde van voorgaande notie-</w:t>
      </w:r>
      <w:r>
        <w:t>, dat er zich steeds meer een tweedeling aftekent tussen ‘hoger opgeleiden’, die de technologische ontwikkeling ‘doen’</w:t>
      </w:r>
      <w:r w:rsidR="00917142">
        <w:t xml:space="preserve"> en daartoe geschoold, </w:t>
      </w:r>
      <w:r w:rsidR="00803A8F">
        <w:t xml:space="preserve">betrokken, </w:t>
      </w:r>
      <w:r w:rsidR="00917142">
        <w:t>etc. worden</w:t>
      </w:r>
      <w:r>
        <w:t>, en de werknemers in het uitvoerende werk, die nog ‘de handjes’ mogen zijn in de vernieuwing van de sector. Een zeer onbevredigend beeld!</w:t>
      </w:r>
    </w:p>
    <w:p w:rsidR="00197B53" w:rsidP="0043153A" w:rsidRDefault="00197B53">
      <w:pPr>
        <w:spacing w:line="260" w:lineRule="exact"/>
      </w:pPr>
    </w:p>
    <w:p w:rsidR="0043153A" w:rsidP="0043153A" w:rsidRDefault="0043153A">
      <w:pPr>
        <w:spacing w:line="260" w:lineRule="exact"/>
      </w:pPr>
      <w:r>
        <w:t>De massieve aandacht voor de technologische/ecologische transitie</w:t>
      </w:r>
      <w:r w:rsidR="00160A18">
        <w:t xml:space="preserve"> dient</w:t>
      </w:r>
      <w:r>
        <w:t xml:space="preserve"> </w:t>
      </w:r>
      <w:r w:rsidR="00197B53">
        <w:t xml:space="preserve">daarom </w:t>
      </w:r>
      <w:r>
        <w:t>gepaard</w:t>
      </w:r>
      <w:r w:rsidR="00160A18">
        <w:t xml:space="preserve"> te</w:t>
      </w:r>
      <w:r>
        <w:t xml:space="preserve"> gaan met een even massieve aandacht voor sociale transitie, in het bijzonder voor de participatie van de werkenden in de arbeidsorganisatie: meedenken, meepraten, meebeslissen. </w:t>
      </w:r>
      <w:r w:rsidR="00160A18">
        <w:t>Graag werken we met de sociale partners aan deze</w:t>
      </w:r>
      <w:r>
        <w:t xml:space="preserve"> sociale transitie, </w:t>
      </w:r>
      <w:r w:rsidR="00160A18">
        <w:t xml:space="preserve">om te </w:t>
      </w:r>
      <w:r>
        <w:t>realiseren wat in het SER-advies genoe</w:t>
      </w:r>
      <w:r w:rsidR="001F6DDF">
        <w:t xml:space="preserve">md wordt </w:t>
      </w:r>
      <w:r>
        <w:t xml:space="preserve">een “andere bedrijfscultuur”. Technologische en sociale innovatie is een tweeling die gezamenlijk opgevoed moet worden. </w:t>
      </w:r>
    </w:p>
    <w:p w:rsidR="00197B53" w:rsidP="0043153A" w:rsidRDefault="00197B53">
      <w:pPr>
        <w:spacing w:line="260" w:lineRule="exact"/>
      </w:pPr>
    </w:p>
    <w:p w:rsidR="00020B0F" w:rsidP="004D4C93" w:rsidRDefault="00197B53">
      <w:pPr>
        <w:spacing w:line="260" w:lineRule="exact"/>
      </w:pPr>
      <w:r>
        <w:t xml:space="preserve">Een wezenlijke vaststelling hierbij is het, dat er een groot gebrek is aan sociaalwetenschappelijk onderzoek naar </w:t>
      </w:r>
      <w:r>
        <w:rPr>
          <w:i/>
        </w:rPr>
        <w:t>sociale innovatie</w:t>
      </w:r>
      <w:r>
        <w:t xml:space="preserve"> en </w:t>
      </w:r>
      <w:r>
        <w:rPr>
          <w:i/>
        </w:rPr>
        <w:t xml:space="preserve">vernieuwing van arbeidsorganisaties, </w:t>
      </w:r>
      <w:r>
        <w:t>bij de massieve betrokkenheid van de meer technologische wetenschappen bij de innovatie in de bouw.</w:t>
      </w:r>
      <w:r w:rsidR="00803A8F">
        <w:t xml:space="preserve"> Dit verdient aandacht. </w:t>
      </w:r>
      <w:r w:rsidR="00917142">
        <w:t xml:space="preserve">Een positief element wat hierbij genoemd mag worden is, dat in de agenda van de Circulaire Bouweconomie expliciet aandacht is gevraagd voor het ontwikkelen van ‘opvattingen over sociaal-innovatieve arbeidsorganisaties’. </w:t>
      </w:r>
    </w:p>
    <w:p w:rsidR="00020B0F" w:rsidP="004D4C93" w:rsidRDefault="00020B0F">
      <w:pPr>
        <w:spacing w:line="260" w:lineRule="exact"/>
      </w:pPr>
    </w:p>
    <w:p w:rsidRPr="00016A34" w:rsidR="0060688B" w:rsidP="004D4C93" w:rsidRDefault="0060688B">
      <w:pPr>
        <w:spacing w:line="260" w:lineRule="exact"/>
        <w:rPr>
          <w:b/>
          <w:i/>
          <w:color w:val="5B9BD5" w:themeColor="accent5"/>
        </w:rPr>
      </w:pPr>
      <w:r w:rsidRPr="00016A34">
        <w:rPr>
          <w:b/>
          <w:i/>
          <w:color w:val="5B9BD5" w:themeColor="accent5"/>
        </w:rPr>
        <w:t>Rol van de overheid</w:t>
      </w:r>
    </w:p>
    <w:p w:rsidR="00236851" w:rsidP="004D4C93" w:rsidRDefault="0043153A">
      <w:pPr>
        <w:spacing w:line="260" w:lineRule="exact"/>
      </w:pPr>
      <w:r>
        <w:t xml:space="preserve">We zouden ons fundamenteel de vraag moeten stellen, hoe de toekomst van de arbeid en van de arbeidsorganisatie eruit moet komen te zien. We formuleren -terecht- hoge </w:t>
      </w:r>
      <w:r w:rsidR="00917142">
        <w:t xml:space="preserve">lange termijn </w:t>
      </w:r>
      <w:r>
        <w:t xml:space="preserve">doelstellingen als het gaat om de producten en de wijze van produceren, maar formuleren </w:t>
      </w:r>
      <w:r w:rsidR="00917142">
        <w:t xml:space="preserve">-onterecht- </w:t>
      </w:r>
      <w:r>
        <w:t xml:space="preserve">geen </w:t>
      </w:r>
      <w:r w:rsidR="00917142">
        <w:t>lange termijn d</w:t>
      </w:r>
      <w:r>
        <w:t>oelstellingen</w:t>
      </w:r>
      <w:r w:rsidR="00F63878">
        <w:t>,</w:t>
      </w:r>
      <w:r>
        <w:t xml:space="preserve"> als het gaat om het r</w:t>
      </w:r>
      <w:r w:rsidR="00917142">
        <w:t>ealiseren van sociale innovatie en het inrichten van sociaal-innovatieve arbeidsorganisaties. Dat moet veranderen.</w:t>
      </w:r>
      <w:r w:rsidR="00F63878">
        <w:t xml:space="preserve"> </w:t>
      </w:r>
    </w:p>
    <w:p w:rsidR="00917142" w:rsidP="004D4C93" w:rsidRDefault="00917142">
      <w:pPr>
        <w:spacing w:line="260" w:lineRule="exact"/>
      </w:pPr>
    </w:p>
    <w:p w:rsidR="00FF5BCB" w:rsidP="004D4C93" w:rsidRDefault="00B86AA9">
      <w:pPr>
        <w:spacing w:line="260" w:lineRule="exact"/>
      </w:pPr>
      <w:r>
        <w:t xml:space="preserve">De </w:t>
      </w:r>
      <w:r w:rsidR="00E4469A">
        <w:t>transitie-uitdaging</w:t>
      </w:r>
      <w:r>
        <w:t xml:space="preserve"> vraagt</w:t>
      </w:r>
      <w:r w:rsidR="00E4469A">
        <w:t xml:space="preserve"> om samenspel van werkgevers en werknemers.</w:t>
      </w:r>
      <w:r>
        <w:t xml:space="preserve"> In het bijzonder </w:t>
      </w:r>
      <w:r w:rsidR="00F63878">
        <w:t xml:space="preserve">ook </w:t>
      </w:r>
      <w:r>
        <w:t xml:space="preserve">waar het gaat om de sociale transitie. Dat laat onverlet dat het van belang is en blijft, dat de overheid zijn rol daarin pakt. </w:t>
      </w:r>
      <w:r w:rsidR="00F63878">
        <w:t xml:space="preserve">Zonder </w:t>
      </w:r>
      <w:r w:rsidR="00563B4A">
        <w:t>uitputtend te zijn</w:t>
      </w:r>
      <w:r w:rsidR="00F63878">
        <w:t xml:space="preserve"> hieronder enkele</w:t>
      </w:r>
      <w:r w:rsidR="004B512D">
        <w:t xml:space="preserve"> terreinen, </w:t>
      </w:r>
      <w:r w:rsidR="00FF5BCB">
        <w:t xml:space="preserve">waarop </w:t>
      </w:r>
      <w:r w:rsidR="0041346E">
        <w:t xml:space="preserve">een rol van de overheid wenselijk is. </w:t>
      </w:r>
      <w:r w:rsidR="00FF5BCB">
        <w:t xml:space="preserve"> </w:t>
      </w:r>
    </w:p>
    <w:p w:rsidR="00FF5BCB" w:rsidP="004D4C93" w:rsidRDefault="005A2F40">
      <w:pPr>
        <w:spacing w:line="260" w:lineRule="exact"/>
      </w:pPr>
      <w:r w:rsidRPr="00016A34">
        <w:rPr>
          <w:color w:val="5B9BD5" w:themeColor="accent5"/>
        </w:rPr>
        <w:lastRenderedPageBreak/>
        <w:t>*</w:t>
      </w:r>
      <w:r w:rsidR="00016A34">
        <w:t xml:space="preserve"> </w:t>
      </w:r>
      <w:r w:rsidR="00FF5BCB">
        <w:t xml:space="preserve">In de eerste plaats </w:t>
      </w:r>
      <w:r w:rsidR="0041346E">
        <w:t xml:space="preserve">is het wenselijk dat </w:t>
      </w:r>
      <w:r w:rsidR="00FF5BCB">
        <w:t>de overheid zijn verantwoordelijkheid ne</w:t>
      </w:r>
      <w:r w:rsidR="0041346E">
        <w:t>emt</w:t>
      </w:r>
      <w:r w:rsidR="00FF5BCB">
        <w:t xml:space="preserve"> om voorwaarden te creëren dat werknemers de omschakeling kunnen meemaken en gekwalificeerd blijven om op een normale manier hun brood te kunnen blijven verdienen. </w:t>
      </w:r>
    </w:p>
    <w:p w:rsidR="0041346E" w:rsidP="004D4C93" w:rsidRDefault="005A2F40">
      <w:pPr>
        <w:spacing w:line="260" w:lineRule="exact"/>
      </w:pPr>
      <w:r w:rsidRPr="00016A34">
        <w:rPr>
          <w:color w:val="5B9BD5" w:themeColor="accent5"/>
        </w:rPr>
        <w:t>*</w:t>
      </w:r>
      <w:r w:rsidR="00016A34">
        <w:t xml:space="preserve"> </w:t>
      </w:r>
      <w:r w:rsidR="0041346E">
        <w:t>In de tweede plaats is het wenselijk dat de overheid een stimulerende rol blijft spelen ten aanzien van de technol</w:t>
      </w:r>
      <w:r w:rsidR="00F63878">
        <w:t>ogische/ecologische innovaties.</w:t>
      </w:r>
    </w:p>
    <w:p w:rsidR="00803A8F" w:rsidP="00F63878" w:rsidRDefault="005A2F40">
      <w:pPr>
        <w:spacing w:line="260" w:lineRule="exact"/>
      </w:pPr>
      <w:r w:rsidRPr="00016A34">
        <w:rPr>
          <w:color w:val="5B9BD5" w:themeColor="accent5"/>
        </w:rPr>
        <w:t>*</w:t>
      </w:r>
      <w:r w:rsidR="00016A34">
        <w:t xml:space="preserve"> </w:t>
      </w:r>
      <w:r w:rsidR="00FF5BCB">
        <w:t xml:space="preserve">In de </w:t>
      </w:r>
      <w:r w:rsidR="0041346E">
        <w:t>derde</w:t>
      </w:r>
      <w:r w:rsidR="00FF5BCB">
        <w:t xml:space="preserve"> plaats is het wenselijk dat de overheid een stimulerende rol blijft spelen om </w:t>
      </w:r>
      <w:r w:rsidR="0041346E">
        <w:t xml:space="preserve">in het bijzonder </w:t>
      </w:r>
      <w:r w:rsidR="00FF5BCB">
        <w:t>sociale innovatie parallel te blijven ontwikkelen naast de massieve technologische/</w:t>
      </w:r>
      <w:r w:rsidR="0041346E">
        <w:t xml:space="preserve"> </w:t>
      </w:r>
      <w:r w:rsidR="00FF5BCB">
        <w:t xml:space="preserve">ecologische ontwikkelingen. </w:t>
      </w:r>
      <w:r w:rsidR="0041346E">
        <w:t xml:space="preserve">Soms zal een </w:t>
      </w:r>
      <w:r w:rsidR="00FF5BCB">
        <w:t>meer dwingende</w:t>
      </w:r>
      <w:r w:rsidR="0041346E">
        <w:t xml:space="preserve"> regelgeving</w:t>
      </w:r>
      <w:r w:rsidR="00FF5BCB">
        <w:t xml:space="preserve"> wenselijk</w:t>
      </w:r>
      <w:r w:rsidR="0041346E">
        <w:t xml:space="preserve"> zijn</w:t>
      </w:r>
      <w:r w:rsidR="004B512D">
        <w:t>,</w:t>
      </w:r>
      <w:r w:rsidR="00FF5BCB">
        <w:t xml:space="preserve"> met name ten aanzien van de ‘achterblijvers’.</w:t>
      </w:r>
    </w:p>
    <w:p w:rsidR="00F63878" w:rsidP="00F63878" w:rsidRDefault="005A2F40">
      <w:pPr>
        <w:spacing w:line="260" w:lineRule="exact"/>
      </w:pPr>
      <w:r w:rsidRPr="00016A34">
        <w:rPr>
          <w:color w:val="5B9BD5" w:themeColor="accent5"/>
        </w:rPr>
        <w:t>*</w:t>
      </w:r>
      <w:r w:rsidR="00016A34">
        <w:t xml:space="preserve"> </w:t>
      </w:r>
      <w:r w:rsidR="00FF5BCB">
        <w:t xml:space="preserve">In de </w:t>
      </w:r>
      <w:r w:rsidR="0041346E">
        <w:t>vierde</w:t>
      </w:r>
      <w:r w:rsidR="00FF5BCB">
        <w:t xml:space="preserve"> plaats </w:t>
      </w:r>
      <w:r w:rsidR="0041346E">
        <w:t>is het wenselijk dat de overheid onderzoek naar vernieuwing van arbeidsorganisaties en de rol en positie van de werkende</w:t>
      </w:r>
      <w:r w:rsidR="00762A6E">
        <w:t>n stimuleert en mogelijk maakt.</w:t>
      </w:r>
      <w:r w:rsidR="00F63878">
        <w:t xml:space="preserve"> Dit vraagt om (sociaalwetenschappelijk) onderzoek naar vernieuwing van arbeidsorganisaties, </w:t>
      </w:r>
      <w:proofErr w:type="spellStart"/>
      <w:r w:rsidR="00F63878">
        <w:t>cq</w:t>
      </w:r>
      <w:proofErr w:type="spellEnd"/>
      <w:r w:rsidR="00F63878">
        <w:t xml:space="preserve"> humanisering van de arbeid. </w:t>
      </w:r>
    </w:p>
    <w:p w:rsidR="003B5041" w:rsidP="004D4C93" w:rsidRDefault="005A2F40">
      <w:pPr>
        <w:spacing w:line="260" w:lineRule="exact"/>
      </w:pPr>
      <w:r w:rsidRPr="00016A34">
        <w:rPr>
          <w:color w:val="5B9BD5" w:themeColor="accent5"/>
        </w:rPr>
        <w:t>*</w:t>
      </w:r>
      <w:r w:rsidRPr="00016A34" w:rsidR="00016A34">
        <w:rPr>
          <w:color w:val="5B9BD5" w:themeColor="accent5"/>
        </w:rPr>
        <w:t xml:space="preserve"> </w:t>
      </w:r>
      <w:r w:rsidR="00563B4A">
        <w:t>Samengevat is het wenselijk, dat de</w:t>
      </w:r>
      <w:r w:rsidR="00B02685">
        <w:t xml:space="preserve"> overheid een goed gevuld ‘innovatie</w:t>
      </w:r>
      <w:r w:rsidR="00803A8F">
        <w:t>- of transitie</w:t>
      </w:r>
      <w:r w:rsidR="00762A6E">
        <w:t>fonds’</w:t>
      </w:r>
      <w:r w:rsidR="00563B4A">
        <w:t xml:space="preserve"> realiseert</w:t>
      </w:r>
      <w:r w:rsidR="00762A6E">
        <w:t xml:space="preserve">, waarin voldoende gelden zijn ingebracht om doelen op bovengenoemde terreinen te </w:t>
      </w:r>
      <w:r w:rsidR="00563B4A">
        <w:t>r</w:t>
      </w:r>
      <w:r w:rsidR="00762A6E">
        <w:t xml:space="preserve">ealiseren. </w:t>
      </w:r>
    </w:p>
    <w:p w:rsidR="00016A34" w:rsidP="004D4C93" w:rsidRDefault="00016A34">
      <w:pPr>
        <w:spacing w:line="260" w:lineRule="exact"/>
      </w:pPr>
    </w:p>
    <w:sectPr w:rsidR="00016A34">
      <w:endnotePr>
        <w:numFmt w:val="decimal"/>
      </w:endnotePr>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CFE" w:rsidRDefault="00903CFE" w:rsidP="00903CFE">
      <w:pPr>
        <w:spacing w:line="240" w:lineRule="auto"/>
      </w:pPr>
      <w:r>
        <w:separator/>
      </w:r>
    </w:p>
  </w:endnote>
  <w:endnote w:type="continuationSeparator" w:id="0">
    <w:p w:rsidR="00903CFE" w:rsidRDefault="00903CFE" w:rsidP="00903CFE">
      <w:pPr>
        <w:spacing w:line="240" w:lineRule="auto"/>
      </w:pPr>
      <w:r>
        <w:continuationSeparator/>
      </w:r>
    </w:p>
  </w:endnote>
  <w:endnote w:id="1">
    <w:p w:rsidR="006E74A9" w:rsidRPr="005A2F40" w:rsidRDefault="006E74A9">
      <w:pPr>
        <w:pStyle w:val="Eindnoottekst"/>
        <w:rPr>
          <w:i/>
          <w:sz w:val="18"/>
          <w:szCs w:val="18"/>
        </w:rPr>
      </w:pPr>
      <w:r w:rsidRPr="00016A34">
        <w:rPr>
          <w:rStyle w:val="Eindnootmarkering"/>
          <w:i/>
          <w:color w:val="5B9BD5" w:themeColor="accent5"/>
          <w:sz w:val="18"/>
          <w:szCs w:val="18"/>
        </w:rPr>
        <w:endnoteRef/>
      </w:r>
      <w:r w:rsidRPr="005A2F40">
        <w:rPr>
          <w:i/>
          <w:sz w:val="18"/>
          <w:szCs w:val="18"/>
        </w:rPr>
        <w:t xml:space="preserve"> Sociale innovatie: “het gelijktijdig, met betrokkenheid van (alle) werknemers, en in onderlinge samenhang, vernieuwen en verbeteren in een bedrijf van werkorganisatie, personeelsbeleid en arbeidsverhoudingen. Voor de verbetering van het functioneren van mensen teneinde zowel de organisatieprestaties, de arbeidskwaliteit als de arbeidsrelaties op een hoger niveau te brengen”</w:t>
      </w:r>
      <w:r w:rsidR="005A2F40" w:rsidRPr="005A2F40">
        <w:rPr>
          <w:i/>
          <w:sz w:val="18"/>
          <w:szCs w:val="18"/>
        </w:rPr>
        <w:t xml:space="preserve"> </w:t>
      </w:r>
      <w:r w:rsidRPr="005A2F40">
        <w:rPr>
          <w:i/>
          <w:sz w:val="18"/>
          <w:szCs w:val="18"/>
        </w:rPr>
        <w:t>(Pot, 2012)</w:t>
      </w:r>
      <w:r w:rsidR="005A2F40" w:rsidRPr="005A2F40">
        <w:rPr>
          <w:i/>
          <w:sz w:val="18"/>
          <w:szCs w:val="18"/>
        </w:rPr>
        <w:t>.</w:t>
      </w:r>
    </w:p>
  </w:endnote>
  <w:endnote w:id="2">
    <w:p w:rsidR="00910BCC" w:rsidRPr="00903CFE" w:rsidRDefault="00910BCC" w:rsidP="00910BCC">
      <w:pPr>
        <w:pStyle w:val="Eindnoottekst"/>
        <w:rPr>
          <w:i/>
          <w:sz w:val="18"/>
          <w:szCs w:val="18"/>
        </w:rPr>
      </w:pPr>
      <w:r w:rsidRPr="00016A34">
        <w:rPr>
          <w:rStyle w:val="Eindnootmarkering"/>
          <w:i/>
          <w:color w:val="5B9BD5" w:themeColor="accent5"/>
          <w:sz w:val="18"/>
          <w:szCs w:val="18"/>
        </w:rPr>
        <w:endnoteRef/>
      </w:r>
      <w:r w:rsidRPr="00903CFE">
        <w:rPr>
          <w:i/>
          <w:sz w:val="18"/>
          <w:szCs w:val="18"/>
        </w:rPr>
        <w:t xml:space="preserve"> Zo blijkt uit de Concurrentie en Innovatie Monitor van de Erasmus Universiteit dat aandacht voor sociale innovatie zich ook uitbetaald in productiviteit en financiële cijfers. </w:t>
      </w:r>
      <w:proofErr w:type="spellStart"/>
      <w:r w:rsidRPr="00903CFE">
        <w:rPr>
          <w:i/>
          <w:sz w:val="18"/>
          <w:szCs w:val="18"/>
        </w:rPr>
        <w:t>Innovativiteit</w:t>
      </w:r>
      <w:proofErr w:type="spellEnd"/>
      <w:r w:rsidRPr="00903CFE">
        <w:rPr>
          <w:i/>
          <w:sz w:val="18"/>
          <w:szCs w:val="18"/>
        </w:rPr>
        <w:t xml:space="preserve"> (+37%) en productiviteit (+22%) liggen bij sociaal-innovatieve organisaties beduidend hoger dan bij top-down georganiseerde organisaties, evenals omzetgroei (+15%) en winstgroei (+14%). (Bron: </w:t>
      </w:r>
      <w:proofErr w:type="spellStart"/>
      <w:r w:rsidRPr="00903CFE">
        <w:rPr>
          <w:i/>
          <w:sz w:val="18"/>
          <w:szCs w:val="18"/>
        </w:rPr>
        <w:t>Effectory</w:t>
      </w:r>
      <w:proofErr w:type="spellEnd"/>
      <w:r w:rsidRPr="00903CFE">
        <w:rPr>
          <w:i/>
          <w:sz w:val="18"/>
          <w:szCs w:val="18"/>
        </w:rPr>
        <w:t>)</w:t>
      </w:r>
      <w:r w:rsidR="006E74A9">
        <w:rPr>
          <w:i/>
          <w:sz w:val="18"/>
          <w:szCs w:val="18"/>
        </w:rPr>
        <w:t xml:space="preserve">. </w:t>
      </w:r>
    </w:p>
  </w:endnote>
  <w:endnote w:id="3">
    <w:p w:rsidR="006E74A9" w:rsidRPr="006E74A9" w:rsidRDefault="006E74A9">
      <w:pPr>
        <w:pStyle w:val="Eindnoottekst"/>
        <w:rPr>
          <w:i/>
          <w:sz w:val="18"/>
          <w:szCs w:val="18"/>
        </w:rPr>
      </w:pPr>
      <w:r w:rsidRPr="00016A34">
        <w:rPr>
          <w:rStyle w:val="Eindnootmarkering"/>
          <w:i/>
          <w:color w:val="5B9BD5" w:themeColor="accent5"/>
          <w:sz w:val="18"/>
          <w:szCs w:val="18"/>
        </w:rPr>
        <w:endnoteRef/>
      </w:r>
      <w:r w:rsidRPr="006E74A9">
        <w:rPr>
          <w:i/>
          <w:sz w:val="18"/>
          <w:szCs w:val="18"/>
        </w:rPr>
        <w:t xml:space="preserve"> SER-Advies,</w:t>
      </w:r>
      <w:r w:rsidR="005A2F40">
        <w:rPr>
          <w:i/>
          <w:sz w:val="18"/>
          <w:szCs w:val="18"/>
        </w:rPr>
        <w:t>’</w:t>
      </w:r>
      <w:r w:rsidRPr="006E74A9">
        <w:rPr>
          <w:i/>
          <w:sz w:val="18"/>
          <w:szCs w:val="18"/>
        </w:rPr>
        <w:t xml:space="preserve"> Werken aan een circulaire economie: geen tijd te verliezen</w:t>
      </w:r>
      <w:r w:rsidR="005A2F40">
        <w:rPr>
          <w:i/>
          <w:sz w:val="18"/>
          <w:szCs w:val="18"/>
        </w:rPr>
        <w:t>’</w:t>
      </w:r>
      <w:r w:rsidRPr="006E74A9">
        <w:rPr>
          <w:i/>
          <w:sz w:val="18"/>
          <w:szCs w:val="18"/>
        </w:rPr>
        <w:t>; juni 2016</w:t>
      </w:r>
      <w:r w:rsidR="005A2F40">
        <w:rPr>
          <w:i/>
          <w:sz w:val="18"/>
          <w:szCs w:val="18"/>
        </w:rPr>
        <w:t>; p.93.</w:t>
      </w:r>
    </w:p>
  </w:endnote>
  <w:endnote w:id="4">
    <w:p w:rsidR="00020B0F" w:rsidRPr="00F63878" w:rsidRDefault="00020B0F">
      <w:pPr>
        <w:pStyle w:val="Eindnoottekst"/>
        <w:rPr>
          <w:i/>
          <w:sz w:val="18"/>
          <w:szCs w:val="18"/>
        </w:rPr>
      </w:pPr>
      <w:r w:rsidRPr="00016A34">
        <w:rPr>
          <w:rStyle w:val="Eindnootmarkering"/>
          <w:i/>
          <w:color w:val="5B9BD5" w:themeColor="accent5"/>
          <w:sz w:val="18"/>
          <w:szCs w:val="18"/>
        </w:rPr>
        <w:endnoteRef/>
      </w:r>
      <w:r w:rsidRPr="00016A34">
        <w:rPr>
          <w:i/>
          <w:color w:val="5B9BD5" w:themeColor="accent5"/>
          <w:sz w:val="18"/>
          <w:szCs w:val="18"/>
        </w:rPr>
        <w:t xml:space="preserve"> </w:t>
      </w:r>
      <w:r w:rsidRPr="00F63878">
        <w:rPr>
          <w:i/>
          <w:sz w:val="18"/>
          <w:szCs w:val="18"/>
        </w:rPr>
        <w:t>Onder de titel ‘De bouw heeft een beter verhaal nodig’</w:t>
      </w:r>
      <w:r w:rsidR="00160A18" w:rsidRPr="00F63878">
        <w:rPr>
          <w:i/>
          <w:sz w:val="18"/>
          <w:szCs w:val="18"/>
        </w:rPr>
        <w:t xml:space="preserve">, organiseert FNV Bouwen en Wonen op </w:t>
      </w:r>
      <w:r w:rsidRPr="00F63878">
        <w:rPr>
          <w:i/>
          <w:sz w:val="18"/>
          <w:szCs w:val="18"/>
        </w:rPr>
        <w:t>14 dec</w:t>
      </w:r>
      <w:r w:rsidR="00160A18" w:rsidRPr="00F63878">
        <w:rPr>
          <w:i/>
          <w:sz w:val="18"/>
          <w:szCs w:val="18"/>
        </w:rPr>
        <w:t xml:space="preserve"> een conferentie</w:t>
      </w:r>
      <w:r w:rsidR="00F63878">
        <w:rPr>
          <w:i/>
          <w:sz w:val="18"/>
          <w:szCs w:val="18"/>
        </w:rPr>
        <w:t>,</w:t>
      </w:r>
      <w:r w:rsidR="00160A18" w:rsidRPr="00F63878">
        <w:rPr>
          <w:i/>
          <w:sz w:val="18"/>
          <w:szCs w:val="18"/>
        </w:rPr>
        <w:t xml:space="preserve"> waar de onderzoeksresultaten gepresenteerd en besproken worden.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CFE" w:rsidRDefault="00903CFE" w:rsidP="00903CFE">
      <w:pPr>
        <w:spacing w:line="240" w:lineRule="auto"/>
      </w:pPr>
      <w:r>
        <w:separator/>
      </w:r>
    </w:p>
  </w:footnote>
  <w:footnote w:type="continuationSeparator" w:id="0">
    <w:p w:rsidR="00903CFE" w:rsidRDefault="00903CFE" w:rsidP="00903C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A7"/>
    <w:rsid w:val="00016A34"/>
    <w:rsid w:val="00020B0F"/>
    <w:rsid w:val="00071E33"/>
    <w:rsid w:val="000B5BA2"/>
    <w:rsid w:val="000B7209"/>
    <w:rsid w:val="000F209D"/>
    <w:rsid w:val="00134A56"/>
    <w:rsid w:val="00157313"/>
    <w:rsid w:val="00160A18"/>
    <w:rsid w:val="00163292"/>
    <w:rsid w:val="001825DB"/>
    <w:rsid w:val="00183A51"/>
    <w:rsid w:val="00190FA9"/>
    <w:rsid w:val="00195FCE"/>
    <w:rsid w:val="00197B53"/>
    <w:rsid w:val="001C3737"/>
    <w:rsid w:val="001C4429"/>
    <w:rsid w:val="001F6DDF"/>
    <w:rsid w:val="002153A7"/>
    <w:rsid w:val="00236851"/>
    <w:rsid w:val="00253E5B"/>
    <w:rsid w:val="00265675"/>
    <w:rsid w:val="002C1420"/>
    <w:rsid w:val="002E66CE"/>
    <w:rsid w:val="00352AA6"/>
    <w:rsid w:val="00362C65"/>
    <w:rsid w:val="00365794"/>
    <w:rsid w:val="00397E61"/>
    <w:rsid w:val="003A4ACD"/>
    <w:rsid w:val="003B5041"/>
    <w:rsid w:val="0040333D"/>
    <w:rsid w:val="00411576"/>
    <w:rsid w:val="0041346E"/>
    <w:rsid w:val="0043153A"/>
    <w:rsid w:val="00453DDA"/>
    <w:rsid w:val="004A15FD"/>
    <w:rsid w:val="004B2E8B"/>
    <w:rsid w:val="004B512D"/>
    <w:rsid w:val="004C3B47"/>
    <w:rsid w:val="004C536E"/>
    <w:rsid w:val="004D4C93"/>
    <w:rsid w:val="004E76F3"/>
    <w:rsid w:val="00517718"/>
    <w:rsid w:val="00537CC7"/>
    <w:rsid w:val="00563B4A"/>
    <w:rsid w:val="0056434F"/>
    <w:rsid w:val="005A0C7C"/>
    <w:rsid w:val="005A2F40"/>
    <w:rsid w:val="005B629F"/>
    <w:rsid w:val="005C209A"/>
    <w:rsid w:val="005D2D6E"/>
    <w:rsid w:val="00602716"/>
    <w:rsid w:val="0060688B"/>
    <w:rsid w:val="00620874"/>
    <w:rsid w:val="00625DDE"/>
    <w:rsid w:val="00650CE8"/>
    <w:rsid w:val="0065592A"/>
    <w:rsid w:val="00671097"/>
    <w:rsid w:val="006B4093"/>
    <w:rsid w:val="006B7CCE"/>
    <w:rsid w:val="006C792C"/>
    <w:rsid w:val="006E74A9"/>
    <w:rsid w:val="00742FFB"/>
    <w:rsid w:val="00753976"/>
    <w:rsid w:val="00757D98"/>
    <w:rsid w:val="00762A6E"/>
    <w:rsid w:val="007675B2"/>
    <w:rsid w:val="00803A8F"/>
    <w:rsid w:val="0081763A"/>
    <w:rsid w:val="00856DF7"/>
    <w:rsid w:val="00857EA3"/>
    <w:rsid w:val="00857FE7"/>
    <w:rsid w:val="00871640"/>
    <w:rsid w:val="008740F3"/>
    <w:rsid w:val="00887D15"/>
    <w:rsid w:val="008A30EC"/>
    <w:rsid w:val="008D3EA7"/>
    <w:rsid w:val="00900AB5"/>
    <w:rsid w:val="00901205"/>
    <w:rsid w:val="00903CFE"/>
    <w:rsid w:val="00910BCC"/>
    <w:rsid w:val="00917142"/>
    <w:rsid w:val="0093612F"/>
    <w:rsid w:val="00940956"/>
    <w:rsid w:val="0095202E"/>
    <w:rsid w:val="00A41D09"/>
    <w:rsid w:val="00A84259"/>
    <w:rsid w:val="00AA7898"/>
    <w:rsid w:val="00AB0083"/>
    <w:rsid w:val="00AB3B48"/>
    <w:rsid w:val="00AD4E72"/>
    <w:rsid w:val="00AE1EDC"/>
    <w:rsid w:val="00B02685"/>
    <w:rsid w:val="00B400BA"/>
    <w:rsid w:val="00B54629"/>
    <w:rsid w:val="00B63714"/>
    <w:rsid w:val="00B76D86"/>
    <w:rsid w:val="00B86AA9"/>
    <w:rsid w:val="00BB4B59"/>
    <w:rsid w:val="00C034BB"/>
    <w:rsid w:val="00C04788"/>
    <w:rsid w:val="00C135F8"/>
    <w:rsid w:val="00C22FC0"/>
    <w:rsid w:val="00C30A63"/>
    <w:rsid w:val="00C517DF"/>
    <w:rsid w:val="00C67FBE"/>
    <w:rsid w:val="00C71E26"/>
    <w:rsid w:val="00C73537"/>
    <w:rsid w:val="00CA30BC"/>
    <w:rsid w:val="00CE1375"/>
    <w:rsid w:val="00D002DA"/>
    <w:rsid w:val="00D04416"/>
    <w:rsid w:val="00D30830"/>
    <w:rsid w:val="00D6009B"/>
    <w:rsid w:val="00DA146E"/>
    <w:rsid w:val="00DE2F15"/>
    <w:rsid w:val="00E101FA"/>
    <w:rsid w:val="00E10DF7"/>
    <w:rsid w:val="00E1480F"/>
    <w:rsid w:val="00E4469A"/>
    <w:rsid w:val="00E8067B"/>
    <w:rsid w:val="00E840FF"/>
    <w:rsid w:val="00ED41D3"/>
    <w:rsid w:val="00F0448B"/>
    <w:rsid w:val="00F12C32"/>
    <w:rsid w:val="00F50E7F"/>
    <w:rsid w:val="00F63878"/>
    <w:rsid w:val="00F750C7"/>
    <w:rsid w:val="00F974EC"/>
    <w:rsid w:val="00FA225F"/>
    <w:rsid w:val="00FF20F3"/>
    <w:rsid w:val="00FF5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0B6F"/>
  <w15:chartTrackingRefBased/>
  <w15:docId w15:val="{5B73AB22-47B1-45E5-A972-B831CECA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592A"/>
    <w:pPr>
      <w:spacing w:line="252" w:lineRule="auto"/>
      <w:ind w:left="720"/>
      <w:contextualSpacing/>
    </w:pPr>
    <w:rPr>
      <w:rFonts w:ascii="Calibri" w:eastAsiaTheme="minorEastAsia" w:hAnsi="Calibri" w:cs="Calibri"/>
      <w:lang w:eastAsia="nl-NL"/>
    </w:rPr>
  </w:style>
  <w:style w:type="paragraph" w:styleId="Eindnoottekst">
    <w:name w:val="endnote text"/>
    <w:basedOn w:val="Standaard"/>
    <w:link w:val="EindnoottekstChar"/>
    <w:uiPriority w:val="99"/>
    <w:semiHidden/>
    <w:unhideWhenUsed/>
    <w:rsid w:val="00903CF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903CFE"/>
    <w:rPr>
      <w:sz w:val="20"/>
      <w:szCs w:val="20"/>
    </w:rPr>
  </w:style>
  <w:style w:type="character" w:styleId="Eindnootmarkering">
    <w:name w:val="endnote reference"/>
    <w:basedOn w:val="Standaardalinea-lettertype"/>
    <w:uiPriority w:val="99"/>
    <w:semiHidden/>
    <w:unhideWhenUsed/>
    <w:rsid w:val="00903CFE"/>
    <w:rPr>
      <w:vertAlign w:val="superscript"/>
    </w:rPr>
  </w:style>
  <w:style w:type="paragraph" w:styleId="Koptekst">
    <w:name w:val="header"/>
    <w:basedOn w:val="Standaard"/>
    <w:link w:val="KoptekstChar"/>
    <w:uiPriority w:val="99"/>
    <w:unhideWhenUsed/>
    <w:rsid w:val="00762A6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2A6E"/>
  </w:style>
  <w:style w:type="paragraph" w:styleId="Voettekst">
    <w:name w:val="footer"/>
    <w:basedOn w:val="Standaard"/>
    <w:link w:val="VoettekstChar"/>
    <w:uiPriority w:val="99"/>
    <w:unhideWhenUsed/>
    <w:rsid w:val="00762A6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62A6E"/>
  </w:style>
  <w:style w:type="paragraph" w:styleId="Ballontekst">
    <w:name w:val="Balloon Text"/>
    <w:basedOn w:val="Standaard"/>
    <w:link w:val="BallontekstChar"/>
    <w:uiPriority w:val="99"/>
    <w:semiHidden/>
    <w:unhideWhenUsed/>
    <w:rsid w:val="0015731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7313"/>
    <w:rPr>
      <w:rFonts w:ascii="Segoe UI" w:hAnsi="Segoe UI" w:cs="Segoe UI"/>
      <w:sz w:val="18"/>
      <w:szCs w:val="18"/>
    </w:rPr>
  </w:style>
  <w:style w:type="paragraph" w:styleId="Voetnoottekst">
    <w:name w:val="footnote text"/>
    <w:basedOn w:val="Standaard"/>
    <w:link w:val="VoetnoottekstChar"/>
    <w:uiPriority w:val="99"/>
    <w:semiHidden/>
    <w:unhideWhenUsed/>
    <w:rsid w:val="006E74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E74A9"/>
    <w:rPr>
      <w:sz w:val="20"/>
      <w:szCs w:val="20"/>
    </w:rPr>
  </w:style>
  <w:style w:type="character" w:styleId="Voetnootmarkering">
    <w:name w:val="footnote reference"/>
    <w:basedOn w:val="Standaardalinea-lettertype"/>
    <w:uiPriority w:val="99"/>
    <w:semiHidden/>
    <w:unhideWhenUsed/>
    <w:rsid w:val="006E74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8932">
      <w:bodyDiv w:val="1"/>
      <w:marLeft w:val="0"/>
      <w:marRight w:val="0"/>
      <w:marTop w:val="0"/>
      <w:marBottom w:val="0"/>
      <w:divBdr>
        <w:top w:val="none" w:sz="0" w:space="0" w:color="auto"/>
        <w:left w:val="none" w:sz="0" w:space="0" w:color="auto"/>
        <w:bottom w:val="none" w:sz="0" w:space="0" w:color="auto"/>
        <w:right w:val="none" w:sz="0" w:space="0" w:color="auto"/>
      </w:divBdr>
    </w:div>
    <w:div w:id="445853023">
      <w:bodyDiv w:val="1"/>
      <w:marLeft w:val="0"/>
      <w:marRight w:val="0"/>
      <w:marTop w:val="0"/>
      <w:marBottom w:val="0"/>
      <w:divBdr>
        <w:top w:val="none" w:sz="0" w:space="0" w:color="auto"/>
        <w:left w:val="none" w:sz="0" w:space="0" w:color="auto"/>
        <w:bottom w:val="none" w:sz="0" w:space="0" w:color="auto"/>
        <w:right w:val="none" w:sz="0" w:space="0" w:color="auto"/>
      </w:divBdr>
    </w:div>
    <w:div w:id="476075465">
      <w:bodyDiv w:val="1"/>
      <w:marLeft w:val="0"/>
      <w:marRight w:val="0"/>
      <w:marTop w:val="0"/>
      <w:marBottom w:val="0"/>
      <w:divBdr>
        <w:top w:val="none" w:sz="0" w:space="0" w:color="auto"/>
        <w:left w:val="none" w:sz="0" w:space="0" w:color="auto"/>
        <w:bottom w:val="none" w:sz="0" w:space="0" w:color="auto"/>
        <w:right w:val="none" w:sz="0" w:space="0" w:color="auto"/>
      </w:divBdr>
    </w:div>
    <w:div w:id="1045106189">
      <w:bodyDiv w:val="1"/>
      <w:marLeft w:val="0"/>
      <w:marRight w:val="0"/>
      <w:marTop w:val="0"/>
      <w:marBottom w:val="0"/>
      <w:divBdr>
        <w:top w:val="none" w:sz="0" w:space="0" w:color="auto"/>
        <w:left w:val="none" w:sz="0" w:space="0" w:color="auto"/>
        <w:bottom w:val="none" w:sz="0" w:space="0" w:color="auto"/>
        <w:right w:val="none" w:sz="0" w:space="0" w:color="auto"/>
      </w:divBdr>
    </w:div>
    <w:div w:id="17491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7.png@01D3678C.C9DDB930"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1264</ap:Words>
  <ap:Characters>7387</ap:Characters>
  <ap:DocSecurity>0</ap:DocSecurity>
  <ap:Lines>119</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2017-11-30T12:41:00.0000000Z</lastPrinted>
  <dcterms:created xsi:type="dcterms:W3CDTF">2017-11-28T12:48:00.0000000Z</dcterms:created>
  <dcterms:modified xsi:type="dcterms:W3CDTF">2017-11-30T12:46:00.0000000Z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ies>
</file>