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C7C0D" w:rsidR="007D56F1" w:rsidP="006608C8" w:rsidRDefault="00AE3D97">
      <w:pPr>
        <w:rPr>
          <w:i/>
        </w:rPr>
      </w:pPr>
      <w:r w:rsidRPr="009C7C0D">
        <w:rPr>
          <w:i/>
          <w:noProof/>
        </w:rPr>
        <w:drawing>
          <wp:anchor distT="0" distB="0" distL="114300" distR="114300" simplePos="0" relativeHeight="251658240" behindDoc="0" locked="0" layoutInCell="1" allowOverlap="1">
            <wp:simplePos x="0" y="0"/>
            <wp:positionH relativeFrom="margin">
              <wp:posOffset>1915822</wp:posOffset>
            </wp:positionH>
            <wp:positionV relativeFrom="page">
              <wp:posOffset>-32197</wp:posOffset>
            </wp:positionV>
            <wp:extent cx="1654810" cy="660400"/>
            <wp:effectExtent l="0" t="0" r="2540" b="6350"/>
            <wp:wrapThrough wrapText="bothSides">
              <wp:wrapPolygon edited="0">
                <wp:start x="0" y="0"/>
                <wp:lineTo x="0" y="21185"/>
                <wp:lineTo x="21384" y="21185"/>
                <wp:lineTo x="21384"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ederin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4810" cy="660400"/>
                    </a:xfrm>
                    <a:prstGeom prst="rect">
                      <a:avLst/>
                    </a:prstGeom>
                  </pic:spPr>
                </pic:pic>
              </a:graphicData>
            </a:graphic>
            <wp14:sizeRelH relativeFrom="page">
              <wp14:pctWidth>0</wp14:pctWidth>
            </wp14:sizeRelH>
            <wp14:sizeRelV relativeFrom="page">
              <wp14:pctHeight>0</wp14:pctHeight>
            </wp14:sizeRelV>
          </wp:anchor>
        </w:drawing>
      </w:r>
      <w:r w:rsidRPr="009C7C0D" w:rsidR="007D56F1">
        <w:rPr>
          <w:i/>
          <w:sz w:val="24"/>
        </w:rPr>
        <w:t>Ronde tafelgesprek Bouwopgave</w:t>
      </w:r>
      <w:r w:rsidRPr="009C7C0D" w:rsidR="009C7C0D">
        <w:rPr>
          <w:i/>
          <w:sz w:val="24"/>
        </w:rPr>
        <w:t>,</w:t>
      </w:r>
      <w:r w:rsidRPr="009C7C0D" w:rsidR="00844E78">
        <w:rPr>
          <w:i/>
          <w:sz w:val="24"/>
        </w:rPr>
        <w:t xml:space="preserve"> 6 december 2017</w:t>
      </w:r>
      <w:r w:rsidRPr="009C7C0D" w:rsidR="009727C3">
        <w:rPr>
          <w:i/>
          <w:sz w:val="24"/>
        </w:rPr>
        <w:t xml:space="preserve"> </w:t>
      </w:r>
    </w:p>
    <w:p w:rsidR="0077645D" w:rsidP="006608C8" w:rsidRDefault="0077645D">
      <w:pPr>
        <w:rPr>
          <w:b/>
          <w:sz w:val="28"/>
          <w:szCs w:val="28"/>
        </w:rPr>
      </w:pPr>
    </w:p>
    <w:p w:rsidR="00350252" w:rsidP="006608C8" w:rsidRDefault="0016437A">
      <w:pPr>
        <w:rPr>
          <w:b/>
          <w:sz w:val="28"/>
          <w:szCs w:val="28"/>
        </w:rPr>
      </w:pPr>
      <w:r w:rsidRPr="00BB3817">
        <w:rPr>
          <w:b/>
          <w:sz w:val="28"/>
          <w:szCs w:val="28"/>
        </w:rPr>
        <w:t>Duurzaam én toegankelijk bouwen</w:t>
      </w:r>
    </w:p>
    <w:p w:rsidR="00910252" w:rsidP="006608C8" w:rsidRDefault="00910252">
      <w:pPr>
        <w:rPr>
          <w:b/>
          <w:sz w:val="24"/>
        </w:rPr>
      </w:pPr>
    </w:p>
    <w:p w:rsidRPr="00910252" w:rsidR="005579B8" w:rsidP="006608C8" w:rsidRDefault="000413D0">
      <w:pPr>
        <w:rPr>
          <w:sz w:val="24"/>
        </w:rPr>
      </w:pPr>
      <w:r>
        <w:rPr>
          <w:b/>
          <w:sz w:val="24"/>
        </w:rPr>
        <w:t>Het gaat om de gebruikers</w:t>
      </w:r>
    </w:p>
    <w:p w:rsidR="00156ABC" w:rsidP="006608C8" w:rsidRDefault="00BD56B0">
      <w:r>
        <w:t>Aan deze ronde tafel schuiven veel bouwpartijen aan. Ie</w:t>
      </w:r>
      <w:r w:rsidR="00977280">
        <w:t xml:space="preserve">der(in) </w:t>
      </w:r>
      <w:r>
        <w:t xml:space="preserve">vertegenwoordigt </w:t>
      </w:r>
      <w:r w:rsidR="00977280">
        <w:t xml:space="preserve">de </w:t>
      </w:r>
      <w:r w:rsidR="00F82278">
        <w:t>mens</w:t>
      </w:r>
      <w:r w:rsidR="00D53AD0">
        <w:t xml:space="preserve"> die </w:t>
      </w:r>
      <w:r w:rsidR="00F82278">
        <w:t xml:space="preserve">in de woningen </w:t>
      </w:r>
      <w:r w:rsidR="00D53AD0">
        <w:t xml:space="preserve">woont </w:t>
      </w:r>
      <w:r w:rsidR="00F82278">
        <w:t xml:space="preserve">en </w:t>
      </w:r>
      <w:r w:rsidR="00A841E0">
        <w:t xml:space="preserve">gebruik maakt van de </w:t>
      </w:r>
      <w:r w:rsidR="000D4272">
        <w:t>gebouwen</w:t>
      </w:r>
      <w:r w:rsidR="001314E5">
        <w:t xml:space="preserve">. </w:t>
      </w:r>
    </w:p>
    <w:p w:rsidRPr="00977280" w:rsidR="00977280" w:rsidP="006608C8" w:rsidRDefault="00C83A1A">
      <w:r>
        <w:t xml:space="preserve">Ieder(in) is </w:t>
      </w:r>
      <w:r w:rsidR="00156ABC">
        <w:t xml:space="preserve">de koepelorganisatie van mensen met een beperking en </w:t>
      </w:r>
      <w:r w:rsidR="001314E5">
        <w:t>ch</w:t>
      </w:r>
      <w:r>
        <w:t>ronisch ziek</w:t>
      </w:r>
      <w:r w:rsidR="00156ABC">
        <w:t>en</w:t>
      </w:r>
      <w:r>
        <w:t xml:space="preserve">. </w:t>
      </w:r>
      <w:r w:rsidR="00F82278">
        <w:t xml:space="preserve">We </w:t>
      </w:r>
      <w:r w:rsidR="00D53AD0">
        <w:t xml:space="preserve">werken samen </w:t>
      </w:r>
      <w:r w:rsidR="00F82278">
        <w:t>m</w:t>
      </w:r>
      <w:r w:rsidR="00CC661A">
        <w:t xml:space="preserve">et de Woonbond </w:t>
      </w:r>
      <w:r w:rsidR="00F82278">
        <w:t xml:space="preserve">en </w:t>
      </w:r>
      <w:proofErr w:type="spellStart"/>
      <w:r w:rsidR="00F82278">
        <w:t>VACpunt</w:t>
      </w:r>
      <w:proofErr w:type="spellEnd"/>
      <w:r w:rsidR="00F82278">
        <w:t xml:space="preserve"> wonen</w:t>
      </w:r>
      <w:r w:rsidR="00CC661A">
        <w:t xml:space="preserve"> in de Woonalliantie.</w:t>
      </w:r>
    </w:p>
    <w:p w:rsidR="005579B8" w:rsidP="006608C8" w:rsidRDefault="005579B8">
      <w:pPr>
        <w:rPr>
          <w:b/>
        </w:rPr>
      </w:pPr>
    </w:p>
    <w:p w:rsidRPr="00910252" w:rsidR="00420F6C" w:rsidP="006608C8" w:rsidRDefault="00BE001E">
      <w:pPr>
        <w:rPr>
          <w:b/>
          <w:sz w:val="24"/>
        </w:rPr>
      </w:pPr>
      <w:r w:rsidRPr="00910252">
        <w:rPr>
          <w:b/>
          <w:sz w:val="24"/>
        </w:rPr>
        <w:t>De</w:t>
      </w:r>
      <w:r w:rsidRPr="00910252" w:rsidR="00C83A1A">
        <w:rPr>
          <w:b/>
          <w:sz w:val="24"/>
        </w:rPr>
        <w:t xml:space="preserve"> </w:t>
      </w:r>
      <w:r w:rsidR="003465A5">
        <w:rPr>
          <w:b/>
          <w:sz w:val="24"/>
        </w:rPr>
        <w:t xml:space="preserve">harde </w:t>
      </w:r>
      <w:r w:rsidRPr="00910252" w:rsidR="00C83A1A">
        <w:rPr>
          <w:b/>
          <w:sz w:val="24"/>
        </w:rPr>
        <w:t>cijfers</w:t>
      </w:r>
    </w:p>
    <w:p w:rsidRPr="001D58A6" w:rsidR="001D58A6" w:rsidP="006608C8" w:rsidRDefault="001D58A6">
      <w:r w:rsidRPr="001D58A6">
        <w:t>W</w:t>
      </w:r>
      <w:r w:rsidR="003465A5">
        <w:t xml:space="preserve">aarom moet </w:t>
      </w:r>
      <w:r w:rsidRPr="001D58A6">
        <w:t xml:space="preserve">de bouwopgave </w:t>
      </w:r>
      <w:r w:rsidR="00E36055">
        <w:t>zich richten op chronisch zieken en mensen met een beperking</w:t>
      </w:r>
      <w:r w:rsidRPr="001D58A6">
        <w:t>?</w:t>
      </w:r>
    </w:p>
    <w:p w:rsidR="006B07BA" w:rsidP="00C83A1A" w:rsidRDefault="00C83A1A">
      <w:pPr>
        <w:pStyle w:val="Lijstalinea"/>
        <w:numPr>
          <w:ilvl w:val="0"/>
          <w:numId w:val="2"/>
        </w:numPr>
      </w:pPr>
      <w:r>
        <w:t xml:space="preserve">SCP 2017: </w:t>
      </w:r>
      <w:r w:rsidR="00CB4EA2">
        <w:t xml:space="preserve">Van alle volwassen zelfstandig wonende Nederlanders heeft ruim een derde een gezondheidsbeperking. 24% heeft een lichamelijke beperking. </w:t>
      </w:r>
      <w:r w:rsidR="006B07BA">
        <w:t>Bijna 16% van de volwassen Nederlanders ontvangt zorg en ondersteuning.</w:t>
      </w:r>
      <w:r w:rsidR="003600E7">
        <w:t xml:space="preserve"> Dat komt neer op ruim 2 miljoen mensen.</w:t>
      </w:r>
    </w:p>
    <w:p w:rsidR="000D7F98" w:rsidP="003F2798" w:rsidRDefault="00F7083D">
      <w:pPr>
        <w:pStyle w:val="Lijstalinea"/>
        <w:numPr>
          <w:ilvl w:val="0"/>
          <w:numId w:val="2"/>
        </w:numPr>
      </w:pPr>
      <w:r>
        <w:t>We hebben het hier niet alleen over</w:t>
      </w:r>
      <w:r w:rsidR="000D7F98">
        <w:t xml:space="preserve"> ouderen</w:t>
      </w:r>
      <w:r>
        <w:t>. Natuurlijk van de</w:t>
      </w:r>
      <w:r w:rsidR="000D7F98">
        <w:t xml:space="preserve"> 75</w:t>
      </w:r>
      <w:r w:rsidR="003832BE">
        <w:t>-</w:t>
      </w:r>
      <w:r w:rsidR="000D7F98">
        <w:t xml:space="preserve">plussers </w:t>
      </w:r>
      <w:r>
        <w:t xml:space="preserve">ontvangt maar liefst </w:t>
      </w:r>
      <w:r w:rsidR="000D7F98">
        <w:t>40%</w:t>
      </w:r>
      <w:r>
        <w:t xml:space="preserve"> zorg of ondersteuning</w:t>
      </w:r>
      <w:r w:rsidR="000D7F98">
        <w:t>.</w:t>
      </w:r>
      <w:r w:rsidRPr="00F7083D">
        <w:t xml:space="preserve"> Maar in de leeftijdsgroep tot 35 jaar krijgt ook 10% </w:t>
      </w:r>
      <w:r>
        <w:t>zorg of ondersteuning</w:t>
      </w:r>
      <w:r w:rsidR="003832BE">
        <w:t xml:space="preserve"> </w:t>
      </w:r>
      <w:r w:rsidR="003F2798">
        <w:t>(</w:t>
      </w:r>
      <w:r w:rsidRPr="00F7083D">
        <w:t>veelal van mantelzorgers</w:t>
      </w:r>
      <w:r w:rsidR="003F2798">
        <w:t>)</w:t>
      </w:r>
      <w:r w:rsidRPr="00F7083D">
        <w:t xml:space="preserve">. </w:t>
      </w:r>
      <w:r w:rsidR="00754B2C">
        <w:t>D</w:t>
      </w:r>
      <w:r w:rsidR="003F2798">
        <w:t xml:space="preserve">at zijn jonge mensen </w:t>
      </w:r>
      <w:r w:rsidR="00420F6C">
        <w:t>met een beperking die</w:t>
      </w:r>
      <w:r w:rsidR="00BA4ACA">
        <w:t xml:space="preserve"> een heel leven en</w:t>
      </w:r>
      <w:r w:rsidR="00383A4A">
        <w:t xml:space="preserve"> veel woonjaren</w:t>
      </w:r>
      <w:r w:rsidRPr="00F7083D">
        <w:t xml:space="preserve"> voor zich hebben.</w:t>
      </w:r>
    </w:p>
    <w:p w:rsidR="003F2798" w:rsidP="00F76A10" w:rsidRDefault="00203C44">
      <w:pPr>
        <w:pStyle w:val="Lijstalinea"/>
        <w:numPr>
          <w:ilvl w:val="0"/>
          <w:numId w:val="2"/>
        </w:numPr>
      </w:pPr>
      <w:r>
        <w:t>Gemiddeld wonen er 2,17 personen in een huishouden/woning</w:t>
      </w:r>
      <w:r w:rsidR="006B07BA">
        <w:t xml:space="preserve"> (CBS cijfers)</w:t>
      </w:r>
      <w:r>
        <w:t xml:space="preserve">. </w:t>
      </w:r>
      <w:r w:rsidR="003635B4">
        <w:t>D</w:t>
      </w:r>
      <w:r w:rsidR="006B07BA">
        <w:t>i</w:t>
      </w:r>
      <w:r w:rsidR="00CC661A">
        <w:t>t betekent dan dat</w:t>
      </w:r>
      <w:r w:rsidR="00493195">
        <w:t xml:space="preserve"> de kans dat in een willekeurige woning iemand met een lichamelijke beperking woont, </w:t>
      </w:r>
      <w:r w:rsidR="00E26C86">
        <w:t>zo’n</w:t>
      </w:r>
      <w:r w:rsidR="00493195">
        <w:t xml:space="preserve"> 40%</w:t>
      </w:r>
      <w:r w:rsidR="00145FCE">
        <w:rPr>
          <w:rStyle w:val="Voetnootmarkering"/>
        </w:rPr>
        <w:footnoteReference w:id="1"/>
      </w:r>
      <w:r w:rsidR="00493195">
        <w:t xml:space="preserve"> is.</w:t>
      </w:r>
      <w:r w:rsidR="00A54E89">
        <w:t xml:space="preserve"> </w:t>
      </w:r>
    </w:p>
    <w:p w:rsidR="0012219C" w:rsidP="00F76A10" w:rsidRDefault="00A03F6A">
      <w:pPr>
        <w:pStyle w:val="Lijstalinea"/>
        <w:numPr>
          <w:ilvl w:val="0"/>
          <w:numId w:val="2"/>
        </w:numPr>
      </w:pPr>
      <w:r>
        <w:t>Tot slot benoemt het SCP</w:t>
      </w:r>
      <w:r w:rsidR="00456A46">
        <w:t>-onderzoek</w:t>
      </w:r>
      <w:r>
        <w:t xml:space="preserve"> de oververtegenwoordiging van lagere inkomens bij de groep die zorg en ondersteuning krijgt. </w:t>
      </w:r>
      <w:r w:rsidR="00436EA6">
        <w:t xml:space="preserve">Dat herkennen wij: mensen </w:t>
      </w:r>
      <w:r w:rsidR="009F224F">
        <w:t>met een beperking of chronische ziekte hebben</w:t>
      </w:r>
      <w:r w:rsidR="00436EA6">
        <w:t xml:space="preserve"> m</w:t>
      </w:r>
      <w:r w:rsidR="00C72A05">
        <w:t>inder kansen op de arbeidsmarkt,</w:t>
      </w:r>
      <w:r w:rsidR="00436EA6">
        <w:t xml:space="preserve"> </w:t>
      </w:r>
      <w:r w:rsidR="00383A4A">
        <w:t xml:space="preserve">ze </w:t>
      </w:r>
      <w:r w:rsidR="00436EA6">
        <w:t>hebben vaker een uitkering</w:t>
      </w:r>
      <w:r w:rsidR="00C72A05">
        <w:t xml:space="preserve"> </w:t>
      </w:r>
      <w:r w:rsidR="009F224F">
        <w:t xml:space="preserve">of laag inkomen </w:t>
      </w:r>
      <w:r w:rsidR="00C72A05">
        <w:t xml:space="preserve">en </w:t>
      </w:r>
      <w:r w:rsidR="009F224F">
        <w:t xml:space="preserve">ze </w:t>
      </w:r>
      <w:r w:rsidR="00C72A05">
        <w:t>maken extra kosten voor zorg</w:t>
      </w:r>
      <w:r w:rsidR="00436EA6">
        <w:t>.</w:t>
      </w:r>
      <w:r w:rsidR="001C5E7C">
        <w:t xml:space="preserve"> Ze zijn vaak aangewezen op sociale huur.</w:t>
      </w:r>
    </w:p>
    <w:p w:rsidRPr="00BA4ACA" w:rsidR="005579B8" w:rsidP="006608C8" w:rsidRDefault="00EF3138">
      <w:r>
        <w:t>Tot zover</w:t>
      </w:r>
      <w:r w:rsidR="00A03F6A">
        <w:t xml:space="preserve"> de cijfers</w:t>
      </w:r>
      <w:r w:rsidR="000B6B50">
        <w:t xml:space="preserve">. </w:t>
      </w:r>
      <w:r>
        <w:t xml:space="preserve">Ze laten de noodzaak zien van inclusief denken bij de bouwopgave. </w:t>
      </w:r>
      <w:r w:rsidR="00453F15">
        <w:t>Dat wordt ondersteund door</w:t>
      </w:r>
      <w:r w:rsidR="000B6B50">
        <w:t xml:space="preserve"> het </w:t>
      </w:r>
      <w:r w:rsidR="00BA4ACA">
        <w:t>VN</w:t>
      </w:r>
      <w:r w:rsidR="00AC00C2">
        <w:t>-</w:t>
      </w:r>
      <w:r w:rsidR="00BA4ACA">
        <w:t xml:space="preserve">verdrag voor mensen met een beperking </w:t>
      </w:r>
      <w:r w:rsidR="004D146E">
        <w:t>dat het</w:t>
      </w:r>
      <w:r w:rsidR="00356BC0">
        <w:t xml:space="preserve"> recht</w:t>
      </w:r>
      <w:r w:rsidR="004D146E">
        <w:t xml:space="preserve"> op zelfstandig wonen en leven in de maatschappij</w:t>
      </w:r>
      <w:r w:rsidR="00356BC0">
        <w:t xml:space="preserve"> benoemt</w:t>
      </w:r>
      <w:r w:rsidR="004D146E">
        <w:t xml:space="preserve">. </w:t>
      </w:r>
      <w:r w:rsidR="004E35BE">
        <w:t>Dit verdrag heeft Nederland vorig jaar geratificeerd. Voor het wonen in de maatschappij</w:t>
      </w:r>
      <w:r w:rsidR="00453F15">
        <w:t xml:space="preserve"> zijn g</w:t>
      </w:r>
      <w:r w:rsidR="00356BC0">
        <w:t>eschikte, toegankel</w:t>
      </w:r>
      <w:r>
        <w:t>ijke woningen</w:t>
      </w:r>
      <w:r w:rsidR="00453F15">
        <w:t xml:space="preserve"> nodig</w:t>
      </w:r>
      <w:r>
        <w:t xml:space="preserve"> en</w:t>
      </w:r>
      <w:r w:rsidR="00356BC0">
        <w:t xml:space="preserve"> gebouwen waarin mensen met een beperking </w:t>
      </w:r>
      <w:r w:rsidR="004C649E">
        <w:t xml:space="preserve">hun weg kunnen vinden of </w:t>
      </w:r>
      <w:r w:rsidR="00356BC0">
        <w:t>kunnen werken.</w:t>
      </w:r>
    </w:p>
    <w:p w:rsidR="0016437A" w:rsidP="006608C8" w:rsidRDefault="0016437A">
      <w:pPr>
        <w:rPr>
          <w:b/>
        </w:rPr>
      </w:pPr>
    </w:p>
    <w:p w:rsidR="00910252" w:rsidP="006608C8" w:rsidRDefault="00910252">
      <w:pPr>
        <w:rPr>
          <w:b/>
        </w:rPr>
      </w:pPr>
    </w:p>
    <w:p w:rsidRPr="00910252" w:rsidR="0016437A" w:rsidP="006608C8" w:rsidRDefault="00A9112C">
      <w:pPr>
        <w:rPr>
          <w:b/>
          <w:sz w:val="24"/>
        </w:rPr>
      </w:pPr>
      <w:r w:rsidRPr="00910252">
        <w:rPr>
          <w:b/>
          <w:sz w:val="24"/>
        </w:rPr>
        <w:t>D</w:t>
      </w:r>
      <w:r w:rsidRPr="00910252" w:rsidR="004C649E">
        <w:rPr>
          <w:b/>
          <w:sz w:val="24"/>
        </w:rPr>
        <w:t>e bou</w:t>
      </w:r>
      <w:r w:rsidRPr="00910252" w:rsidR="00356BC0">
        <w:rPr>
          <w:b/>
          <w:sz w:val="24"/>
        </w:rPr>
        <w:t>wopgave</w:t>
      </w:r>
    </w:p>
    <w:p w:rsidRPr="007F43AD" w:rsidR="00A9112C" w:rsidP="00A9112C" w:rsidRDefault="00A9112C">
      <w:pPr>
        <w:pStyle w:val="Lijstalinea"/>
        <w:numPr>
          <w:ilvl w:val="0"/>
          <w:numId w:val="4"/>
        </w:numPr>
        <w:rPr>
          <w:b/>
        </w:rPr>
      </w:pPr>
      <w:r w:rsidRPr="007F43AD">
        <w:rPr>
          <w:b/>
        </w:rPr>
        <w:t xml:space="preserve">Betaalbare, toegankelijke woningen </w:t>
      </w:r>
    </w:p>
    <w:p w:rsidR="00CA72CC" w:rsidP="00A9112C" w:rsidRDefault="004E35BE">
      <w:r>
        <w:t>Het r</w:t>
      </w:r>
      <w:r w:rsidR="00444FD7">
        <w:t>egeerakkoord zegt: “</w:t>
      </w:r>
      <w:r w:rsidRPr="0090779C" w:rsidR="00444FD7">
        <w:t xml:space="preserve">Er moeten meer </w:t>
      </w:r>
      <w:r w:rsidRPr="00A9112C" w:rsidR="00444FD7">
        <w:rPr>
          <w:i/>
        </w:rPr>
        <w:t>betaalbare huurwoningen</w:t>
      </w:r>
      <w:r w:rsidRPr="0090779C" w:rsidR="00444FD7">
        <w:t xml:space="preserve"> in de vrije sector komen.</w:t>
      </w:r>
      <w:r w:rsidR="00444FD7">
        <w:t>”</w:t>
      </w:r>
      <w:r w:rsidRPr="0090779C" w:rsidR="00444FD7">
        <w:t xml:space="preserve"> </w:t>
      </w:r>
      <w:r w:rsidR="00444FD7">
        <w:t xml:space="preserve"> Dit gaat over huurwoningen met een huur hoger dan € 710,-, voor veel mensen niet betaalbaar. Mensen met een beperking zijn door een laag inkomen vaak aangewezen op een sociale huurwoning. In dat segment van de woningvoorraad is in veel gemeenten een tekort, en specifiek aan goed toegankelijke woningen.</w:t>
      </w:r>
      <w:r w:rsidR="00BA79B5">
        <w:t xml:space="preserve"> </w:t>
      </w:r>
      <w:r w:rsidR="00CA72CC">
        <w:t xml:space="preserve">Bovendien zijn de huren in de vorige kabinetsperiode fors gestegen. </w:t>
      </w:r>
    </w:p>
    <w:p w:rsidR="00444FD7" w:rsidP="00A9112C" w:rsidRDefault="00456A46">
      <w:r w:rsidRPr="00456A46">
        <w:lastRenderedPageBreak/>
        <w:t xml:space="preserve">Een recent onderzoek van het Planbureau voor de Leefomgeving toont aan dat de groep die aangewezen is op sociale huur </w:t>
      </w:r>
      <w:r w:rsidR="00CA72CC">
        <w:t xml:space="preserve">nog </w:t>
      </w:r>
      <w:r w:rsidRPr="00456A46">
        <w:t xml:space="preserve">groter is dan tot nu toe </w:t>
      </w:r>
      <w:r w:rsidR="006C7711">
        <w:t xml:space="preserve">werd </w:t>
      </w:r>
      <w:r w:rsidRPr="00456A46">
        <w:t xml:space="preserve">aangenomen. </w:t>
      </w:r>
      <w:r w:rsidR="00D83403">
        <w:t>Het</w:t>
      </w:r>
      <w:r w:rsidR="006C7711">
        <w:t xml:space="preserve"> blijkt dat </w:t>
      </w:r>
      <w:r w:rsidRPr="00456A46">
        <w:t>ongeveer 28% van de middeninkomens</w:t>
      </w:r>
      <w:r w:rsidR="00E75B25">
        <w:t xml:space="preserve"> –</w:t>
      </w:r>
      <w:r w:rsidR="00D841BA">
        <w:t xml:space="preserve"> </w:t>
      </w:r>
      <w:r w:rsidR="00E75B25">
        <w:t>die in de vrije sector moeten huren</w:t>
      </w:r>
      <w:r w:rsidR="00D841BA">
        <w:t xml:space="preserve"> </w:t>
      </w:r>
      <w:bookmarkStart w:name="_GoBack" w:id="0"/>
      <w:bookmarkEnd w:id="0"/>
      <w:r w:rsidR="00E75B25">
        <w:t>-</w:t>
      </w:r>
      <w:r w:rsidRPr="00456A46">
        <w:t xml:space="preserve"> geen huur van € 70</w:t>
      </w:r>
      <w:r w:rsidR="00CA72CC">
        <w:t xml:space="preserve">0 of meer kan betalen. Deze huishoudens zouden ook voor sociale huur in aanmerking moeten komen. </w:t>
      </w:r>
      <w:r w:rsidR="001829E5">
        <w:t xml:space="preserve">Toch </w:t>
      </w:r>
      <w:r w:rsidR="00011A27">
        <w:t>wil het kabinet geen</w:t>
      </w:r>
      <w:r w:rsidR="001829E5">
        <w:t xml:space="preserve"> uitbreiding van het aantal sociale huurwoningen. </w:t>
      </w:r>
      <w:r w:rsidR="00373C25">
        <w:t xml:space="preserve">Tot onze schrik lazen we </w:t>
      </w:r>
      <w:r w:rsidR="001829E5">
        <w:t xml:space="preserve">zelfs </w:t>
      </w:r>
      <w:r w:rsidR="00444FD7">
        <w:t xml:space="preserve">dat de regering </w:t>
      </w:r>
      <w:r w:rsidR="00373C25">
        <w:t xml:space="preserve">partijen aanmoedigt om sociale huurwoningen te verkopen. </w:t>
      </w:r>
      <w:r w:rsidR="00BA79B5">
        <w:t>Wij zien dat het nu al</w:t>
      </w:r>
      <w:r w:rsidR="00B11770">
        <w:t xml:space="preserve"> veel jongeren met een beperking niet </w:t>
      </w:r>
      <w:r w:rsidR="00BA79B5">
        <w:t xml:space="preserve">lukt </w:t>
      </w:r>
      <w:r w:rsidR="00B11770">
        <w:t>om de stap naar zelfstandig wonen te zetten</w:t>
      </w:r>
      <w:r w:rsidR="00011A27">
        <w:t xml:space="preserve">, want </w:t>
      </w:r>
      <w:r w:rsidR="00B11770">
        <w:t>de woningen zijn e</w:t>
      </w:r>
      <w:r w:rsidR="00CC1B45">
        <w:t>r niet of zijn niet betaalbaar.</w:t>
      </w:r>
      <w:r w:rsidR="006E13E7">
        <w:t xml:space="preserve"> </w:t>
      </w:r>
      <w:r w:rsidR="00011A27">
        <w:t xml:space="preserve">Daar komt nog bij dat </w:t>
      </w:r>
      <w:r w:rsidR="006E13E7">
        <w:t xml:space="preserve">steeds meer ouderen behoefte </w:t>
      </w:r>
      <w:r w:rsidR="00011A27">
        <w:t xml:space="preserve">hebben </w:t>
      </w:r>
      <w:r w:rsidR="006E13E7">
        <w:t>aan toegankelijke woningen.</w:t>
      </w:r>
    </w:p>
    <w:p w:rsidR="00910252" w:rsidP="00CC1B45" w:rsidRDefault="00910252">
      <w:pPr>
        <w:pStyle w:val="Lijstalinea"/>
        <w:rPr>
          <w:b/>
        </w:rPr>
      </w:pPr>
    </w:p>
    <w:p w:rsidR="00A9112C" w:rsidP="00E4591E" w:rsidRDefault="00CC1B45">
      <w:r w:rsidRPr="00E4591E">
        <w:rPr>
          <w:b/>
        </w:rPr>
        <w:t>Advies:</w:t>
      </w:r>
      <w:r>
        <w:t xml:space="preserve"> </w:t>
      </w:r>
      <w:r w:rsidR="004E35BE">
        <w:t xml:space="preserve">Geef de </w:t>
      </w:r>
      <w:r w:rsidR="00011A27">
        <w:t>T</w:t>
      </w:r>
      <w:r w:rsidR="004E35BE">
        <w:t>askforce Bouwagenda de opdracht om steviger in te zetten op</w:t>
      </w:r>
      <w:r w:rsidR="00BA79B5">
        <w:t xml:space="preserve"> de bouw </w:t>
      </w:r>
      <w:r>
        <w:t xml:space="preserve">van </w:t>
      </w:r>
      <w:r w:rsidR="00474BB8">
        <w:t xml:space="preserve">betaalbare, </w:t>
      </w:r>
      <w:r>
        <w:t>sociale</w:t>
      </w:r>
      <w:r w:rsidR="00A12188">
        <w:t xml:space="preserve"> </w:t>
      </w:r>
      <w:r>
        <w:t>huurwoningen</w:t>
      </w:r>
      <w:r w:rsidR="006E13E7">
        <w:t>.</w:t>
      </w:r>
    </w:p>
    <w:p w:rsidR="00A9112C" w:rsidP="00A9112C" w:rsidRDefault="00A9112C"/>
    <w:p w:rsidRPr="007F43AD" w:rsidR="00CC1B45" w:rsidP="00A9112C" w:rsidRDefault="007F43AD">
      <w:pPr>
        <w:pStyle w:val="Lijstalinea"/>
        <w:numPr>
          <w:ilvl w:val="0"/>
          <w:numId w:val="4"/>
        </w:numPr>
        <w:rPr>
          <w:b/>
        </w:rPr>
      </w:pPr>
      <w:r w:rsidRPr="007F43AD">
        <w:rPr>
          <w:b/>
        </w:rPr>
        <w:t>Sterkere positie van bewoners</w:t>
      </w:r>
    </w:p>
    <w:p w:rsidR="003B7846" w:rsidP="007F43AD" w:rsidRDefault="007F43AD">
      <w:r>
        <w:t xml:space="preserve">De Taskforce spreekt van de gouden driehoek: overheid, </w:t>
      </w:r>
      <w:r w:rsidR="00E77A41">
        <w:t xml:space="preserve">markt en </w:t>
      </w:r>
      <w:r>
        <w:t>kennisinst</w:t>
      </w:r>
      <w:r w:rsidR="00E77A41">
        <w:t xml:space="preserve">ellingen. Maar de titel van de bouwagenda luidt: bouwen voor kwaliteit van leven. </w:t>
      </w:r>
      <w:r w:rsidR="008E0815">
        <w:t>Dat is bij uitstek een persoonlijk, subjectief gegeven. Hoe zorgen</w:t>
      </w:r>
      <w:r w:rsidR="00F56162">
        <w:t xml:space="preserve"> we dat de gouden dri</w:t>
      </w:r>
      <w:r w:rsidR="00AC3912">
        <w:t>ehoek meeweegt wat de burger nodig heeft voor kwaliteit van leven?</w:t>
      </w:r>
      <w:r w:rsidR="00F56162">
        <w:t xml:space="preserve"> Weten ze bijvoorbeeld wel </w:t>
      </w:r>
      <w:r w:rsidR="008E0815">
        <w:t xml:space="preserve">dat </w:t>
      </w:r>
      <w:r w:rsidR="002C382C">
        <w:t>kleinschalige, lokale ouderinitiatieven een enorme bijdrage leveren aan de kwaliteit van leven van jongeren met een verstandelijke bepe</w:t>
      </w:r>
      <w:r w:rsidR="00627ACB">
        <w:t xml:space="preserve">rking of psychische aandoening? </w:t>
      </w:r>
      <w:r w:rsidR="00F56162">
        <w:t>Gaan ze</w:t>
      </w:r>
      <w:r w:rsidR="00627ACB">
        <w:t xml:space="preserve"> </w:t>
      </w:r>
      <w:r w:rsidR="00F56162">
        <w:t>voorkomen</w:t>
      </w:r>
      <w:r w:rsidR="00627ACB">
        <w:t xml:space="preserve"> dat </w:t>
      </w:r>
      <w:r w:rsidR="007F7848">
        <w:t xml:space="preserve">mensen </w:t>
      </w:r>
      <w:r w:rsidR="00F56162">
        <w:t>die</w:t>
      </w:r>
      <w:r w:rsidR="007F7848">
        <w:t xml:space="preserve"> gezondheidsproblemen en beperkingen krijgen, </w:t>
      </w:r>
      <w:r w:rsidR="00F56162">
        <w:t>moeten</w:t>
      </w:r>
      <w:r w:rsidR="006D1E24">
        <w:t xml:space="preserve"> verhuizen en hun vertrouwde </w:t>
      </w:r>
      <w:r w:rsidR="00AC3912">
        <w:t xml:space="preserve">omgeving moeten verlaten? </w:t>
      </w:r>
      <w:r w:rsidR="003B7846">
        <w:t>G</w:t>
      </w:r>
      <w:r w:rsidR="00674A20">
        <w:t>aan ze zorgen dat</w:t>
      </w:r>
      <w:r w:rsidR="003B7846">
        <w:t xml:space="preserve"> de gebouwde omgeving zo wordt</w:t>
      </w:r>
      <w:r w:rsidR="00674A20">
        <w:t xml:space="preserve"> i</w:t>
      </w:r>
      <w:r w:rsidR="003B7846">
        <w:t>ngericht dat ook de groeiende groep slechtzienden er veilig</w:t>
      </w:r>
      <w:r w:rsidR="00674A20">
        <w:t xml:space="preserve"> </w:t>
      </w:r>
      <w:r w:rsidR="009C75DA">
        <w:t>hun bestemming kunnen vinden</w:t>
      </w:r>
      <w:r w:rsidR="003B7846">
        <w:t>?</w:t>
      </w:r>
      <w:r w:rsidR="00674A20">
        <w:t xml:space="preserve"> </w:t>
      </w:r>
    </w:p>
    <w:p w:rsidR="006D1E24" w:rsidP="007F43AD" w:rsidRDefault="00C72FE8">
      <w:r>
        <w:t xml:space="preserve">De burger, zeker met een kleine portemonnee, heeft </w:t>
      </w:r>
      <w:r w:rsidR="003B7846">
        <w:t>een zwak</w:t>
      </w:r>
      <w:r w:rsidR="009B7978">
        <w:t>ke positie op</w:t>
      </w:r>
      <w:r>
        <w:t xml:space="preserve"> de woningmarkt en kan geen eisen stellen. </w:t>
      </w:r>
      <w:r w:rsidR="008B4DDF">
        <w:t xml:space="preserve">Maar een adequate aanpak van de bouwopgave kan </w:t>
      </w:r>
      <w:r w:rsidR="009B7978">
        <w:t xml:space="preserve">juist </w:t>
      </w:r>
      <w:r w:rsidR="008B4DDF">
        <w:t>enorm bijdragen aan de kwaliteit van leven van kwetsbare groepen op de woningmarkt.</w:t>
      </w:r>
      <w:r w:rsidR="009B7978">
        <w:t xml:space="preserve"> Daarom is het belangrijk dat zij een stem krijgen</w:t>
      </w:r>
      <w:r w:rsidR="006D1E24">
        <w:t xml:space="preserve"> </w:t>
      </w:r>
      <w:r w:rsidR="009B7978">
        <w:t>in de aanpak en de uitvoering.</w:t>
      </w:r>
    </w:p>
    <w:p w:rsidR="00910252" w:rsidP="009727C3" w:rsidRDefault="00910252">
      <w:pPr>
        <w:ind w:left="360"/>
        <w:rPr>
          <w:b/>
        </w:rPr>
      </w:pPr>
    </w:p>
    <w:p w:rsidRPr="006D1E24" w:rsidR="00444FD7" w:rsidP="00E4591E" w:rsidRDefault="006D1E24">
      <w:pPr>
        <w:rPr>
          <w:b/>
        </w:rPr>
      </w:pPr>
      <w:r w:rsidRPr="006D1E24">
        <w:rPr>
          <w:b/>
        </w:rPr>
        <w:t>Advies</w:t>
      </w:r>
      <w:r w:rsidR="009E69FA">
        <w:rPr>
          <w:b/>
        </w:rPr>
        <w:t xml:space="preserve">: </w:t>
      </w:r>
      <w:r w:rsidRPr="00D724B0" w:rsidR="00D724B0">
        <w:t>Verstevig de</w:t>
      </w:r>
      <w:r w:rsidRPr="00D724B0" w:rsidR="00C72FE8">
        <w:t xml:space="preserve"> </w:t>
      </w:r>
      <w:r w:rsidRPr="00D724B0" w:rsidR="00D724B0">
        <w:t xml:space="preserve">positie </w:t>
      </w:r>
      <w:r w:rsidRPr="00D724B0" w:rsidR="00AC3912">
        <w:t>van</w:t>
      </w:r>
      <w:r w:rsidRPr="00D724B0" w:rsidR="009E69FA">
        <w:t xml:space="preserve"> bewoners</w:t>
      </w:r>
      <w:r w:rsidRPr="00D724B0">
        <w:t xml:space="preserve"> </w:t>
      </w:r>
      <w:r w:rsidRPr="00D724B0" w:rsidR="00D724B0">
        <w:t>in de aansturing van de bouwopgave.</w:t>
      </w:r>
      <w:r w:rsidR="00BA2E25">
        <w:t xml:space="preserve"> Zorg dat </w:t>
      </w:r>
      <w:r w:rsidR="00B60395">
        <w:t>zij</w:t>
      </w:r>
      <w:r w:rsidR="00BA2E25">
        <w:t xml:space="preserve">, ook in de sociale huur, in de gouden driehoek vertegenwoordigd </w:t>
      </w:r>
      <w:r w:rsidR="00B60395">
        <w:t>zijn</w:t>
      </w:r>
      <w:r w:rsidR="00BA2E25">
        <w:t xml:space="preserve">. </w:t>
      </w:r>
    </w:p>
    <w:p w:rsidRPr="0090779C" w:rsidR="0090779C" w:rsidP="00A9112C" w:rsidRDefault="0090779C"/>
    <w:p w:rsidRPr="009727C3" w:rsidR="0063667D" w:rsidP="00D724B0" w:rsidRDefault="00BA2E25">
      <w:pPr>
        <w:pStyle w:val="Lijstalinea"/>
        <w:numPr>
          <w:ilvl w:val="0"/>
          <w:numId w:val="4"/>
        </w:numPr>
        <w:rPr>
          <w:b/>
        </w:rPr>
      </w:pPr>
      <w:r w:rsidRPr="009727C3">
        <w:rPr>
          <w:b/>
        </w:rPr>
        <w:t>Toegankelijk en duurzaam</w:t>
      </w:r>
    </w:p>
    <w:p w:rsidR="009E40EC" w:rsidP="0063667D" w:rsidRDefault="009727C3">
      <w:r>
        <w:t xml:space="preserve">Duurzaam/energiezuinig bouwen krijgt terecht veel aandacht in de bouwopgave en in het regeerakkoord. </w:t>
      </w:r>
      <w:r w:rsidR="009E40EC">
        <w:t>Er zijn concrete doelstellingen met ambitie voor verduurzaming geformuleerd.</w:t>
      </w:r>
    </w:p>
    <w:p w:rsidR="00AC4346" w:rsidP="0063667D" w:rsidRDefault="009E40EC">
      <w:r>
        <w:t xml:space="preserve">Tegelijkertijd ligt er een grote opgave voor het toegankelijk maken van woningen en gebouwen, ook in de bestaande voorraad. </w:t>
      </w:r>
      <w:r w:rsidR="00AC4346">
        <w:t xml:space="preserve">Een oplossingsrichting is het gelijktijdig verbeteren van duurzaamheid én </w:t>
      </w:r>
      <w:r w:rsidRPr="002E1E43" w:rsidR="00AC4346">
        <w:t>toegankelijkheid van wooncomplexen</w:t>
      </w:r>
      <w:r w:rsidR="00AC4346">
        <w:t xml:space="preserve">. </w:t>
      </w:r>
    </w:p>
    <w:p w:rsidR="00E4591E" w:rsidP="0063667D" w:rsidRDefault="00E4591E"/>
    <w:p w:rsidR="0063667D" w:rsidP="00E4591E" w:rsidRDefault="00B702CA">
      <w:r w:rsidRPr="00E4591E">
        <w:rPr>
          <w:b/>
        </w:rPr>
        <w:t>Advies</w:t>
      </w:r>
      <w:r>
        <w:t>: Stimuleer woningcorporaties om bij renovaties gelijktijdig de energieprestatie en toegankelijkheid te verbeteren. Verdubbel daartoe de korting op de verhuurderheffing</w:t>
      </w:r>
      <w:r w:rsidR="00E4591E">
        <w:t xml:space="preserve"> van 100 tot 200 miljoen</w:t>
      </w:r>
      <w:r>
        <w:t xml:space="preserve">, </w:t>
      </w:r>
      <w:r w:rsidR="00E4591E">
        <w:t xml:space="preserve">zodat deze investeringen mogelijk worden. </w:t>
      </w:r>
    </w:p>
    <w:p w:rsidR="00BA2E25" w:rsidP="0063667D" w:rsidRDefault="00BA2E25"/>
    <w:p w:rsidR="00BA2E25" w:rsidP="0063667D" w:rsidRDefault="00BA2E25"/>
    <w:p w:rsidR="00BA2E25" w:rsidP="0063667D" w:rsidRDefault="00BA2E25"/>
    <w:p w:rsidR="00BA2E25" w:rsidP="0063667D" w:rsidRDefault="00BA2E25"/>
    <w:sectPr w:rsidR="00BA2E25" w:rsidSect="001B7C2F">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701"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294" w:rsidRDefault="00BC1294">
      <w:r>
        <w:separator/>
      </w:r>
    </w:p>
  </w:endnote>
  <w:endnote w:type="continuationSeparator" w:id="0">
    <w:p w:rsidR="00BC1294" w:rsidRDefault="00BC1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382" w:rsidRDefault="00B763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382" w:rsidRDefault="00B7638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382" w:rsidRDefault="00B763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294" w:rsidRDefault="00BC1294">
      <w:r>
        <w:separator/>
      </w:r>
    </w:p>
  </w:footnote>
  <w:footnote w:type="continuationSeparator" w:id="0">
    <w:p w:rsidR="00BC1294" w:rsidRDefault="00BC1294">
      <w:r>
        <w:continuationSeparator/>
      </w:r>
    </w:p>
  </w:footnote>
  <w:footnote w:id="1">
    <w:p w:rsidR="00145FCE" w:rsidRDefault="00145FCE">
      <w:pPr>
        <w:pStyle w:val="Voetnoottekst"/>
      </w:pPr>
      <w:r>
        <w:rPr>
          <w:rStyle w:val="Voetnootmarkering"/>
        </w:rPr>
        <w:footnoteRef/>
      </w:r>
      <w:r>
        <w:t xml:space="preserve"> Kansberekening: 24 rode ballen (beperking) en 76 blauw</w:t>
      </w:r>
      <w:r w:rsidR="003514BA">
        <w:t>e</w:t>
      </w:r>
      <w:r>
        <w:t xml:space="preserve"> ballen</w:t>
      </w:r>
      <w:r w:rsidR="00844E78">
        <w:t xml:space="preserve"> (gezond)</w:t>
      </w:r>
      <w:r>
        <w:t xml:space="preserve">. De kans </w:t>
      </w:r>
      <w:r w:rsidR="003514BA">
        <w:t xml:space="preserve">op trekken van </w:t>
      </w:r>
      <w:r>
        <w:t>op 2 blauwe ballen</w:t>
      </w:r>
      <w:r w:rsidR="003514BA">
        <w:t xml:space="preserve"> (alleen gezonde bewoners)</w:t>
      </w:r>
      <w:r>
        <w:t xml:space="preserve"> is </w:t>
      </w:r>
      <w:r w:rsidR="003514BA">
        <w:t>0,58. Dus 42</w:t>
      </w:r>
      <w:r w:rsidR="00B90B4E">
        <w:t xml:space="preserve">% kans op een tweetal met 1 rood en 1 blauw of 2 </w:t>
      </w:r>
      <w:r w:rsidR="00EF5574">
        <w:t>rode</w:t>
      </w:r>
      <w:r w:rsidR="00B90B4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382" w:rsidRDefault="00B763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382" w:rsidRDefault="00B763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382" w:rsidRDefault="00B7638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37382"/>
    <w:multiLevelType w:val="hybridMultilevel"/>
    <w:tmpl w:val="13DC3B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2BC6B24"/>
    <w:multiLevelType w:val="hybridMultilevel"/>
    <w:tmpl w:val="77C2C3A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475D7F84"/>
    <w:multiLevelType w:val="hybridMultilevel"/>
    <w:tmpl w:val="91A4C2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5E8724D"/>
    <w:multiLevelType w:val="hybridMultilevel"/>
    <w:tmpl w:val="A9F237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tdatum" w:val="22-12-2016 (27-6-2014)"/>
    <w:docVar w:name="DotVersie" w:val="2.11"/>
    <w:docVar w:name="Logo" w:val="Onwaar"/>
  </w:docVars>
  <w:rsids>
    <w:rsidRoot w:val="007D56F1"/>
    <w:rsid w:val="00001D0A"/>
    <w:rsid w:val="00005467"/>
    <w:rsid w:val="00011A27"/>
    <w:rsid w:val="00012134"/>
    <w:rsid w:val="000136E0"/>
    <w:rsid w:val="00016DDE"/>
    <w:rsid w:val="00017096"/>
    <w:rsid w:val="00040587"/>
    <w:rsid w:val="000413D0"/>
    <w:rsid w:val="00044308"/>
    <w:rsid w:val="0004610B"/>
    <w:rsid w:val="0004613A"/>
    <w:rsid w:val="0004618A"/>
    <w:rsid w:val="00056377"/>
    <w:rsid w:val="0006298F"/>
    <w:rsid w:val="0006354E"/>
    <w:rsid w:val="00074F33"/>
    <w:rsid w:val="00084F1F"/>
    <w:rsid w:val="00090531"/>
    <w:rsid w:val="000B6B50"/>
    <w:rsid w:val="000C0F59"/>
    <w:rsid w:val="000C2475"/>
    <w:rsid w:val="000D111C"/>
    <w:rsid w:val="000D4272"/>
    <w:rsid w:val="000D6577"/>
    <w:rsid w:val="000D7F98"/>
    <w:rsid w:val="000E0FFF"/>
    <w:rsid w:val="000E2D8C"/>
    <w:rsid w:val="000E7D12"/>
    <w:rsid w:val="000F6D05"/>
    <w:rsid w:val="00103C12"/>
    <w:rsid w:val="00110A5A"/>
    <w:rsid w:val="00110DCE"/>
    <w:rsid w:val="001137F5"/>
    <w:rsid w:val="0012219C"/>
    <w:rsid w:val="00123E14"/>
    <w:rsid w:val="001314E5"/>
    <w:rsid w:val="001341F2"/>
    <w:rsid w:val="00144E91"/>
    <w:rsid w:val="00145FCE"/>
    <w:rsid w:val="00146DBA"/>
    <w:rsid w:val="00146FED"/>
    <w:rsid w:val="00150A02"/>
    <w:rsid w:val="00152576"/>
    <w:rsid w:val="00156ABC"/>
    <w:rsid w:val="00157803"/>
    <w:rsid w:val="00163294"/>
    <w:rsid w:val="0016437A"/>
    <w:rsid w:val="00172523"/>
    <w:rsid w:val="0018000B"/>
    <w:rsid w:val="00180182"/>
    <w:rsid w:val="001829E5"/>
    <w:rsid w:val="001834F7"/>
    <w:rsid w:val="001A0BBB"/>
    <w:rsid w:val="001B1889"/>
    <w:rsid w:val="001B4B4D"/>
    <w:rsid w:val="001B73FA"/>
    <w:rsid w:val="001B7C2F"/>
    <w:rsid w:val="001B7F46"/>
    <w:rsid w:val="001C5E7C"/>
    <w:rsid w:val="001C67B3"/>
    <w:rsid w:val="001C789A"/>
    <w:rsid w:val="001D07C5"/>
    <w:rsid w:val="001D58A6"/>
    <w:rsid w:val="001E0778"/>
    <w:rsid w:val="001E3E4F"/>
    <w:rsid w:val="001F5A44"/>
    <w:rsid w:val="00203C44"/>
    <w:rsid w:val="00212EA3"/>
    <w:rsid w:val="00213112"/>
    <w:rsid w:val="0021457D"/>
    <w:rsid w:val="00233981"/>
    <w:rsid w:val="00236811"/>
    <w:rsid w:val="002413A2"/>
    <w:rsid w:val="0025114F"/>
    <w:rsid w:val="002528BE"/>
    <w:rsid w:val="0025794C"/>
    <w:rsid w:val="0026004A"/>
    <w:rsid w:val="002654B2"/>
    <w:rsid w:val="0026576A"/>
    <w:rsid w:val="00274CBB"/>
    <w:rsid w:val="00286BA4"/>
    <w:rsid w:val="00295245"/>
    <w:rsid w:val="002A217D"/>
    <w:rsid w:val="002B4252"/>
    <w:rsid w:val="002C382C"/>
    <w:rsid w:val="002C4107"/>
    <w:rsid w:val="002D5564"/>
    <w:rsid w:val="002E1A23"/>
    <w:rsid w:val="002E5CD0"/>
    <w:rsid w:val="002F106B"/>
    <w:rsid w:val="002F6D24"/>
    <w:rsid w:val="002F73C7"/>
    <w:rsid w:val="0031055E"/>
    <w:rsid w:val="00313B5C"/>
    <w:rsid w:val="00315152"/>
    <w:rsid w:val="00315FF5"/>
    <w:rsid w:val="00316EC2"/>
    <w:rsid w:val="003217B4"/>
    <w:rsid w:val="003218BB"/>
    <w:rsid w:val="00323F53"/>
    <w:rsid w:val="0032505A"/>
    <w:rsid w:val="00330C6B"/>
    <w:rsid w:val="0033392B"/>
    <w:rsid w:val="00333CE4"/>
    <w:rsid w:val="00340410"/>
    <w:rsid w:val="003465A5"/>
    <w:rsid w:val="00350252"/>
    <w:rsid w:val="003514BA"/>
    <w:rsid w:val="00356BC0"/>
    <w:rsid w:val="00356EF0"/>
    <w:rsid w:val="003600E7"/>
    <w:rsid w:val="003606C7"/>
    <w:rsid w:val="003634C6"/>
    <w:rsid w:val="003635B4"/>
    <w:rsid w:val="0037092F"/>
    <w:rsid w:val="00373C25"/>
    <w:rsid w:val="00377273"/>
    <w:rsid w:val="003832BE"/>
    <w:rsid w:val="00383A4A"/>
    <w:rsid w:val="0039546B"/>
    <w:rsid w:val="00396BCD"/>
    <w:rsid w:val="003A4DF7"/>
    <w:rsid w:val="003A6683"/>
    <w:rsid w:val="003B7846"/>
    <w:rsid w:val="003C17FE"/>
    <w:rsid w:val="003C59D6"/>
    <w:rsid w:val="003E388D"/>
    <w:rsid w:val="003E469C"/>
    <w:rsid w:val="003E7B6B"/>
    <w:rsid w:val="003F2798"/>
    <w:rsid w:val="003F2A61"/>
    <w:rsid w:val="003F3421"/>
    <w:rsid w:val="003F41E0"/>
    <w:rsid w:val="00413E7B"/>
    <w:rsid w:val="00415702"/>
    <w:rsid w:val="00420F6C"/>
    <w:rsid w:val="00420F6F"/>
    <w:rsid w:val="00426B1D"/>
    <w:rsid w:val="00434527"/>
    <w:rsid w:val="0043498D"/>
    <w:rsid w:val="00436EA6"/>
    <w:rsid w:val="00441F49"/>
    <w:rsid w:val="004442A1"/>
    <w:rsid w:val="00444FD7"/>
    <w:rsid w:val="00445B15"/>
    <w:rsid w:val="00446C70"/>
    <w:rsid w:val="00453F15"/>
    <w:rsid w:val="00456A46"/>
    <w:rsid w:val="00464B17"/>
    <w:rsid w:val="00473BCC"/>
    <w:rsid w:val="00474BB8"/>
    <w:rsid w:val="004774F6"/>
    <w:rsid w:val="00480AC8"/>
    <w:rsid w:val="0048561F"/>
    <w:rsid w:val="00487D0E"/>
    <w:rsid w:val="00493195"/>
    <w:rsid w:val="004963B5"/>
    <w:rsid w:val="004B2BCE"/>
    <w:rsid w:val="004B4AE8"/>
    <w:rsid w:val="004C649E"/>
    <w:rsid w:val="004C75D0"/>
    <w:rsid w:val="004D146E"/>
    <w:rsid w:val="004E0E6A"/>
    <w:rsid w:val="004E35BE"/>
    <w:rsid w:val="004E5C69"/>
    <w:rsid w:val="004E6D61"/>
    <w:rsid w:val="00503979"/>
    <w:rsid w:val="00504F6C"/>
    <w:rsid w:val="005123E0"/>
    <w:rsid w:val="005127F6"/>
    <w:rsid w:val="00517281"/>
    <w:rsid w:val="005176EF"/>
    <w:rsid w:val="00517723"/>
    <w:rsid w:val="00517854"/>
    <w:rsid w:val="0053380D"/>
    <w:rsid w:val="0053697D"/>
    <w:rsid w:val="0055031B"/>
    <w:rsid w:val="00555C0E"/>
    <w:rsid w:val="005579B8"/>
    <w:rsid w:val="00557E25"/>
    <w:rsid w:val="0056317E"/>
    <w:rsid w:val="00572303"/>
    <w:rsid w:val="00572EE5"/>
    <w:rsid w:val="005774AD"/>
    <w:rsid w:val="00584711"/>
    <w:rsid w:val="00593354"/>
    <w:rsid w:val="005943E0"/>
    <w:rsid w:val="00595E36"/>
    <w:rsid w:val="005A6CB3"/>
    <w:rsid w:val="005A7582"/>
    <w:rsid w:val="005B276A"/>
    <w:rsid w:val="005C1D47"/>
    <w:rsid w:val="005C62DF"/>
    <w:rsid w:val="005E6E83"/>
    <w:rsid w:val="005F009C"/>
    <w:rsid w:val="005F62FA"/>
    <w:rsid w:val="005F750B"/>
    <w:rsid w:val="005F75D8"/>
    <w:rsid w:val="005F7616"/>
    <w:rsid w:val="00610094"/>
    <w:rsid w:val="00611155"/>
    <w:rsid w:val="006159DA"/>
    <w:rsid w:val="00627ACB"/>
    <w:rsid w:val="006308E1"/>
    <w:rsid w:val="00631816"/>
    <w:rsid w:val="00633856"/>
    <w:rsid w:val="006353ED"/>
    <w:rsid w:val="0063667D"/>
    <w:rsid w:val="00642598"/>
    <w:rsid w:val="006438EC"/>
    <w:rsid w:val="0065583D"/>
    <w:rsid w:val="00657048"/>
    <w:rsid w:val="00660536"/>
    <w:rsid w:val="006608C8"/>
    <w:rsid w:val="0066274F"/>
    <w:rsid w:val="00664B34"/>
    <w:rsid w:val="00671AAB"/>
    <w:rsid w:val="00674A20"/>
    <w:rsid w:val="00677FC2"/>
    <w:rsid w:val="006811E1"/>
    <w:rsid w:val="00681A20"/>
    <w:rsid w:val="006842E1"/>
    <w:rsid w:val="00690F9D"/>
    <w:rsid w:val="006B07BA"/>
    <w:rsid w:val="006B3DD3"/>
    <w:rsid w:val="006B7744"/>
    <w:rsid w:val="006C0E3B"/>
    <w:rsid w:val="006C218E"/>
    <w:rsid w:val="006C7711"/>
    <w:rsid w:val="006D00E1"/>
    <w:rsid w:val="006D1E24"/>
    <w:rsid w:val="006D7BAC"/>
    <w:rsid w:val="006E13E7"/>
    <w:rsid w:val="006E5230"/>
    <w:rsid w:val="006F3F7D"/>
    <w:rsid w:val="006F4557"/>
    <w:rsid w:val="00707A90"/>
    <w:rsid w:val="007167BD"/>
    <w:rsid w:val="00717E5A"/>
    <w:rsid w:val="007229DE"/>
    <w:rsid w:val="00732A54"/>
    <w:rsid w:val="007371E0"/>
    <w:rsid w:val="00743488"/>
    <w:rsid w:val="007524D9"/>
    <w:rsid w:val="00754403"/>
    <w:rsid w:val="00754882"/>
    <w:rsid w:val="00754B2C"/>
    <w:rsid w:val="00755D11"/>
    <w:rsid w:val="0076122B"/>
    <w:rsid w:val="0077645D"/>
    <w:rsid w:val="00776489"/>
    <w:rsid w:val="00784198"/>
    <w:rsid w:val="007975D9"/>
    <w:rsid w:val="007A4E62"/>
    <w:rsid w:val="007B11ED"/>
    <w:rsid w:val="007B2753"/>
    <w:rsid w:val="007B443A"/>
    <w:rsid w:val="007B7746"/>
    <w:rsid w:val="007D3EFF"/>
    <w:rsid w:val="007D56F1"/>
    <w:rsid w:val="007D70CB"/>
    <w:rsid w:val="007E009B"/>
    <w:rsid w:val="007E275E"/>
    <w:rsid w:val="007F3F96"/>
    <w:rsid w:val="007F43AD"/>
    <w:rsid w:val="007F43AE"/>
    <w:rsid w:val="007F518A"/>
    <w:rsid w:val="007F7848"/>
    <w:rsid w:val="00800607"/>
    <w:rsid w:val="00802BEB"/>
    <w:rsid w:val="008060F0"/>
    <w:rsid w:val="00815C51"/>
    <w:rsid w:val="00820088"/>
    <w:rsid w:val="008242D2"/>
    <w:rsid w:val="00824443"/>
    <w:rsid w:val="00825460"/>
    <w:rsid w:val="00831AA8"/>
    <w:rsid w:val="00834634"/>
    <w:rsid w:val="00834936"/>
    <w:rsid w:val="008374D5"/>
    <w:rsid w:val="00840866"/>
    <w:rsid w:val="00844E78"/>
    <w:rsid w:val="00845B28"/>
    <w:rsid w:val="008507A3"/>
    <w:rsid w:val="00854FF7"/>
    <w:rsid w:val="0085742F"/>
    <w:rsid w:val="00861471"/>
    <w:rsid w:val="008825F9"/>
    <w:rsid w:val="0088278B"/>
    <w:rsid w:val="00886E44"/>
    <w:rsid w:val="00891322"/>
    <w:rsid w:val="008960C1"/>
    <w:rsid w:val="008B1B16"/>
    <w:rsid w:val="008B2B31"/>
    <w:rsid w:val="008B4DDF"/>
    <w:rsid w:val="008C6FEF"/>
    <w:rsid w:val="008D3C30"/>
    <w:rsid w:val="008D499B"/>
    <w:rsid w:val="008D5C47"/>
    <w:rsid w:val="008D62DE"/>
    <w:rsid w:val="008E0780"/>
    <w:rsid w:val="008E0815"/>
    <w:rsid w:val="008E5A02"/>
    <w:rsid w:val="008F7295"/>
    <w:rsid w:val="00900FA8"/>
    <w:rsid w:val="00905259"/>
    <w:rsid w:val="0090779C"/>
    <w:rsid w:val="00910252"/>
    <w:rsid w:val="00912274"/>
    <w:rsid w:val="0091365F"/>
    <w:rsid w:val="00914E74"/>
    <w:rsid w:val="00922E46"/>
    <w:rsid w:val="009324B6"/>
    <w:rsid w:val="00941FD5"/>
    <w:rsid w:val="009542D2"/>
    <w:rsid w:val="00962F56"/>
    <w:rsid w:val="00966CCC"/>
    <w:rsid w:val="009727C3"/>
    <w:rsid w:val="00973632"/>
    <w:rsid w:val="00973DC3"/>
    <w:rsid w:val="0097526E"/>
    <w:rsid w:val="00977280"/>
    <w:rsid w:val="00984B2D"/>
    <w:rsid w:val="00992C65"/>
    <w:rsid w:val="00995ACF"/>
    <w:rsid w:val="009B7978"/>
    <w:rsid w:val="009C6BE0"/>
    <w:rsid w:val="009C75DA"/>
    <w:rsid w:val="009C7880"/>
    <w:rsid w:val="009C7C0D"/>
    <w:rsid w:val="009D310B"/>
    <w:rsid w:val="009D6EBD"/>
    <w:rsid w:val="009E2A14"/>
    <w:rsid w:val="009E40EC"/>
    <w:rsid w:val="009E69FA"/>
    <w:rsid w:val="009E6DCB"/>
    <w:rsid w:val="009F224F"/>
    <w:rsid w:val="00A00728"/>
    <w:rsid w:val="00A0361B"/>
    <w:rsid w:val="00A03F6A"/>
    <w:rsid w:val="00A12188"/>
    <w:rsid w:val="00A13F1A"/>
    <w:rsid w:val="00A15280"/>
    <w:rsid w:val="00A2151E"/>
    <w:rsid w:val="00A306AF"/>
    <w:rsid w:val="00A32A96"/>
    <w:rsid w:val="00A32D2A"/>
    <w:rsid w:val="00A337F1"/>
    <w:rsid w:val="00A37A98"/>
    <w:rsid w:val="00A5438B"/>
    <w:rsid w:val="00A54E89"/>
    <w:rsid w:val="00A62FAC"/>
    <w:rsid w:val="00A75219"/>
    <w:rsid w:val="00A841E0"/>
    <w:rsid w:val="00A9112C"/>
    <w:rsid w:val="00A93D36"/>
    <w:rsid w:val="00A95AFE"/>
    <w:rsid w:val="00A95E03"/>
    <w:rsid w:val="00AA19E0"/>
    <w:rsid w:val="00AB5F40"/>
    <w:rsid w:val="00AC00C2"/>
    <w:rsid w:val="00AC08F2"/>
    <w:rsid w:val="00AC3912"/>
    <w:rsid w:val="00AC4346"/>
    <w:rsid w:val="00AC4DCA"/>
    <w:rsid w:val="00AC68A0"/>
    <w:rsid w:val="00AD0F6C"/>
    <w:rsid w:val="00AD2B1A"/>
    <w:rsid w:val="00AD30F5"/>
    <w:rsid w:val="00AD7B09"/>
    <w:rsid w:val="00AE2365"/>
    <w:rsid w:val="00AE2443"/>
    <w:rsid w:val="00AE3D97"/>
    <w:rsid w:val="00AE475A"/>
    <w:rsid w:val="00AE6243"/>
    <w:rsid w:val="00AE7ACC"/>
    <w:rsid w:val="00AF1B5F"/>
    <w:rsid w:val="00AF32DC"/>
    <w:rsid w:val="00B010C4"/>
    <w:rsid w:val="00B04DDC"/>
    <w:rsid w:val="00B11770"/>
    <w:rsid w:val="00B11904"/>
    <w:rsid w:val="00B2097F"/>
    <w:rsid w:val="00B2126D"/>
    <w:rsid w:val="00B2385B"/>
    <w:rsid w:val="00B35213"/>
    <w:rsid w:val="00B3572D"/>
    <w:rsid w:val="00B434C9"/>
    <w:rsid w:val="00B43D5D"/>
    <w:rsid w:val="00B470A5"/>
    <w:rsid w:val="00B476AC"/>
    <w:rsid w:val="00B60395"/>
    <w:rsid w:val="00B667BB"/>
    <w:rsid w:val="00B702CA"/>
    <w:rsid w:val="00B76382"/>
    <w:rsid w:val="00B81362"/>
    <w:rsid w:val="00B83BC7"/>
    <w:rsid w:val="00B83DA0"/>
    <w:rsid w:val="00B90B4E"/>
    <w:rsid w:val="00BA2E25"/>
    <w:rsid w:val="00BA3AD9"/>
    <w:rsid w:val="00BA4ACA"/>
    <w:rsid w:val="00BA6C38"/>
    <w:rsid w:val="00BA79B5"/>
    <w:rsid w:val="00BB3817"/>
    <w:rsid w:val="00BC1294"/>
    <w:rsid w:val="00BC2E45"/>
    <w:rsid w:val="00BC393E"/>
    <w:rsid w:val="00BC5F02"/>
    <w:rsid w:val="00BD2FEE"/>
    <w:rsid w:val="00BD3533"/>
    <w:rsid w:val="00BD36A5"/>
    <w:rsid w:val="00BD3D40"/>
    <w:rsid w:val="00BD56B0"/>
    <w:rsid w:val="00BE001E"/>
    <w:rsid w:val="00BF4C21"/>
    <w:rsid w:val="00C102CC"/>
    <w:rsid w:val="00C167BF"/>
    <w:rsid w:val="00C23CA2"/>
    <w:rsid w:val="00C24F6D"/>
    <w:rsid w:val="00C3030D"/>
    <w:rsid w:val="00C3366F"/>
    <w:rsid w:val="00C42D3F"/>
    <w:rsid w:val="00C43088"/>
    <w:rsid w:val="00C57D03"/>
    <w:rsid w:val="00C600D8"/>
    <w:rsid w:val="00C63CCB"/>
    <w:rsid w:val="00C63F66"/>
    <w:rsid w:val="00C660D9"/>
    <w:rsid w:val="00C72A05"/>
    <w:rsid w:val="00C72FE8"/>
    <w:rsid w:val="00C73BDF"/>
    <w:rsid w:val="00C75803"/>
    <w:rsid w:val="00C83A1A"/>
    <w:rsid w:val="00C876BB"/>
    <w:rsid w:val="00C90394"/>
    <w:rsid w:val="00CA3236"/>
    <w:rsid w:val="00CA72CC"/>
    <w:rsid w:val="00CB4EA2"/>
    <w:rsid w:val="00CC1B45"/>
    <w:rsid w:val="00CC661A"/>
    <w:rsid w:val="00CC7B86"/>
    <w:rsid w:val="00CC7FA0"/>
    <w:rsid w:val="00CE7B8F"/>
    <w:rsid w:val="00CF2CAB"/>
    <w:rsid w:val="00CF3B32"/>
    <w:rsid w:val="00CF3CFF"/>
    <w:rsid w:val="00D108E9"/>
    <w:rsid w:val="00D11BAF"/>
    <w:rsid w:val="00D120CF"/>
    <w:rsid w:val="00D1444D"/>
    <w:rsid w:val="00D15BED"/>
    <w:rsid w:val="00D2249C"/>
    <w:rsid w:val="00D23D9F"/>
    <w:rsid w:val="00D279E4"/>
    <w:rsid w:val="00D3326E"/>
    <w:rsid w:val="00D43480"/>
    <w:rsid w:val="00D45F8A"/>
    <w:rsid w:val="00D507B8"/>
    <w:rsid w:val="00D5208C"/>
    <w:rsid w:val="00D53AD0"/>
    <w:rsid w:val="00D63DAB"/>
    <w:rsid w:val="00D7096C"/>
    <w:rsid w:val="00D70E1B"/>
    <w:rsid w:val="00D724B0"/>
    <w:rsid w:val="00D813EC"/>
    <w:rsid w:val="00D82B6A"/>
    <w:rsid w:val="00D83403"/>
    <w:rsid w:val="00D841BA"/>
    <w:rsid w:val="00D866C9"/>
    <w:rsid w:val="00D924FD"/>
    <w:rsid w:val="00D9554C"/>
    <w:rsid w:val="00D96491"/>
    <w:rsid w:val="00DA2119"/>
    <w:rsid w:val="00DA3110"/>
    <w:rsid w:val="00DA7B70"/>
    <w:rsid w:val="00DB14B1"/>
    <w:rsid w:val="00DB74BF"/>
    <w:rsid w:val="00DD336D"/>
    <w:rsid w:val="00DF18D2"/>
    <w:rsid w:val="00DF22B6"/>
    <w:rsid w:val="00DF6396"/>
    <w:rsid w:val="00E06859"/>
    <w:rsid w:val="00E23882"/>
    <w:rsid w:val="00E255C0"/>
    <w:rsid w:val="00E269CD"/>
    <w:rsid w:val="00E26C80"/>
    <w:rsid w:val="00E26C86"/>
    <w:rsid w:val="00E36055"/>
    <w:rsid w:val="00E4591E"/>
    <w:rsid w:val="00E53390"/>
    <w:rsid w:val="00E66F69"/>
    <w:rsid w:val="00E7341D"/>
    <w:rsid w:val="00E75B25"/>
    <w:rsid w:val="00E77A41"/>
    <w:rsid w:val="00E85484"/>
    <w:rsid w:val="00E920FB"/>
    <w:rsid w:val="00EA17B7"/>
    <w:rsid w:val="00EB19E8"/>
    <w:rsid w:val="00EC447F"/>
    <w:rsid w:val="00EC68AA"/>
    <w:rsid w:val="00ED080C"/>
    <w:rsid w:val="00EE0C45"/>
    <w:rsid w:val="00EE634F"/>
    <w:rsid w:val="00EF3138"/>
    <w:rsid w:val="00EF5574"/>
    <w:rsid w:val="00EF5E36"/>
    <w:rsid w:val="00F045FA"/>
    <w:rsid w:val="00F077D5"/>
    <w:rsid w:val="00F12BE1"/>
    <w:rsid w:val="00F15FF3"/>
    <w:rsid w:val="00F168BE"/>
    <w:rsid w:val="00F366D9"/>
    <w:rsid w:val="00F41236"/>
    <w:rsid w:val="00F45A95"/>
    <w:rsid w:val="00F56162"/>
    <w:rsid w:val="00F67D73"/>
    <w:rsid w:val="00F7083D"/>
    <w:rsid w:val="00F70C6D"/>
    <w:rsid w:val="00F73BEC"/>
    <w:rsid w:val="00F80A73"/>
    <w:rsid w:val="00F80E0E"/>
    <w:rsid w:val="00F82278"/>
    <w:rsid w:val="00F84ABE"/>
    <w:rsid w:val="00F947F9"/>
    <w:rsid w:val="00FA3608"/>
    <w:rsid w:val="00FB5FFC"/>
    <w:rsid w:val="00FC0420"/>
    <w:rsid w:val="00FC1F98"/>
    <w:rsid w:val="00FC2E49"/>
    <w:rsid w:val="00FF1790"/>
    <w:rsid w:val="00FF2529"/>
    <w:rsid w:val="00FF5F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60718AA"/>
  <w15:docId w15:val="{4422AB1E-5872-4FB7-9B25-C9CE4A2E4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uiPriority="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95E36"/>
    <w:pPr>
      <w:spacing w:line="280" w:lineRule="atLeast"/>
    </w:pPr>
    <w:rPr>
      <w:rFonts w:ascii="Verdana" w:hAnsi="Verdana"/>
      <w:sz w:val="18"/>
      <w:szCs w:val="24"/>
    </w:rPr>
  </w:style>
  <w:style w:type="paragraph" w:styleId="Kop1">
    <w:name w:val="heading 1"/>
    <w:basedOn w:val="Standaard"/>
    <w:next w:val="Standaard"/>
    <w:qFormat/>
    <w:rsid w:val="00DF18D2"/>
    <w:pPr>
      <w:keepNext/>
      <w:pageBreakBefore/>
      <w:spacing w:after="960"/>
      <w:jc w:val="center"/>
      <w:outlineLvl w:val="0"/>
    </w:pPr>
    <w:rPr>
      <w:rFonts w:cs="Arial"/>
      <w:b/>
      <w:bCs/>
      <w:sz w:val="84"/>
      <w:szCs w:val="32"/>
    </w:rPr>
  </w:style>
  <w:style w:type="paragraph" w:styleId="Kop2">
    <w:name w:val="heading 2"/>
    <w:basedOn w:val="Standaard"/>
    <w:next w:val="Standaard"/>
    <w:uiPriority w:val="2"/>
    <w:qFormat/>
    <w:rsid w:val="0021457D"/>
    <w:pPr>
      <w:keepNext/>
      <w:spacing w:before="560" w:after="280"/>
      <w:outlineLvl w:val="1"/>
    </w:pPr>
    <w:rPr>
      <w:rFonts w:cs="Arial"/>
      <w:b/>
      <w:bCs/>
      <w:iCs/>
      <w:sz w:val="28"/>
      <w:szCs w:val="28"/>
    </w:rPr>
  </w:style>
  <w:style w:type="paragraph" w:styleId="Kop3">
    <w:name w:val="heading 3"/>
    <w:basedOn w:val="Standaard"/>
    <w:next w:val="Standaard"/>
    <w:link w:val="Kop3Char"/>
    <w:unhideWhenUsed/>
    <w:qFormat/>
    <w:rsid w:val="000E7D12"/>
    <w:pPr>
      <w:keepNext/>
      <w:keepLines/>
      <w:spacing w:before="560" w:after="280"/>
      <w:outlineLvl w:val="2"/>
    </w:pPr>
    <w:rPr>
      <w:rFonts w:eastAsiaTheme="majorEastAsia" w:cstheme="majorBidi"/>
      <w:b/>
      <w:bCs/>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595E36"/>
    <w:pPr>
      <w:tabs>
        <w:tab w:val="center" w:pos="4536"/>
        <w:tab w:val="right" w:pos="9072"/>
      </w:tabs>
    </w:pPr>
  </w:style>
  <w:style w:type="paragraph" w:styleId="Voettekst">
    <w:name w:val="footer"/>
    <w:basedOn w:val="Standaard"/>
    <w:rsid w:val="00595E36"/>
    <w:pPr>
      <w:tabs>
        <w:tab w:val="right" w:pos="9072"/>
      </w:tabs>
    </w:pPr>
    <w:rPr>
      <w:sz w:val="14"/>
    </w:rPr>
  </w:style>
  <w:style w:type="paragraph" w:customStyle="1" w:styleId="opmBriefHoofdTabel">
    <w:name w:val="opmBriefHoofdTabel"/>
    <w:basedOn w:val="Standaard"/>
    <w:rsid w:val="00595E36"/>
  </w:style>
  <w:style w:type="paragraph" w:customStyle="1" w:styleId="AlineaKop">
    <w:name w:val="AlineaKop"/>
    <w:basedOn w:val="Standaard"/>
    <w:next w:val="Standaard"/>
    <w:rsid w:val="00595E36"/>
    <w:rPr>
      <w:b/>
    </w:rPr>
  </w:style>
  <w:style w:type="paragraph" w:customStyle="1" w:styleId="opmHoofdTabel">
    <w:name w:val="opmHoofdTabel"/>
    <w:basedOn w:val="opmBriefHoofdTabel"/>
    <w:rsid w:val="00595E36"/>
  </w:style>
  <w:style w:type="paragraph" w:customStyle="1" w:styleId="Badge1">
    <w:name w:val="Badge1"/>
    <w:basedOn w:val="Standaard"/>
    <w:next w:val="Standaard"/>
    <w:rsid w:val="00595E36"/>
    <w:pPr>
      <w:jc w:val="center"/>
    </w:pPr>
    <w:rPr>
      <w:b/>
      <w:sz w:val="32"/>
      <w:szCs w:val="32"/>
    </w:rPr>
  </w:style>
  <w:style w:type="paragraph" w:customStyle="1" w:styleId="Badge2">
    <w:name w:val="Badge2"/>
    <w:basedOn w:val="Standaard"/>
    <w:rsid w:val="00595E36"/>
    <w:pPr>
      <w:jc w:val="center"/>
    </w:pPr>
    <w:rPr>
      <w:b/>
      <w:sz w:val="24"/>
      <w:szCs w:val="32"/>
    </w:rPr>
  </w:style>
  <w:style w:type="paragraph" w:customStyle="1" w:styleId="Ondertekening">
    <w:name w:val="Ondertekening"/>
    <w:basedOn w:val="Standaard"/>
    <w:next w:val="Standaard"/>
    <w:rsid w:val="00595E36"/>
    <w:pPr>
      <w:tabs>
        <w:tab w:val="left" w:pos="4423"/>
      </w:tabs>
    </w:pPr>
  </w:style>
  <w:style w:type="paragraph" w:styleId="Ballontekst">
    <w:name w:val="Balloon Text"/>
    <w:basedOn w:val="Standaard"/>
    <w:link w:val="BallontekstChar"/>
    <w:rsid w:val="00595E36"/>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595E36"/>
    <w:rPr>
      <w:rFonts w:ascii="Tahoma" w:hAnsi="Tahoma" w:cs="Tahoma"/>
      <w:sz w:val="16"/>
      <w:szCs w:val="16"/>
    </w:rPr>
  </w:style>
  <w:style w:type="paragraph" w:styleId="Inhopg1">
    <w:name w:val="toc 1"/>
    <w:basedOn w:val="Standaard"/>
    <w:next w:val="Standaard"/>
    <w:autoRedefine/>
    <w:uiPriority w:val="39"/>
    <w:rsid w:val="00110A5A"/>
    <w:pPr>
      <w:tabs>
        <w:tab w:val="right" w:pos="7938"/>
      </w:tabs>
    </w:pPr>
  </w:style>
  <w:style w:type="character" w:customStyle="1" w:styleId="Kop3Char">
    <w:name w:val="Kop 3 Char"/>
    <w:basedOn w:val="Standaardalinea-lettertype"/>
    <w:link w:val="Kop3"/>
    <w:rsid w:val="000E7D12"/>
    <w:rPr>
      <w:rFonts w:ascii="Verdana" w:eastAsiaTheme="majorEastAsia" w:hAnsi="Verdana" w:cstheme="majorBidi"/>
      <w:b/>
      <w:bCs/>
      <w:sz w:val="22"/>
      <w:szCs w:val="24"/>
    </w:rPr>
  </w:style>
  <w:style w:type="paragraph" w:styleId="Inhopg2">
    <w:name w:val="toc 2"/>
    <w:basedOn w:val="Standaard"/>
    <w:next w:val="Standaard"/>
    <w:autoRedefine/>
    <w:uiPriority w:val="39"/>
    <w:rsid w:val="00110A5A"/>
    <w:pPr>
      <w:tabs>
        <w:tab w:val="left" w:pos="880"/>
        <w:tab w:val="right" w:pos="7938"/>
      </w:tabs>
      <w:ind w:left="181"/>
    </w:pPr>
  </w:style>
  <w:style w:type="paragraph" w:styleId="Inhopg3">
    <w:name w:val="toc 3"/>
    <w:basedOn w:val="Standaard"/>
    <w:next w:val="Standaard"/>
    <w:autoRedefine/>
    <w:uiPriority w:val="39"/>
    <w:rsid w:val="00110A5A"/>
    <w:pPr>
      <w:tabs>
        <w:tab w:val="right" w:pos="7938"/>
      </w:tabs>
      <w:ind w:left="357"/>
    </w:pPr>
  </w:style>
  <w:style w:type="paragraph" w:customStyle="1" w:styleId="Alineakop2">
    <w:name w:val="Alineakop2"/>
    <w:basedOn w:val="Standaard"/>
    <w:qFormat/>
    <w:rsid w:val="00557E25"/>
    <w:rPr>
      <w:i/>
    </w:rPr>
  </w:style>
  <w:style w:type="paragraph" w:styleId="Lijstalinea">
    <w:name w:val="List Paragraph"/>
    <w:basedOn w:val="Standaard"/>
    <w:uiPriority w:val="34"/>
    <w:rsid w:val="007D56F1"/>
    <w:pPr>
      <w:ind w:left="720"/>
      <w:contextualSpacing/>
    </w:pPr>
  </w:style>
  <w:style w:type="paragraph" w:styleId="Voetnoottekst">
    <w:name w:val="footnote text"/>
    <w:basedOn w:val="Standaard"/>
    <w:link w:val="VoetnoottekstChar"/>
    <w:semiHidden/>
    <w:unhideWhenUsed/>
    <w:rsid w:val="00145FCE"/>
    <w:pPr>
      <w:spacing w:line="240" w:lineRule="auto"/>
    </w:pPr>
    <w:rPr>
      <w:sz w:val="20"/>
      <w:szCs w:val="20"/>
    </w:rPr>
  </w:style>
  <w:style w:type="character" w:customStyle="1" w:styleId="VoetnoottekstChar">
    <w:name w:val="Voetnoottekst Char"/>
    <w:basedOn w:val="Standaardalinea-lettertype"/>
    <w:link w:val="Voetnoottekst"/>
    <w:semiHidden/>
    <w:rsid w:val="00145FCE"/>
    <w:rPr>
      <w:rFonts w:ascii="Verdana" w:hAnsi="Verdana"/>
    </w:rPr>
  </w:style>
  <w:style w:type="character" w:styleId="Voetnootmarkering">
    <w:name w:val="footnote reference"/>
    <w:basedOn w:val="Standaardalinea-lettertype"/>
    <w:semiHidden/>
    <w:unhideWhenUsed/>
    <w:rsid w:val="00145F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u-avl\AppData\Roaming\Microsoft\Sjablonen\iederin.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851</ap:Words>
  <ap:Characters>4686</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2017-11-29T07:52:00.0000000Z</lastPrinted>
  <dcterms:created xsi:type="dcterms:W3CDTF">2017-11-29T08:47:00.0000000Z</dcterms:created>
  <dcterms:modified xsi:type="dcterms:W3CDTF">2017-11-30T10:53:00.0000000Z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0x010100F54C4F2F7A50794385F14C092EC792AA</vt:lpwstr>
  </property>
</Properties>
</file>