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FC6" w:rsidP="009A0FC6" w:rsidRDefault="009A0FC6">
      <w:pPr>
        <w:rPr>
          <w:rFonts w:asciiTheme="minorHAnsi" w:hAnsiTheme="minorHAnsi"/>
          <w:b/>
          <w:sz w:val="22"/>
          <w:szCs w:val="22"/>
        </w:rPr>
      </w:pPr>
      <w:bookmarkStart w:name="_GoBack" w:id="0"/>
      <w:bookmarkEnd w:id="0"/>
      <w:r w:rsidRPr="00854ED8">
        <w:rPr>
          <w:rFonts w:asciiTheme="minorHAnsi" w:hAnsiTheme="minorHAnsi"/>
          <w:b/>
          <w:sz w:val="22"/>
          <w:szCs w:val="22"/>
        </w:rPr>
        <w:t xml:space="preserve">Lijst met EU-voorstellen op </w:t>
      </w:r>
      <w:r w:rsidR="0068465A">
        <w:rPr>
          <w:rFonts w:asciiTheme="minorHAnsi" w:hAnsiTheme="minorHAnsi"/>
          <w:b/>
          <w:sz w:val="22"/>
          <w:szCs w:val="22"/>
        </w:rPr>
        <w:t>het terrein van de commissie I&amp;W</w:t>
      </w:r>
    </w:p>
    <w:p w:rsidRPr="00F67F5B" w:rsidR="00A137D8" w:rsidP="00A137D8" w:rsidRDefault="00A137D8">
      <w:pPr>
        <w:rPr>
          <w:rFonts w:asciiTheme="minorHAnsi" w:hAnsiTheme="minorHAnsi"/>
          <w:sz w:val="22"/>
          <w:szCs w:val="22"/>
        </w:rPr>
      </w:pPr>
    </w:p>
    <w:p w:rsidRPr="00BF35EE" w:rsidR="00A137D8" w:rsidP="00A137D8" w:rsidRDefault="00A137D8">
      <w:pPr>
        <w:rPr>
          <w:rFonts w:asciiTheme="minorHAnsi" w:hAnsiTheme="minorHAnsi"/>
          <w:sz w:val="22"/>
          <w:szCs w:val="22"/>
          <w:u w:val="single"/>
        </w:rPr>
      </w:pPr>
      <w:r w:rsidRPr="00BF35EE">
        <w:rPr>
          <w:rFonts w:asciiTheme="minorHAnsi" w:hAnsiTheme="minorHAnsi"/>
          <w:sz w:val="22"/>
          <w:szCs w:val="22"/>
          <w:u w:val="single"/>
        </w:rPr>
        <w:t xml:space="preserve">Integraal overzicht met nieuw gepubliceerde EU-voorstellen </w:t>
      </w:r>
      <w:r w:rsidRPr="00F74ED7">
        <w:rPr>
          <w:rFonts w:asciiTheme="minorHAnsi" w:hAnsiTheme="minorHAnsi"/>
          <w:sz w:val="22"/>
          <w:szCs w:val="22"/>
          <w:u w:val="single"/>
        </w:rPr>
        <w:t>we</w:t>
      </w:r>
      <w:r w:rsidR="005129ED">
        <w:rPr>
          <w:rFonts w:asciiTheme="minorHAnsi" w:hAnsiTheme="minorHAnsi"/>
          <w:sz w:val="22"/>
          <w:szCs w:val="22"/>
          <w:u w:val="single"/>
        </w:rPr>
        <w:t>ek</w:t>
      </w:r>
      <w:r w:rsidRPr="00F74ED7">
        <w:rPr>
          <w:rFonts w:asciiTheme="minorHAnsi" w:hAnsiTheme="minorHAnsi"/>
          <w:sz w:val="22"/>
          <w:szCs w:val="22"/>
          <w:u w:val="single"/>
        </w:rPr>
        <w:t xml:space="preserve"> </w:t>
      </w:r>
      <w:r w:rsidR="00102284">
        <w:rPr>
          <w:rFonts w:asciiTheme="minorHAnsi" w:hAnsiTheme="minorHAnsi"/>
          <w:sz w:val="22"/>
          <w:szCs w:val="22"/>
          <w:u w:val="single"/>
        </w:rPr>
        <w:t>45</w:t>
      </w:r>
      <w:r w:rsidR="005212C9">
        <w:rPr>
          <w:rFonts w:asciiTheme="minorHAnsi" w:hAnsiTheme="minorHAnsi"/>
          <w:sz w:val="22"/>
          <w:szCs w:val="22"/>
          <w:u w:val="single"/>
        </w:rPr>
        <w:t>-</w:t>
      </w:r>
      <w:r w:rsidR="000F7673">
        <w:rPr>
          <w:rFonts w:asciiTheme="minorHAnsi" w:hAnsiTheme="minorHAnsi"/>
          <w:sz w:val="22"/>
          <w:szCs w:val="22"/>
          <w:u w:val="single"/>
        </w:rPr>
        <w:t>4</w:t>
      </w:r>
      <w:r w:rsidR="0016781D">
        <w:rPr>
          <w:rFonts w:asciiTheme="minorHAnsi" w:hAnsiTheme="minorHAnsi"/>
          <w:sz w:val="22"/>
          <w:szCs w:val="22"/>
          <w:u w:val="single"/>
        </w:rPr>
        <w:t>6</w:t>
      </w:r>
      <w:r w:rsidRPr="00F74ED7">
        <w:rPr>
          <w:rFonts w:asciiTheme="minorHAnsi" w:hAnsiTheme="minorHAnsi"/>
          <w:sz w:val="22"/>
          <w:szCs w:val="22"/>
          <w:u w:val="single"/>
        </w:rPr>
        <w:t xml:space="preserve"> (</w:t>
      </w:r>
      <w:r w:rsidR="005212C9">
        <w:rPr>
          <w:rFonts w:asciiTheme="minorHAnsi" w:hAnsiTheme="minorHAnsi"/>
          <w:sz w:val="22"/>
          <w:szCs w:val="22"/>
          <w:u w:val="single"/>
        </w:rPr>
        <w:t>1</w:t>
      </w:r>
      <w:r w:rsidR="0045252E">
        <w:rPr>
          <w:rFonts w:asciiTheme="minorHAnsi" w:hAnsiTheme="minorHAnsi"/>
          <w:sz w:val="22"/>
          <w:szCs w:val="22"/>
          <w:u w:val="single"/>
        </w:rPr>
        <w:t xml:space="preserve"> </w:t>
      </w:r>
      <w:r w:rsidR="00102284">
        <w:rPr>
          <w:rFonts w:asciiTheme="minorHAnsi" w:hAnsiTheme="minorHAnsi"/>
          <w:sz w:val="22"/>
          <w:szCs w:val="22"/>
          <w:u w:val="single"/>
        </w:rPr>
        <w:t>novem</w:t>
      </w:r>
      <w:r w:rsidR="0045252E">
        <w:rPr>
          <w:rFonts w:asciiTheme="minorHAnsi" w:hAnsiTheme="minorHAnsi"/>
          <w:sz w:val="22"/>
          <w:szCs w:val="22"/>
          <w:u w:val="single"/>
        </w:rPr>
        <w:t>ber</w:t>
      </w:r>
      <w:r w:rsidR="00AD4E0E">
        <w:rPr>
          <w:rFonts w:asciiTheme="minorHAnsi" w:hAnsiTheme="minorHAnsi"/>
          <w:sz w:val="22"/>
          <w:szCs w:val="22"/>
          <w:u w:val="single"/>
        </w:rPr>
        <w:t xml:space="preserve"> </w:t>
      </w:r>
      <w:r w:rsidRPr="00F74ED7" w:rsidR="009A0FC6">
        <w:rPr>
          <w:rFonts w:asciiTheme="minorHAnsi" w:hAnsiTheme="minorHAnsi"/>
          <w:sz w:val="22"/>
          <w:szCs w:val="22"/>
          <w:u w:val="single"/>
        </w:rPr>
        <w:t>2017</w:t>
      </w:r>
      <w:r w:rsidRPr="00F74ED7" w:rsidR="00FA27D6">
        <w:rPr>
          <w:rFonts w:asciiTheme="minorHAnsi" w:hAnsiTheme="minorHAnsi"/>
          <w:sz w:val="22"/>
          <w:szCs w:val="22"/>
          <w:u w:val="single"/>
        </w:rPr>
        <w:t xml:space="preserve"> -</w:t>
      </w:r>
      <w:r w:rsidR="0016781D">
        <w:rPr>
          <w:rFonts w:asciiTheme="minorHAnsi" w:hAnsiTheme="minorHAnsi"/>
          <w:sz w:val="22"/>
          <w:szCs w:val="22"/>
          <w:u w:val="single"/>
        </w:rPr>
        <w:t xml:space="preserve"> 15</w:t>
      </w:r>
      <w:r w:rsidR="00102284">
        <w:rPr>
          <w:rFonts w:asciiTheme="minorHAnsi" w:hAnsiTheme="minorHAnsi"/>
          <w:sz w:val="22"/>
          <w:szCs w:val="22"/>
          <w:u w:val="single"/>
        </w:rPr>
        <w:t xml:space="preserve"> novem</w:t>
      </w:r>
      <w:r w:rsidR="00777493">
        <w:rPr>
          <w:rFonts w:asciiTheme="minorHAnsi" w:hAnsiTheme="minorHAnsi"/>
          <w:sz w:val="22"/>
          <w:szCs w:val="22"/>
          <w:u w:val="single"/>
        </w:rPr>
        <w:t>ber</w:t>
      </w:r>
      <w:r w:rsidR="0074305F">
        <w:rPr>
          <w:rFonts w:asciiTheme="minorHAnsi" w:hAnsiTheme="minorHAnsi"/>
          <w:sz w:val="22"/>
          <w:szCs w:val="22"/>
          <w:u w:val="single"/>
        </w:rPr>
        <w:t xml:space="preserve"> </w:t>
      </w:r>
      <w:r w:rsidRPr="00F74ED7" w:rsidR="006A0D87">
        <w:rPr>
          <w:rFonts w:asciiTheme="minorHAnsi" w:hAnsiTheme="minorHAnsi"/>
          <w:sz w:val="22"/>
          <w:szCs w:val="22"/>
          <w:u w:val="single"/>
        </w:rPr>
        <w:t>2017</w:t>
      </w:r>
      <w:r w:rsidRPr="00F74ED7">
        <w:rPr>
          <w:rFonts w:asciiTheme="minorHAnsi" w:hAnsiTheme="minorHAnsi"/>
          <w:sz w:val="22"/>
          <w:szCs w:val="22"/>
          <w:u w:val="single"/>
        </w:rPr>
        <w:t>) d.d.</w:t>
      </w:r>
      <w:r w:rsidR="00102284">
        <w:rPr>
          <w:rFonts w:asciiTheme="minorHAnsi" w:hAnsiTheme="minorHAnsi"/>
          <w:sz w:val="22"/>
          <w:szCs w:val="22"/>
          <w:u w:val="single"/>
        </w:rPr>
        <w:t xml:space="preserve"> 16</w:t>
      </w:r>
      <w:r w:rsidR="00777493">
        <w:rPr>
          <w:rFonts w:asciiTheme="minorHAnsi" w:hAnsiTheme="minorHAnsi"/>
          <w:sz w:val="22"/>
          <w:szCs w:val="22"/>
          <w:u w:val="single"/>
        </w:rPr>
        <w:t xml:space="preserve"> </w:t>
      </w:r>
      <w:r w:rsidR="005212C9">
        <w:rPr>
          <w:rFonts w:asciiTheme="minorHAnsi" w:hAnsiTheme="minorHAnsi"/>
          <w:sz w:val="22"/>
          <w:szCs w:val="22"/>
          <w:u w:val="single"/>
        </w:rPr>
        <w:t>novem</w:t>
      </w:r>
      <w:r w:rsidR="00777493">
        <w:rPr>
          <w:rFonts w:asciiTheme="minorHAnsi" w:hAnsiTheme="minorHAnsi"/>
          <w:sz w:val="22"/>
          <w:szCs w:val="22"/>
          <w:u w:val="single"/>
        </w:rPr>
        <w:t>ber</w:t>
      </w:r>
      <w:r w:rsidRPr="00F74ED7" w:rsidR="009A0FC6">
        <w:rPr>
          <w:rFonts w:asciiTheme="minorHAnsi" w:hAnsiTheme="minorHAnsi"/>
          <w:sz w:val="22"/>
          <w:szCs w:val="22"/>
          <w:u w:val="single"/>
        </w:rPr>
        <w:t xml:space="preserve"> 2017</w:t>
      </w:r>
    </w:p>
    <w:p w:rsidRPr="00F67F5B" w:rsidR="00A137D8" w:rsidP="00A137D8" w:rsidRDefault="00A137D8">
      <w:pPr>
        <w:rPr>
          <w:rFonts w:asciiTheme="minorHAnsi" w:hAnsiTheme="minorHAnsi"/>
          <w:sz w:val="22"/>
          <w:szCs w:val="22"/>
        </w:rPr>
      </w:pPr>
    </w:p>
    <w:p w:rsidRPr="00FD013F" w:rsidR="00A137D8" w:rsidP="00A137D8" w:rsidRDefault="00A137D8">
      <w:pPr>
        <w:rPr>
          <w:rFonts w:asciiTheme="minorHAnsi" w:hAnsiTheme="minorHAnsi"/>
          <w:sz w:val="22"/>
          <w:szCs w:val="22"/>
        </w:rPr>
      </w:pPr>
      <w:r w:rsidRPr="00FD013F">
        <w:rPr>
          <w:rFonts w:asciiTheme="minorHAnsi" w:hAnsiTheme="minorHAnsi"/>
          <w:sz w:val="22"/>
          <w:szCs w:val="22"/>
        </w:rPr>
        <w:t>Rood gemarkeerd betekent dat het desbetreffende EU-voorstel behoort tot een door de commissie als prioritair be</w:t>
      </w:r>
      <w:r w:rsidR="0076598A">
        <w:rPr>
          <w:rFonts w:asciiTheme="minorHAnsi" w:hAnsiTheme="minorHAnsi"/>
          <w:sz w:val="22"/>
          <w:szCs w:val="22"/>
        </w:rPr>
        <w:t>stempeld dossier. Omdat g</w:t>
      </w:r>
      <w:r w:rsidRPr="00FD013F">
        <w:rPr>
          <w:rFonts w:asciiTheme="minorHAnsi" w:hAnsiTheme="minorHAnsi"/>
          <w:sz w:val="22"/>
          <w:szCs w:val="22"/>
        </w:rPr>
        <w:t xml:space="preserve">roen- en </w:t>
      </w:r>
      <w:r w:rsidR="0076598A">
        <w:rPr>
          <w:rFonts w:asciiTheme="minorHAnsi" w:hAnsiTheme="minorHAnsi"/>
          <w:sz w:val="22"/>
          <w:szCs w:val="22"/>
        </w:rPr>
        <w:t>w</w:t>
      </w:r>
      <w:r w:rsidRPr="00FD013F">
        <w:rPr>
          <w:rFonts w:asciiTheme="minorHAnsi" w:hAnsiTheme="minorHAnsi"/>
          <w:sz w:val="22"/>
          <w:szCs w:val="22"/>
        </w:rPr>
        <w:t xml:space="preserve">itboeken en prioritaire </w:t>
      </w:r>
      <w:r w:rsidR="0076598A">
        <w:rPr>
          <w:rFonts w:asciiTheme="minorHAnsi" w:hAnsiTheme="minorHAnsi"/>
          <w:sz w:val="22"/>
          <w:szCs w:val="22"/>
        </w:rPr>
        <w:t>EU-</w:t>
      </w:r>
      <w:r w:rsidRPr="00FD013F">
        <w:rPr>
          <w:rFonts w:asciiTheme="minorHAnsi" w:hAnsiTheme="minorHAnsi"/>
          <w:sz w:val="22"/>
          <w:szCs w:val="22"/>
        </w:rPr>
        <w:t xml:space="preserve">voorstellen ook afzonderlijk worden geagendeerd, </w:t>
      </w:r>
      <w:r w:rsidR="0076598A">
        <w:rPr>
          <w:rFonts w:asciiTheme="minorHAnsi" w:hAnsiTheme="minorHAnsi"/>
          <w:sz w:val="22"/>
          <w:szCs w:val="22"/>
        </w:rPr>
        <w:t xml:space="preserve">wordt </w:t>
      </w:r>
      <w:r w:rsidRPr="00FD013F">
        <w:rPr>
          <w:rFonts w:asciiTheme="minorHAnsi" w:hAnsiTheme="minorHAnsi"/>
          <w:sz w:val="22"/>
          <w:szCs w:val="22"/>
        </w:rPr>
        <w:t>hiervoor</w:t>
      </w:r>
      <w:r w:rsidR="0076598A">
        <w:rPr>
          <w:rFonts w:asciiTheme="minorHAnsi" w:hAnsiTheme="minorHAnsi"/>
          <w:sz w:val="22"/>
          <w:szCs w:val="22"/>
        </w:rPr>
        <w:t xml:space="preserve"> - indien aan de orde -</w:t>
      </w:r>
      <w:r>
        <w:rPr>
          <w:rFonts w:asciiTheme="minorHAnsi" w:hAnsiTheme="minorHAnsi"/>
          <w:sz w:val="22"/>
          <w:szCs w:val="22"/>
        </w:rPr>
        <w:t xml:space="preserve"> bij “Opmerking”</w:t>
      </w:r>
      <w:r w:rsidRPr="00FD013F">
        <w:rPr>
          <w:rFonts w:asciiTheme="minorHAnsi" w:hAnsiTheme="minorHAnsi"/>
          <w:sz w:val="22"/>
          <w:szCs w:val="22"/>
        </w:rPr>
        <w:t xml:space="preserve"> </w:t>
      </w:r>
      <w:r>
        <w:rPr>
          <w:rFonts w:asciiTheme="minorHAnsi" w:hAnsiTheme="minorHAnsi"/>
          <w:sz w:val="22"/>
          <w:szCs w:val="22"/>
        </w:rPr>
        <w:t xml:space="preserve">met </w:t>
      </w:r>
      <w:r w:rsidRPr="00FD013F">
        <w:rPr>
          <w:rFonts w:asciiTheme="minorHAnsi" w:hAnsiTheme="minorHAnsi"/>
          <w:sz w:val="22"/>
          <w:szCs w:val="22"/>
        </w:rPr>
        <w:t>een verwijzing naar het aparte agendapunt en de mogelijk hierbij behorende EU-stafnotitie</w:t>
      </w:r>
      <w:r>
        <w:rPr>
          <w:rFonts w:asciiTheme="minorHAnsi" w:hAnsiTheme="minorHAnsi"/>
          <w:sz w:val="22"/>
          <w:szCs w:val="22"/>
        </w:rPr>
        <w:t xml:space="preserve"> volstaan</w:t>
      </w:r>
      <w:r w:rsidRPr="00FD013F">
        <w:rPr>
          <w:rFonts w:asciiTheme="minorHAnsi" w:hAnsiTheme="minorHAnsi"/>
          <w:sz w:val="22"/>
          <w:szCs w:val="22"/>
        </w:rPr>
        <w:t>.</w:t>
      </w:r>
    </w:p>
    <w:p w:rsidRPr="00F67F5B" w:rsidR="00A137D8" w:rsidP="00A137D8" w:rsidRDefault="00A137D8">
      <w:pPr>
        <w:rPr>
          <w:rFonts w:asciiTheme="minorHAnsi" w:hAnsiTheme="minorHAnsi"/>
          <w:sz w:val="22"/>
          <w:szCs w:val="22"/>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80"/>
        <w:gridCol w:w="1203"/>
        <w:gridCol w:w="1254"/>
        <w:gridCol w:w="4890"/>
        <w:gridCol w:w="720"/>
        <w:gridCol w:w="1033"/>
        <w:gridCol w:w="4575"/>
      </w:tblGrid>
      <w:tr w:rsidRPr="00F67F5B" w:rsidR="00A137D8" w:rsidTr="0034235C">
        <w:trPr>
          <w:trHeight w:val="1550"/>
        </w:trPr>
        <w:tc>
          <w:tcPr>
            <w:tcW w:w="980" w:type="dxa"/>
            <w:shd w:val="clear" w:color="auto" w:fill="auto"/>
            <w:textDirection w:val="btLr"/>
            <w:vAlign w:val="bottom"/>
            <w:hideMark/>
          </w:tcPr>
          <w:p w:rsidRPr="00F50A0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Publicatie-</w:t>
            </w:r>
          </w:p>
          <w:p w:rsidRPr="00F67F5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datum</w:t>
            </w:r>
          </w:p>
        </w:tc>
        <w:tc>
          <w:tcPr>
            <w:tcW w:w="1203"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Voortouw</w:t>
            </w:r>
          </w:p>
        </w:tc>
        <w:tc>
          <w:tcPr>
            <w:tcW w:w="1254"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Soort</w:t>
            </w:r>
          </w:p>
        </w:tc>
        <w:tc>
          <w:tcPr>
            <w:tcW w:w="4890"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720"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033" w:type="dxa"/>
            <w:textDirection w:val="btLr"/>
          </w:tcPr>
          <w:p w:rsidR="00A137D8" w:rsidP="0034235C" w:rsidRDefault="00A137D8">
            <w:pPr>
              <w:jc w:val="center"/>
              <w:rPr>
                <w:rFonts w:asciiTheme="minorHAnsi" w:hAnsiTheme="minorHAnsi"/>
                <w:b/>
                <w:bCs/>
                <w:color w:val="000000"/>
                <w:sz w:val="22"/>
                <w:szCs w:val="22"/>
              </w:rPr>
            </w:pPr>
          </w:p>
          <w:p w:rsidRPr="00F50A0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Sub.toets</w:t>
            </w:r>
          </w:p>
        </w:tc>
        <w:tc>
          <w:tcPr>
            <w:tcW w:w="4575"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A137D8" w:rsidTr="0034235C">
        <w:trPr>
          <w:trHeight w:val="300"/>
        </w:trPr>
        <w:tc>
          <w:tcPr>
            <w:tcW w:w="980"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03"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54" w:type="dxa"/>
            <w:tcBorders>
              <w:bottom w:val="single" w:color="auto" w:sz="4" w:space="0"/>
            </w:tcBorders>
            <w:shd w:val="clear" w:color="000000" w:fill="538DD5"/>
            <w:vAlign w:val="bottom"/>
            <w:hideMark/>
          </w:tcPr>
          <w:p w:rsidRPr="00F67F5B" w:rsidR="00A137D8" w:rsidP="0034235C" w:rsidRDefault="00A137D8">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4890"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720"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33" w:type="dxa"/>
            <w:tcBorders>
              <w:bottom w:val="single" w:color="auto" w:sz="4" w:space="0"/>
            </w:tcBorders>
            <w:shd w:val="clear" w:color="000000" w:fill="538DD5"/>
          </w:tcPr>
          <w:p w:rsidRPr="00F67F5B" w:rsidR="00A137D8" w:rsidP="0034235C" w:rsidRDefault="00A137D8">
            <w:pPr>
              <w:rPr>
                <w:rFonts w:asciiTheme="minorHAnsi" w:hAnsiTheme="minorHAnsi"/>
                <w:b/>
                <w:bCs/>
                <w:color w:val="000000"/>
                <w:sz w:val="22"/>
                <w:szCs w:val="22"/>
              </w:rPr>
            </w:pPr>
          </w:p>
        </w:tc>
        <w:tc>
          <w:tcPr>
            <w:tcW w:w="4575" w:type="dxa"/>
            <w:tcBorders>
              <w:bottom w:val="single" w:color="auto" w:sz="4" w:space="0"/>
            </w:tcBorders>
            <w:shd w:val="clear" w:color="000000" w:fill="538DD5"/>
            <w:hideMark/>
          </w:tcPr>
          <w:p w:rsidRPr="00F67F5B" w:rsidR="00A137D8" w:rsidP="0034235C" w:rsidRDefault="00A137D8">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931F2B" w:rsidR="00102284" w:rsidTr="00102284">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102284" w:rsidP="00102284" w:rsidRDefault="00102284">
            <w:pPr>
              <w:jc w:val="center"/>
              <w:rPr>
                <w:rFonts w:ascii="Calibri" w:hAnsi="Calibri"/>
                <w:color w:val="000000"/>
                <w:sz w:val="22"/>
                <w:szCs w:val="22"/>
              </w:rPr>
            </w:pPr>
            <w:r>
              <w:rPr>
                <w:rFonts w:ascii="Calibri" w:hAnsi="Calibri"/>
                <w:color w:val="000000"/>
                <w:sz w:val="22"/>
                <w:szCs w:val="22"/>
              </w:rPr>
              <w:t>8-nov-17</w:t>
            </w:r>
          </w:p>
        </w:tc>
        <w:tc>
          <w:tcPr>
            <w:tcW w:w="120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102284" w:rsidP="0016781D" w:rsidRDefault="00102284">
            <w:pPr>
              <w:jc w:val="center"/>
              <w:rPr>
                <w:rFonts w:ascii="Calibri" w:hAnsi="Calibri"/>
                <w:color w:val="000000"/>
                <w:sz w:val="22"/>
                <w:szCs w:val="22"/>
              </w:rPr>
            </w:pPr>
            <w:r>
              <w:rPr>
                <w:rFonts w:ascii="Calibri" w:hAnsi="Calibri"/>
                <w:color w:val="000000"/>
                <w:sz w:val="22"/>
                <w:szCs w:val="22"/>
              </w:rPr>
              <w:t>I&amp;</w:t>
            </w:r>
            <w:r w:rsidR="0016781D">
              <w:rPr>
                <w:rFonts w:ascii="Calibri" w:hAnsi="Calibri"/>
                <w:color w:val="000000"/>
                <w:sz w:val="22"/>
                <w:szCs w:val="22"/>
              </w:rPr>
              <w:t>W</w:t>
            </w:r>
          </w:p>
        </w:tc>
        <w:tc>
          <w:tcPr>
            <w:tcW w:w="125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102284" w:rsidP="00102284" w:rsidRDefault="00102284">
            <w:pPr>
              <w:jc w:val="center"/>
              <w:rPr>
                <w:rFonts w:ascii="Calibri" w:hAnsi="Calibri"/>
                <w:color w:val="000000"/>
                <w:sz w:val="22"/>
                <w:szCs w:val="22"/>
              </w:rPr>
            </w:pPr>
            <w:r>
              <w:rPr>
                <w:rFonts w:ascii="Calibri" w:hAnsi="Calibri"/>
                <w:color w:val="000000"/>
                <w:sz w:val="22"/>
                <w:szCs w:val="22"/>
              </w:rPr>
              <w:t>mededeling</w:t>
            </w:r>
          </w:p>
        </w:tc>
        <w:tc>
          <w:tcPr>
            <w:tcW w:w="4890" w:type="dxa"/>
            <w:tcBorders>
              <w:top w:val="single" w:color="auto" w:sz="4" w:space="0"/>
              <w:left w:val="single" w:color="auto" w:sz="4" w:space="0"/>
              <w:bottom w:val="single" w:color="auto" w:sz="4" w:space="0"/>
              <w:right w:val="single" w:color="auto" w:sz="4" w:space="0"/>
            </w:tcBorders>
            <w:shd w:val="clear" w:color="auto" w:fill="FFFFFF" w:themeFill="background1"/>
          </w:tcPr>
          <w:p w:rsidRPr="00102284" w:rsidR="00102284" w:rsidRDefault="00102284">
            <w:pPr>
              <w:rPr>
                <w:rFonts w:ascii="Calibri" w:hAnsi="Calibri"/>
                <w:color w:val="000000"/>
                <w:sz w:val="22"/>
                <w:szCs w:val="22"/>
                <w:lang w:val="en-GB"/>
              </w:rPr>
            </w:pPr>
            <w:r w:rsidRPr="00102284">
              <w:rPr>
                <w:rFonts w:ascii="Calibri" w:hAnsi="Calibri"/>
                <w:color w:val="000000"/>
                <w:sz w:val="22"/>
                <w:szCs w:val="22"/>
                <w:lang w:val="en-GB"/>
              </w:rPr>
              <w:t>Towards the broadest use of alternative fuels - an Action Plan on Alternative Fuels Infrastructure under Article 10(6) of Directive 2014/94/EU, including the assessment of national policy frameworks under Article 10(2) of Directive 2014/94/EU</w:t>
            </w:r>
          </w:p>
        </w:tc>
        <w:tc>
          <w:tcPr>
            <w:tcW w:w="72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102284" w:rsidRDefault="00AF22E4">
            <w:pPr>
              <w:jc w:val="center"/>
              <w:rPr>
                <w:rFonts w:ascii="Calibri" w:hAnsi="Calibri"/>
                <w:color w:val="0000FF"/>
                <w:sz w:val="22"/>
                <w:szCs w:val="22"/>
                <w:u w:val="single"/>
              </w:rPr>
            </w:pPr>
            <w:hyperlink w:history="1" r:id="rId9">
              <w:r w:rsidR="00102284">
                <w:rPr>
                  <w:rStyle w:val="Hyperlink"/>
                  <w:rFonts w:ascii="Calibri" w:hAnsi="Calibri"/>
                  <w:sz w:val="22"/>
                  <w:szCs w:val="22"/>
                </w:rPr>
                <w:t>652</w:t>
              </w:r>
            </w:hyperlink>
          </w:p>
        </w:tc>
        <w:tc>
          <w:tcPr>
            <w:tcW w:w="1033" w:type="dxa"/>
            <w:tcBorders>
              <w:top w:val="single" w:color="auto" w:sz="4" w:space="0"/>
              <w:left w:val="single" w:color="auto" w:sz="4" w:space="0"/>
              <w:bottom w:val="single" w:color="auto" w:sz="4" w:space="0"/>
              <w:right w:val="single" w:color="auto" w:sz="4" w:space="0"/>
            </w:tcBorders>
            <w:shd w:val="clear" w:color="auto" w:fill="FFFFFF" w:themeFill="background1"/>
          </w:tcPr>
          <w:p w:rsidR="00102284" w:rsidP="00102284" w:rsidRDefault="00102284">
            <w:pPr>
              <w:jc w:val="center"/>
              <w:rPr>
                <w:rFonts w:ascii="Calibri" w:hAnsi="Calibri"/>
                <w:color w:val="000000"/>
                <w:sz w:val="22"/>
                <w:szCs w:val="22"/>
              </w:rPr>
            </w:pPr>
            <w:r>
              <w:rPr>
                <w:rFonts w:ascii="Calibri" w:hAnsi="Calibri"/>
                <w:color w:val="000000"/>
                <w:sz w:val="22"/>
                <w:szCs w:val="22"/>
              </w:rPr>
              <w:t>8-nov-17</w:t>
            </w:r>
          </w:p>
        </w:tc>
        <w:tc>
          <w:tcPr>
            <w:tcW w:w="4575" w:type="dxa"/>
            <w:tcBorders>
              <w:top w:val="single" w:color="auto" w:sz="4" w:space="0"/>
              <w:left w:val="single" w:color="auto" w:sz="4" w:space="0"/>
              <w:bottom w:val="single" w:color="auto" w:sz="4" w:space="0"/>
              <w:right w:val="single" w:color="auto" w:sz="4" w:space="0"/>
            </w:tcBorders>
            <w:shd w:val="clear" w:color="auto" w:fill="FFFFFF" w:themeFill="background1"/>
          </w:tcPr>
          <w:p w:rsidRPr="002800A3" w:rsidR="00102284" w:rsidP="00506FCC" w:rsidRDefault="002800A3">
            <w:pPr>
              <w:rPr>
                <w:rFonts w:asciiTheme="minorHAnsi" w:hAnsiTheme="minorHAnsi"/>
                <w:color w:val="000000"/>
                <w:sz w:val="22"/>
                <w:szCs w:val="22"/>
              </w:rPr>
            </w:pPr>
            <w:r>
              <w:rPr>
                <w:rFonts w:asciiTheme="minorHAnsi" w:hAnsiTheme="minorHAnsi"/>
                <w:color w:val="000000"/>
                <w:sz w:val="22"/>
                <w:szCs w:val="22"/>
              </w:rPr>
              <w:t>Dit EU-voorstel maakt deel uit van het tweede EU-mobiliteitspakket. Zie de stafnotitie hierover op de agenda van de procedurevergadering voor een behandelvoorstel.</w:t>
            </w:r>
          </w:p>
        </w:tc>
      </w:tr>
      <w:tr w:rsidRPr="00931F2B" w:rsidR="00102284" w:rsidTr="0016781D">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00102284" w:rsidP="00102284" w:rsidRDefault="00102284">
            <w:pPr>
              <w:jc w:val="center"/>
              <w:rPr>
                <w:rFonts w:ascii="Calibri" w:hAnsi="Calibri"/>
                <w:color w:val="000000"/>
                <w:sz w:val="22"/>
                <w:szCs w:val="22"/>
              </w:rPr>
            </w:pPr>
            <w:r>
              <w:rPr>
                <w:rFonts w:ascii="Calibri" w:hAnsi="Calibri"/>
                <w:color w:val="000000"/>
                <w:sz w:val="22"/>
                <w:szCs w:val="22"/>
              </w:rPr>
              <w:t>8-nov-17</w:t>
            </w:r>
          </w:p>
        </w:tc>
        <w:tc>
          <w:tcPr>
            <w:tcW w:w="1203"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00102284" w:rsidP="0016781D" w:rsidRDefault="00102284">
            <w:pPr>
              <w:jc w:val="center"/>
              <w:rPr>
                <w:rFonts w:ascii="Calibri" w:hAnsi="Calibri"/>
                <w:color w:val="000000"/>
                <w:sz w:val="22"/>
                <w:szCs w:val="22"/>
              </w:rPr>
            </w:pPr>
            <w:r>
              <w:rPr>
                <w:rFonts w:ascii="Calibri" w:hAnsi="Calibri"/>
                <w:color w:val="000000"/>
                <w:sz w:val="22"/>
                <w:szCs w:val="22"/>
              </w:rPr>
              <w:t>I&amp;</w:t>
            </w:r>
            <w:r w:rsidR="0016781D">
              <w:rPr>
                <w:rFonts w:ascii="Calibri" w:hAnsi="Calibri"/>
                <w:color w:val="000000"/>
                <w:sz w:val="22"/>
                <w:szCs w:val="22"/>
              </w:rPr>
              <w:t>W</w:t>
            </w:r>
          </w:p>
        </w:tc>
        <w:tc>
          <w:tcPr>
            <w:tcW w:w="1254"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00102284" w:rsidP="00102284" w:rsidRDefault="00102284">
            <w:pPr>
              <w:jc w:val="center"/>
              <w:rPr>
                <w:rFonts w:ascii="Calibri" w:hAnsi="Calibri"/>
                <w:color w:val="000000"/>
                <w:sz w:val="22"/>
                <w:szCs w:val="22"/>
              </w:rPr>
            </w:pPr>
            <w:r>
              <w:rPr>
                <w:rFonts w:ascii="Calibri" w:hAnsi="Calibri"/>
                <w:color w:val="000000"/>
                <w:sz w:val="22"/>
                <w:szCs w:val="22"/>
              </w:rPr>
              <w:t>richtlijn</w:t>
            </w:r>
          </w:p>
        </w:tc>
        <w:tc>
          <w:tcPr>
            <w:tcW w:w="4890" w:type="dxa"/>
            <w:tcBorders>
              <w:top w:val="single" w:color="auto" w:sz="4" w:space="0"/>
              <w:left w:val="single" w:color="auto" w:sz="4" w:space="0"/>
              <w:bottom w:val="single" w:color="auto" w:sz="4" w:space="0"/>
              <w:right w:val="single" w:color="auto" w:sz="4" w:space="0"/>
            </w:tcBorders>
            <w:shd w:val="clear" w:color="auto" w:fill="D99594" w:themeFill="accent2" w:themeFillTint="99"/>
          </w:tcPr>
          <w:p w:rsidRPr="00102284" w:rsidR="00102284" w:rsidRDefault="00102284">
            <w:pPr>
              <w:rPr>
                <w:rFonts w:ascii="Calibri" w:hAnsi="Calibri"/>
                <w:color w:val="000000"/>
                <w:sz w:val="22"/>
                <w:szCs w:val="22"/>
                <w:lang w:val="en-GB"/>
              </w:rPr>
            </w:pPr>
            <w:r w:rsidRPr="002800A3">
              <w:rPr>
                <w:rFonts w:ascii="Calibri" w:hAnsi="Calibri"/>
                <w:color w:val="000000"/>
                <w:sz w:val="22"/>
                <w:szCs w:val="22"/>
              </w:rPr>
              <w:t xml:space="preserve">Proposal for a DIRECTIVE OF THE EUROPEAN PARLIAMENT </w:t>
            </w:r>
            <w:r w:rsidRPr="00102284">
              <w:rPr>
                <w:rFonts w:ascii="Calibri" w:hAnsi="Calibri"/>
                <w:color w:val="000000"/>
                <w:sz w:val="22"/>
                <w:szCs w:val="22"/>
                <w:lang w:val="en-GB"/>
              </w:rPr>
              <w:t xml:space="preserve">AND OF THE COUNCIL amending Directive 92/106/EEC on the establishment of common rules for certain types of combined transport of goods between Member States </w:t>
            </w:r>
          </w:p>
        </w:tc>
        <w:tc>
          <w:tcPr>
            <w:tcW w:w="720"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00102284" w:rsidRDefault="00AF22E4">
            <w:pPr>
              <w:jc w:val="center"/>
              <w:rPr>
                <w:rFonts w:ascii="Calibri" w:hAnsi="Calibri"/>
                <w:color w:val="0000FF"/>
                <w:sz w:val="22"/>
                <w:szCs w:val="22"/>
                <w:u w:val="single"/>
              </w:rPr>
            </w:pPr>
            <w:hyperlink w:history="1" r:id="rId10">
              <w:r w:rsidR="00102284">
                <w:rPr>
                  <w:rStyle w:val="Hyperlink"/>
                  <w:rFonts w:ascii="Calibri" w:hAnsi="Calibri"/>
                  <w:sz w:val="22"/>
                  <w:szCs w:val="22"/>
                </w:rPr>
                <w:t>648</w:t>
              </w:r>
            </w:hyperlink>
          </w:p>
        </w:tc>
        <w:tc>
          <w:tcPr>
            <w:tcW w:w="1033" w:type="dxa"/>
            <w:tcBorders>
              <w:top w:val="single" w:color="auto" w:sz="4" w:space="0"/>
              <w:left w:val="single" w:color="auto" w:sz="4" w:space="0"/>
              <w:bottom w:val="single" w:color="auto" w:sz="4" w:space="0"/>
              <w:right w:val="single" w:color="auto" w:sz="4" w:space="0"/>
            </w:tcBorders>
            <w:shd w:val="clear" w:color="auto" w:fill="D99594" w:themeFill="accent2" w:themeFillTint="99"/>
          </w:tcPr>
          <w:p w:rsidR="00102284" w:rsidP="00102284" w:rsidRDefault="00102284">
            <w:pPr>
              <w:jc w:val="center"/>
              <w:rPr>
                <w:rFonts w:ascii="Calibri" w:hAnsi="Calibri"/>
                <w:color w:val="000000"/>
                <w:sz w:val="22"/>
                <w:szCs w:val="22"/>
              </w:rPr>
            </w:pPr>
            <w:r>
              <w:rPr>
                <w:rFonts w:ascii="Calibri" w:hAnsi="Calibri"/>
                <w:color w:val="000000"/>
                <w:sz w:val="22"/>
                <w:szCs w:val="22"/>
              </w:rPr>
              <w:t>8-nov-17</w:t>
            </w:r>
          </w:p>
        </w:tc>
        <w:tc>
          <w:tcPr>
            <w:tcW w:w="4575" w:type="dxa"/>
            <w:tcBorders>
              <w:top w:val="single" w:color="auto" w:sz="4" w:space="0"/>
              <w:left w:val="single" w:color="auto" w:sz="4" w:space="0"/>
              <w:bottom w:val="single" w:color="auto" w:sz="4" w:space="0"/>
              <w:right w:val="single" w:color="auto" w:sz="4" w:space="0"/>
            </w:tcBorders>
            <w:shd w:val="clear" w:color="auto" w:fill="D99594" w:themeFill="accent2" w:themeFillTint="99"/>
          </w:tcPr>
          <w:p w:rsidRPr="00AD4E0E" w:rsidR="00102284" w:rsidP="00506FCC" w:rsidRDefault="002800A3">
            <w:pPr>
              <w:rPr>
                <w:rFonts w:asciiTheme="minorHAnsi" w:hAnsiTheme="minorHAnsi"/>
                <w:color w:val="000000"/>
                <w:sz w:val="22"/>
                <w:szCs w:val="22"/>
                <w:u w:val="single"/>
              </w:rPr>
            </w:pPr>
            <w:r>
              <w:rPr>
                <w:rFonts w:asciiTheme="minorHAnsi" w:hAnsiTheme="minorHAnsi"/>
                <w:color w:val="000000"/>
                <w:sz w:val="22"/>
                <w:szCs w:val="22"/>
              </w:rPr>
              <w:t>Dit EU-voorstel maakt deel uit van het tweede EU-mobiliteitspakket. Zie de stafnotitie hierover op de agenda van de procedurevergadering voor een behandelvoorstel.</w:t>
            </w:r>
          </w:p>
        </w:tc>
      </w:tr>
      <w:tr w:rsidRPr="00931F2B" w:rsidR="00102284" w:rsidTr="0016781D">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00102284" w:rsidP="00102284" w:rsidRDefault="00102284">
            <w:pPr>
              <w:jc w:val="center"/>
              <w:rPr>
                <w:rFonts w:ascii="Calibri" w:hAnsi="Calibri"/>
                <w:color w:val="000000"/>
                <w:sz w:val="22"/>
                <w:szCs w:val="22"/>
              </w:rPr>
            </w:pPr>
            <w:r>
              <w:rPr>
                <w:rFonts w:ascii="Calibri" w:hAnsi="Calibri"/>
                <w:color w:val="000000"/>
                <w:sz w:val="22"/>
                <w:szCs w:val="22"/>
              </w:rPr>
              <w:t>8-nov-17</w:t>
            </w:r>
          </w:p>
        </w:tc>
        <w:tc>
          <w:tcPr>
            <w:tcW w:w="1203"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00102284" w:rsidP="00102284" w:rsidRDefault="00102284">
            <w:pPr>
              <w:jc w:val="center"/>
              <w:rPr>
                <w:rFonts w:ascii="Calibri" w:hAnsi="Calibri"/>
                <w:color w:val="000000"/>
                <w:sz w:val="22"/>
                <w:szCs w:val="22"/>
              </w:rPr>
            </w:pPr>
            <w:r>
              <w:rPr>
                <w:rFonts w:ascii="Calibri" w:hAnsi="Calibri"/>
                <w:color w:val="000000"/>
                <w:sz w:val="22"/>
                <w:szCs w:val="22"/>
              </w:rPr>
              <w:t>I&amp;W</w:t>
            </w:r>
          </w:p>
        </w:tc>
        <w:tc>
          <w:tcPr>
            <w:tcW w:w="1254"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00102284" w:rsidP="00102284" w:rsidRDefault="00102284">
            <w:pPr>
              <w:jc w:val="center"/>
              <w:rPr>
                <w:rFonts w:ascii="Calibri" w:hAnsi="Calibri"/>
                <w:color w:val="000000"/>
                <w:sz w:val="22"/>
                <w:szCs w:val="22"/>
              </w:rPr>
            </w:pPr>
            <w:r>
              <w:rPr>
                <w:rFonts w:ascii="Calibri" w:hAnsi="Calibri"/>
                <w:color w:val="000000"/>
                <w:sz w:val="22"/>
                <w:szCs w:val="22"/>
              </w:rPr>
              <w:t>richtlijn</w:t>
            </w:r>
          </w:p>
        </w:tc>
        <w:tc>
          <w:tcPr>
            <w:tcW w:w="4890" w:type="dxa"/>
            <w:tcBorders>
              <w:top w:val="single" w:color="auto" w:sz="4" w:space="0"/>
              <w:left w:val="single" w:color="auto" w:sz="4" w:space="0"/>
              <w:bottom w:val="single" w:color="auto" w:sz="4" w:space="0"/>
              <w:right w:val="single" w:color="auto" w:sz="4" w:space="0"/>
            </w:tcBorders>
            <w:shd w:val="clear" w:color="auto" w:fill="D99594" w:themeFill="accent2" w:themeFillTint="99"/>
          </w:tcPr>
          <w:p w:rsidRPr="00102284" w:rsidR="00102284" w:rsidRDefault="00102284">
            <w:pPr>
              <w:rPr>
                <w:rFonts w:ascii="Calibri" w:hAnsi="Calibri"/>
                <w:color w:val="000000"/>
                <w:sz w:val="22"/>
                <w:szCs w:val="22"/>
                <w:lang w:val="en-GB"/>
              </w:rPr>
            </w:pPr>
            <w:r w:rsidRPr="00102284">
              <w:rPr>
                <w:rFonts w:ascii="Calibri" w:hAnsi="Calibri"/>
                <w:color w:val="000000"/>
                <w:sz w:val="22"/>
                <w:szCs w:val="22"/>
                <w:lang w:val="en-GB"/>
              </w:rPr>
              <w:t>Proposal for a Directive of the European Parliament and of the Council amending Directive 2009/33/EC on the promotion of clean and energy-efficient road transport vehicles</w:t>
            </w:r>
          </w:p>
        </w:tc>
        <w:tc>
          <w:tcPr>
            <w:tcW w:w="720"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00102284" w:rsidRDefault="00AF22E4">
            <w:pPr>
              <w:jc w:val="center"/>
              <w:rPr>
                <w:rFonts w:ascii="Calibri" w:hAnsi="Calibri"/>
                <w:color w:val="0000FF"/>
                <w:sz w:val="22"/>
                <w:szCs w:val="22"/>
                <w:u w:val="single"/>
              </w:rPr>
            </w:pPr>
            <w:hyperlink w:history="1" r:id="rId11">
              <w:r w:rsidR="00102284">
                <w:rPr>
                  <w:rStyle w:val="Hyperlink"/>
                  <w:rFonts w:ascii="Calibri" w:hAnsi="Calibri"/>
                  <w:sz w:val="22"/>
                  <w:szCs w:val="22"/>
                </w:rPr>
                <w:t>653</w:t>
              </w:r>
            </w:hyperlink>
          </w:p>
        </w:tc>
        <w:tc>
          <w:tcPr>
            <w:tcW w:w="1033" w:type="dxa"/>
            <w:tcBorders>
              <w:top w:val="single" w:color="auto" w:sz="4" w:space="0"/>
              <w:left w:val="single" w:color="auto" w:sz="4" w:space="0"/>
              <w:bottom w:val="single" w:color="auto" w:sz="4" w:space="0"/>
              <w:right w:val="single" w:color="auto" w:sz="4" w:space="0"/>
            </w:tcBorders>
            <w:shd w:val="clear" w:color="auto" w:fill="D99594" w:themeFill="accent2" w:themeFillTint="99"/>
          </w:tcPr>
          <w:p w:rsidR="00102284" w:rsidP="00102284" w:rsidRDefault="00102284">
            <w:pPr>
              <w:jc w:val="center"/>
              <w:rPr>
                <w:rFonts w:ascii="Calibri" w:hAnsi="Calibri"/>
                <w:color w:val="000000"/>
                <w:sz w:val="22"/>
                <w:szCs w:val="22"/>
              </w:rPr>
            </w:pPr>
            <w:r>
              <w:rPr>
                <w:rFonts w:ascii="Calibri" w:hAnsi="Calibri"/>
                <w:color w:val="000000"/>
                <w:sz w:val="22"/>
                <w:szCs w:val="22"/>
              </w:rPr>
              <w:t>8-nov-17</w:t>
            </w:r>
          </w:p>
        </w:tc>
        <w:tc>
          <w:tcPr>
            <w:tcW w:w="4575" w:type="dxa"/>
            <w:tcBorders>
              <w:top w:val="single" w:color="auto" w:sz="4" w:space="0"/>
              <w:left w:val="single" w:color="auto" w:sz="4" w:space="0"/>
              <w:bottom w:val="single" w:color="auto" w:sz="4" w:space="0"/>
              <w:right w:val="single" w:color="auto" w:sz="4" w:space="0"/>
            </w:tcBorders>
            <w:shd w:val="clear" w:color="auto" w:fill="D99594" w:themeFill="accent2" w:themeFillTint="99"/>
          </w:tcPr>
          <w:p w:rsidRPr="00AD4E0E" w:rsidR="00102284" w:rsidP="00506FCC" w:rsidRDefault="002800A3">
            <w:pPr>
              <w:rPr>
                <w:rFonts w:asciiTheme="minorHAnsi" w:hAnsiTheme="minorHAnsi"/>
                <w:color w:val="000000"/>
                <w:sz w:val="22"/>
                <w:szCs w:val="22"/>
                <w:u w:val="single"/>
              </w:rPr>
            </w:pPr>
            <w:r>
              <w:rPr>
                <w:rFonts w:asciiTheme="minorHAnsi" w:hAnsiTheme="minorHAnsi"/>
                <w:color w:val="000000"/>
                <w:sz w:val="22"/>
                <w:szCs w:val="22"/>
              </w:rPr>
              <w:t>Dit EU-voorstel maakt deel uit van het tweede EU-mobiliteitspakket. Zie de stafnotitie hierover op de agenda van de procedurevergadering voor een behandelvoorstel.</w:t>
            </w:r>
          </w:p>
        </w:tc>
      </w:tr>
      <w:tr w:rsidRPr="00931F2B" w:rsidR="00102284" w:rsidTr="00102284">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102284" w:rsidP="00102284" w:rsidRDefault="00102284">
            <w:pPr>
              <w:jc w:val="center"/>
              <w:rPr>
                <w:rFonts w:ascii="Calibri" w:hAnsi="Calibri"/>
                <w:color w:val="000000"/>
                <w:sz w:val="22"/>
                <w:szCs w:val="22"/>
              </w:rPr>
            </w:pPr>
            <w:r>
              <w:rPr>
                <w:rFonts w:ascii="Calibri" w:hAnsi="Calibri"/>
                <w:color w:val="000000"/>
                <w:sz w:val="22"/>
                <w:szCs w:val="22"/>
              </w:rPr>
              <w:lastRenderedPageBreak/>
              <w:t>8-nov-17</w:t>
            </w:r>
          </w:p>
        </w:tc>
        <w:tc>
          <w:tcPr>
            <w:tcW w:w="120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102284" w:rsidP="00102284" w:rsidRDefault="00102284">
            <w:pPr>
              <w:jc w:val="center"/>
              <w:rPr>
                <w:rFonts w:ascii="Calibri" w:hAnsi="Calibri"/>
                <w:color w:val="000000"/>
                <w:sz w:val="22"/>
                <w:szCs w:val="22"/>
              </w:rPr>
            </w:pPr>
            <w:r>
              <w:rPr>
                <w:rFonts w:ascii="Calibri" w:hAnsi="Calibri"/>
                <w:color w:val="000000"/>
                <w:sz w:val="22"/>
                <w:szCs w:val="22"/>
              </w:rPr>
              <w:t>I&amp;W</w:t>
            </w:r>
          </w:p>
        </w:tc>
        <w:tc>
          <w:tcPr>
            <w:tcW w:w="125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102284" w:rsidP="00102284" w:rsidRDefault="00102284">
            <w:pPr>
              <w:jc w:val="center"/>
              <w:rPr>
                <w:rFonts w:ascii="Calibri" w:hAnsi="Calibri"/>
                <w:color w:val="000000"/>
                <w:sz w:val="22"/>
                <w:szCs w:val="22"/>
              </w:rPr>
            </w:pPr>
            <w:r>
              <w:rPr>
                <w:rFonts w:ascii="Calibri" w:hAnsi="Calibri"/>
                <w:color w:val="000000"/>
                <w:sz w:val="22"/>
                <w:szCs w:val="22"/>
              </w:rPr>
              <w:t>mededeling</w:t>
            </w:r>
          </w:p>
        </w:tc>
        <w:tc>
          <w:tcPr>
            <w:tcW w:w="4890" w:type="dxa"/>
            <w:tcBorders>
              <w:top w:val="single" w:color="auto" w:sz="4" w:space="0"/>
              <w:left w:val="single" w:color="auto" w:sz="4" w:space="0"/>
              <w:bottom w:val="single" w:color="auto" w:sz="4" w:space="0"/>
              <w:right w:val="single" w:color="auto" w:sz="4" w:space="0"/>
            </w:tcBorders>
            <w:shd w:val="clear" w:color="auto" w:fill="FFFFFF" w:themeFill="background1"/>
          </w:tcPr>
          <w:p w:rsidRPr="00102284" w:rsidR="00102284" w:rsidRDefault="00102284">
            <w:pPr>
              <w:rPr>
                <w:rFonts w:ascii="Calibri" w:hAnsi="Calibri"/>
                <w:color w:val="000000"/>
                <w:sz w:val="22"/>
                <w:szCs w:val="22"/>
                <w:lang w:val="en-GB"/>
              </w:rPr>
            </w:pPr>
            <w:r w:rsidRPr="00102284">
              <w:rPr>
                <w:rFonts w:ascii="Calibri" w:hAnsi="Calibri"/>
                <w:color w:val="000000"/>
                <w:sz w:val="22"/>
                <w:szCs w:val="22"/>
                <w:lang w:val="en-GB"/>
              </w:rPr>
              <w:t xml:space="preserve">Delivering on low-emission mobility A European Union that protects the planet, empowers its consumers and defends its industry and workers </w:t>
            </w:r>
          </w:p>
        </w:tc>
        <w:tc>
          <w:tcPr>
            <w:tcW w:w="72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102284" w:rsidRDefault="00AF22E4">
            <w:pPr>
              <w:jc w:val="center"/>
              <w:rPr>
                <w:rFonts w:ascii="Calibri" w:hAnsi="Calibri"/>
                <w:color w:val="0000FF"/>
                <w:sz w:val="22"/>
                <w:szCs w:val="22"/>
                <w:u w:val="single"/>
              </w:rPr>
            </w:pPr>
            <w:hyperlink w:history="1" r:id="rId12">
              <w:r w:rsidR="00102284">
                <w:rPr>
                  <w:rStyle w:val="Hyperlink"/>
                  <w:rFonts w:ascii="Calibri" w:hAnsi="Calibri"/>
                  <w:sz w:val="22"/>
                  <w:szCs w:val="22"/>
                </w:rPr>
                <w:t>675</w:t>
              </w:r>
            </w:hyperlink>
          </w:p>
        </w:tc>
        <w:tc>
          <w:tcPr>
            <w:tcW w:w="1033" w:type="dxa"/>
            <w:tcBorders>
              <w:top w:val="single" w:color="auto" w:sz="4" w:space="0"/>
              <w:left w:val="single" w:color="auto" w:sz="4" w:space="0"/>
              <w:bottom w:val="single" w:color="auto" w:sz="4" w:space="0"/>
              <w:right w:val="single" w:color="auto" w:sz="4" w:space="0"/>
            </w:tcBorders>
            <w:shd w:val="clear" w:color="auto" w:fill="FFFFFF" w:themeFill="background1"/>
          </w:tcPr>
          <w:p w:rsidR="00102284" w:rsidP="00102284" w:rsidRDefault="00102284">
            <w:pPr>
              <w:jc w:val="center"/>
              <w:rPr>
                <w:rFonts w:ascii="Calibri" w:hAnsi="Calibri"/>
                <w:color w:val="000000"/>
                <w:sz w:val="22"/>
                <w:szCs w:val="22"/>
              </w:rPr>
            </w:pPr>
            <w:r>
              <w:rPr>
                <w:rFonts w:ascii="Calibri" w:hAnsi="Calibri"/>
                <w:color w:val="000000"/>
                <w:sz w:val="22"/>
                <w:szCs w:val="22"/>
              </w:rPr>
              <w:t>8-nov-17</w:t>
            </w:r>
          </w:p>
        </w:tc>
        <w:tc>
          <w:tcPr>
            <w:tcW w:w="4575" w:type="dxa"/>
            <w:tcBorders>
              <w:top w:val="single" w:color="auto" w:sz="4" w:space="0"/>
              <w:left w:val="single" w:color="auto" w:sz="4" w:space="0"/>
              <w:bottom w:val="single" w:color="auto" w:sz="4" w:space="0"/>
              <w:right w:val="single" w:color="auto" w:sz="4" w:space="0"/>
            </w:tcBorders>
            <w:shd w:val="clear" w:color="auto" w:fill="FFFFFF" w:themeFill="background1"/>
          </w:tcPr>
          <w:p w:rsidRPr="00AD4E0E" w:rsidR="00102284" w:rsidP="00506FCC" w:rsidRDefault="002800A3">
            <w:pPr>
              <w:rPr>
                <w:rFonts w:asciiTheme="minorHAnsi" w:hAnsiTheme="minorHAnsi"/>
                <w:color w:val="000000"/>
                <w:sz w:val="22"/>
                <w:szCs w:val="22"/>
                <w:u w:val="single"/>
              </w:rPr>
            </w:pPr>
            <w:r>
              <w:rPr>
                <w:rFonts w:asciiTheme="minorHAnsi" w:hAnsiTheme="minorHAnsi"/>
                <w:color w:val="000000"/>
                <w:sz w:val="22"/>
                <w:szCs w:val="22"/>
              </w:rPr>
              <w:t>Dit EU-voorstel maakt deel uit van het tweede EU-mobiliteitspakket. Zie de stafnotitie hierover op de agenda van de procedurevergadering voor een behandelvoorstel.</w:t>
            </w:r>
          </w:p>
        </w:tc>
      </w:tr>
      <w:tr w:rsidRPr="00931F2B" w:rsidR="00102284" w:rsidTr="00102284">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102284" w:rsidP="00102284" w:rsidRDefault="00102284">
            <w:pPr>
              <w:jc w:val="center"/>
              <w:rPr>
                <w:rFonts w:ascii="Calibri" w:hAnsi="Calibri"/>
                <w:color w:val="000000"/>
                <w:sz w:val="22"/>
                <w:szCs w:val="22"/>
              </w:rPr>
            </w:pPr>
            <w:r>
              <w:rPr>
                <w:rFonts w:ascii="Calibri" w:hAnsi="Calibri"/>
                <w:color w:val="000000"/>
                <w:sz w:val="22"/>
                <w:szCs w:val="22"/>
              </w:rPr>
              <w:t>8-nov-17</w:t>
            </w:r>
          </w:p>
        </w:tc>
        <w:tc>
          <w:tcPr>
            <w:tcW w:w="120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102284" w:rsidP="00102284" w:rsidRDefault="00102284">
            <w:pPr>
              <w:jc w:val="center"/>
              <w:rPr>
                <w:rFonts w:ascii="Calibri" w:hAnsi="Calibri"/>
                <w:color w:val="000000"/>
                <w:sz w:val="22"/>
                <w:szCs w:val="22"/>
              </w:rPr>
            </w:pPr>
            <w:r>
              <w:rPr>
                <w:rFonts w:ascii="Calibri" w:hAnsi="Calibri"/>
                <w:color w:val="000000"/>
                <w:sz w:val="22"/>
                <w:szCs w:val="22"/>
              </w:rPr>
              <w:t>I&amp;W</w:t>
            </w:r>
          </w:p>
        </w:tc>
        <w:tc>
          <w:tcPr>
            <w:tcW w:w="125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102284" w:rsidP="00102284" w:rsidRDefault="00102284">
            <w:pPr>
              <w:jc w:val="center"/>
              <w:rPr>
                <w:rFonts w:ascii="Calibri" w:hAnsi="Calibri"/>
                <w:color w:val="000000"/>
                <w:sz w:val="22"/>
                <w:szCs w:val="22"/>
              </w:rPr>
            </w:pPr>
            <w:r>
              <w:rPr>
                <w:rFonts w:ascii="Calibri" w:hAnsi="Calibri"/>
                <w:color w:val="000000"/>
                <w:sz w:val="22"/>
                <w:szCs w:val="22"/>
              </w:rPr>
              <w:t>verordening</w:t>
            </w:r>
          </w:p>
        </w:tc>
        <w:tc>
          <w:tcPr>
            <w:tcW w:w="4890" w:type="dxa"/>
            <w:tcBorders>
              <w:top w:val="single" w:color="auto" w:sz="4" w:space="0"/>
              <w:left w:val="single" w:color="auto" w:sz="4" w:space="0"/>
              <w:bottom w:val="single" w:color="auto" w:sz="4" w:space="0"/>
              <w:right w:val="single" w:color="auto" w:sz="4" w:space="0"/>
            </w:tcBorders>
            <w:shd w:val="clear" w:color="auto" w:fill="FFFFFF" w:themeFill="background1"/>
          </w:tcPr>
          <w:p w:rsidRPr="00102284" w:rsidR="00102284" w:rsidRDefault="00102284">
            <w:pPr>
              <w:rPr>
                <w:rFonts w:ascii="Calibri" w:hAnsi="Calibri"/>
                <w:color w:val="000000"/>
                <w:sz w:val="22"/>
                <w:szCs w:val="22"/>
                <w:lang w:val="en-GB"/>
              </w:rPr>
            </w:pPr>
            <w:r w:rsidRPr="00102284">
              <w:rPr>
                <w:rFonts w:ascii="Calibri" w:hAnsi="Calibri"/>
                <w:color w:val="000000"/>
                <w:sz w:val="22"/>
                <w:szCs w:val="22"/>
                <w:lang w:val="en-GB"/>
              </w:rPr>
              <w:t xml:space="preserve">Proposal for a REGULATION OF THE EUROPEAN PARLIAMENT AND OF THE COUNCIL amending Regulation (EC) No 1073/2009 on common rules for access to the international market for coach and bus services </w:t>
            </w:r>
          </w:p>
        </w:tc>
        <w:tc>
          <w:tcPr>
            <w:tcW w:w="72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102284" w:rsidRDefault="00AF22E4">
            <w:pPr>
              <w:jc w:val="center"/>
              <w:rPr>
                <w:rFonts w:ascii="Calibri" w:hAnsi="Calibri"/>
                <w:color w:val="0000FF"/>
                <w:sz w:val="22"/>
                <w:szCs w:val="22"/>
                <w:u w:val="single"/>
              </w:rPr>
            </w:pPr>
            <w:hyperlink w:history="1" r:id="rId13">
              <w:r w:rsidR="00102284">
                <w:rPr>
                  <w:rStyle w:val="Hyperlink"/>
                  <w:rFonts w:ascii="Calibri" w:hAnsi="Calibri"/>
                  <w:sz w:val="22"/>
                  <w:szCs w:val="22"/>
                </w:rPr>
                <w:t>647</w:t>
              </w:r>
            </w:hyperlink>
          </w:p>
        </w:tc>
        <w:tc>
          <w:tcPr>
            <w:tcW w:w="1033" w:type="dxa"/>
            <w:tcBorders>
              <w:top w:val="single" w:color="auto" w:sz="4" w:space="0"/>
              <w:left w:val="single" w:color="auto" w:sz="4" w:space="0"/>
              <w:bottom w:val="single" w:color="auto" w:sz="4" w:space="0"/>
              <w:right w:val="single" w:color="auto" w:sz="4" w:space="0"/>
            </w:tcBorders>
            <w:shd w:val="clear" w:color="auto" w:fill="FFFFFF" w:themeFill="background1"/>
          </w:tcPr>
          <w:p w:rsidR="00102284" w:rsidP="00102284" w:rsidRDefault="00102284">
            <w:pPr>
              <w:jc w:val="center"/>
              <w:rPr>
                <w:rFonts w:ascii="Calibri" w:hAnsi="Calibri"/>
                <w:color w:val="000000"/>
                <w:sz w:val="22"/>
                <w:szCs w:val="22"/>
              </w:rPr>
            </w:pPr>
            <w:r>
              <w:rPr>
                <w:rFonts w:ascii="Calibri" w:hAnsi="Calibri"/>
                <w:color w:val="000000"/>
                <w:sz w:val="22"/>
                <w:szCs w:val="22"/>
              </w:rPr>
              <w:t>8-nov-17</w:t>
            </w:r>
          </w:p>
        </w:tc>
        <w:tc>
          <w:tcPr>
            <w:tcW w:w="4575" w:type="dxa"/>
            <w:tcBorders>
              <w:top w:val="single" w:color="auto" w:sz="4" w:space="0"/>
              <w:left w:val="single" w:color="auto" w:sz="4" w:space="0"/>
              <w:bottom w:val="single" w:color="auto" w:sz="4" w:space="0"/>
              <w:right w:val="single" w:color="auto" w:sz="4" w:space="0"/>
            </w:tcBorders>
            <w:shd w:val="clear" w:color="auto" w:fill="FFFFFF" w:themeFill="background1"/>
          </w:tcPr>
          <w:p w:rsidRPr="00AD4E0E" w:rsidR="00102284" w:rsidP="00506FCC" w:rsidRDefault="002800A3">
            <w:pPr>
              <w:rPr>
                <w:rFonts w:asciiTheme="minorHAnsi" w:hAnsiTheme="minorHAnsi"/>
                <w:color w:val="000000"/>
                <w:sz w:val="22"/>
                <w:szCs w:val="22"/>
                <w:u w:val="single"/>
              </w:rPr>
            </w:pPr>
            <w:r>
              <w:rPr>
                <w:rFonts w:asciiTheme="minorHAnsi" w:hAnsiTheme="minorHAnsi"/>
                <w:color w:val="000000"/>
                <w:sz w:val="22"/>
                <w:szCs w:val="22"/>
              </w:rPr>
              <w:t>Dit EU-voorstel maakt deel uit van het tweede EU-mobiliteitspakket. Zie de stafnotitie hierover op de agenda van de procedurevergadering voor een behandelvoorstel.</w:t>
            </w:r>
          </w:p>
        </w:tc>
      </w:tr>
      <w:tr w:rsidRPr="00931F2B" w:rsidR="00102284" w:rsidTr="0016781D">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00102284" w:rsidP="00102284" w:rsidRDefault="00102284">
            <w:pPr>
              <w:jc w:val="center"/>
              <w:rPr>
                <w:rFonts w:ascii="Calibri" w:hAnsi="Calibri"/>
                <w:color w:val="000000"/>
                <w:sz w:val="22"/>
                <w:szCs w:val="22"/>
              </w:rPr>
            </w:pPr>
            <w:r>
              <w:rPr>
                <w:rFonts w:ascii="Calibri" w:hAnsi="Calibri"/>
                <w:color w:val="000000"/>
                <w:sz w:val="22"/>
                <w:szCs w:val="22"/>
              </w:rPr>
              <w:t>8-nov-17</w:t>
            </w:r>
          </w:p>
        </w:tc>
        <w:tc>
          <w:tcPr>
            <w:tcW w:w="1203"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00102284" w:rsidP="00102284" w:rsidRDefault="00102284">
            <w:pPr>
              <w:jc w:val="center"/>
              <w:rPr>
                <w:rFonts w:ascii="Calibri" w:hAnsi="Calibri"/>
                <w:color w:val="000000"/>
                <w:sz w:val="22"/>
                <w:szCs w:val="22"/>
              </w:rPr>
            </w:pPr>
            <w:r>
              <w:rPr>
                <w:rFonts w:ascii="Calibri" w:hAnsi="Calibri"/>
                <w:color w:val="000000"/>
                <w:sz w:val="22"/>
                <w:szCs w:val="22"/>
              </w:rPr>
              <w:t>I&amp;W</w:t>
            </w:r>
          </w:p>
        </w:tc>
        <w:tc>
          <w:tcPr>
            <w:tcW w:w="1254"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00102284" w:rsidP="00102284" w:rsidRDefault="00102284">
            <w:pPr>
              <w:jc w:val="center"/>
              <w:rPr>
                <w:rFonts w:ascii="Calibri" w:hAnsi="Calibri"/>
                <w:color w:val="000000"/>
                <w:sz w:val="22"/>
                <w:szCs w:val="22"/>
              </w:rPr>
            </w:pPr>
            <w:r>
              <w:rPr>
                <w:rFonts w:ascii="Calibri" w:hAnsi="Calibri"/>
                <w:color w:val="000000"/>
                <w:sz w:val="22"/>
                <w:szCs w:val="22"/>
              </w:rPr>
              <w:t>verordening</w:t>
            </w:r>
          </w:p>
        </w:tc>
        <w:tc>
          <w:tcPr>
            <w:tcW w:w="4890" w:type="dxa"/>
            <w:tcBorders>
              <w:top w:val="single" w:color="auto" w:sz="4" w:space="0"/>
              <w:left w:val="single" w:color="auto" w:sz="4" w:space="0"/>
              <w:bottom w:val="single" w:color="auto" w:sz="4" w:space="0"/>
              <w:right w:val="single" w:color="auto" w:sz="4" w:space="0"/>
            </w:tcBorders>
            <w:shd w:val="clear" w:color="auto" w:fill="D99594" w:themeFill="accent2" w:themeFillTint="99"/>
          </w:tcPr>
          <w:p w:rsidRPr="00102284" w:rsidR="00102284" w:rsidRDefault="00102284">
            <w:pPr>
              <w:rPr>
                <w:rFonts w:ascii="Calibri" w:hAnsi="Calibri"/>
                <w:color w:val="000000"/>
                <w:sz w:val="22"/>
                <w:szCs w:val="22"/>
                <w:lang w:val="en-GB"/>
              </w:rPr>
            </w:pPr>
            <w:r w:rsidRPr="00102284">
              <w:rPr>
                <w:rFonts w:ascii="Calibri" w:hAnsi="Calibri"/>
                <w:color w:val="000000"/>
                <w:sz w:val="22"/>
                <w:szCs w:val="22"/>
                <w:lang w:val="en-GB"/>
              </w:rPr>
              <w:t>proposal for a Regulation of the European Parliament and of the Council setting emission performance standards for new passenger cars and new light commercial vehicles as part of the Union's integrated approach to reduce CO2 emissions from light-duty vehicles  and amending Regulation (EC) No 715/2007 (recast)</w:t>
            </w:r>
          </w:p>
        </w:tc>
        <w:tc>
          <w:tcPr>
            <w:tcW w:w="720"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00102284" w:rsidRDefault="00AF22E4">
            <w:pPr>
              <w:jc w:val="center"/>
              <w:rPr>
                <w:rFonts w:ascii="Calibri" w:hAnsi="Calibri"/>
                <w:color w:val="0000FF"/>
                <w:sz w:val="22"/>
                <w:szCs w:val="22"/>
                <w:u w:val="single"/>
              </w:rPr>
            </w:pPr>
            <w:hyperlink w:history="1" r:id="rId14">
              <w:r w:rsidR="00102284">
                <w:rPr>
                  <w:rStyle w:val="Hyperlink"/>
                  <w:rFonts w:ascii="Calibri" w:hAnsi="Calibri"/>
                  <w:sz w:val="22"/>
                  <w:szCs w:val="22"/>
                </w:rPr>
                <w:t>676</w:t>
              </w:r>
            </w:hyperlink>
          </w:p>
        </w:tc>
        <w:tc>
          <w:tcPr>
            <w:tcW w:w="1033" w:type="dxa"/>
            <w:tcBorders>
              <w:top w:val="single" w:color="auto" w:sz="4" w:space="0"/>
              <w:left w:val="single" w:color="auto" w:sz="4" w:space="0"/>
              <w:bottom w:val="single" w:color="auto" w:sz="4" w:space="0"/>
              <w:right w:val="single" w:color="auto" w:sz="4" w:space="0"/>
            </w:tcBorders>
            <w:shd w:val="clear" w:color="auto" w:fill="D99594" w:themeFill="accent2" w:themeFillTint="99"/>
          </w:tcPr>
          <w:p w:rsidR="00102284" w:rsidP="00102284" w:rsidRDefault="00102284">
            <w:pPr>
              <w:jc w:val="center"/>
              <w:rPr>
                <w:rFonts w:ascii="Calibri" w:hAnsi="Calibri"/>
                <w:color w:val="000000"/>
                <w:sz w:val="22"/>
                <w:szCs w:val="22"/>
              </w:rPr>
            </w:pPr>
            <w:r>
              <w:rPr>
                <w:rFonts w:ascii="Calibri" w:hAnsi="Calibri"/>
                <w:color w:val="000000"/>
                <w:sz w:val="22"/>
                <w:szCs w:val="22"/>
              </w:rPr>
              <w:t>8-nov-17</w:t>
            </w:r>
          </w:p>
        </w:tc>
        <w:tc>
          <w:tcPr>
            <w:tcW w:w="4575" w:type="dxa"/>
            <w:tcBorders>
              <w:top w:val="single" w:color="auto" w:sz="4" w:space="0"/>
              <w:left w:val="single" w:color="auto" w:sz="4" w:space="0"/>
              <w:bottom w:val="single" w:color="auto" w:sz="4" w:space="0"/>
              <w:right w:val="single" w:color="auto" w:sz="4" w:space="0"/>
            </w:tcBorders>
            <w:shd w:val="clear" w:color="auto" w:fill="D99594" w:themeFill="accent2" w:themeFillTint="99"/>
          </w:tcPr>
          <w:p w:rsidRPr="00AD4E0E" w:rsidR="00102284" w:rsidP="00506FCC" w:rsidRDefault="002800A3">
            <w:pPr>
              <w:rPr>
                <w:rFonts w:asciiTheme="minorHAnsi" w:hAnsiTheme="minorHAnsi"/>
                <w:color w:val="000000"/>
                <w:sz w:val="22"/>
                <w:szCs w:val="22"/>
                <w:u w:val="single"/>
              </w:rPr>
            </w:pPr>
            <w:r>
              <w:rPr>
                <w:rFonts w:asciiTheme="minorHAnsi" w:hAnsiTheme="minorHAnsi"/>
                <w:color w:val="000000"/>
                <w:sz w:val="22"/>
                <w:szCs w:val="22"/>
              </w:rPr>
              <w:t>Dit EU-voorstel maakt deel uit van het tweede EU-mobiliteitspakket. Zie de stafnotitie hierover op de agenda van de procedurevergadering voor een behandelvoorstel.</w:t>
            </w:r>
          </w:p>
        </w:tc>
      </w:tr>
    </w:tbl>
    <w:p w:rsidR="002800A3" w:rsidP="00E34A2D" w:rsidRDefault="002800A3">
      <w:pPr>
        <w:pStyle w:val="Voetnoottekst"/>
        <w:rPr>
          <w:rFonts w:ascii="Verdana" w:hAnsi="Verdana"/>
          <w:b/>
        </w:rPr>
      </w:pPr>
    </w:p>
    <w:p w:rsidR="002800A3" w:rsidRDefault="002800A3">
      <w:pPr>
        <w:rPr>
          <w:rFonts w:ascii="Verdana" w:hAnsi="Verdana"/>
          <w:b/>
          <w:sz w:val="20"/>
          <w:szCs w:val="20"/>
        </w:rPr>
      </w:pPr>
      <w:r>
        <w:rPr>
          <w:rFonts w:ascii="Verdana" w:hAnsi="Verdana"/>
          <w:b/>
        </w:rPr>
        <w:br w:type="page"/>
      </w:r>
    </w:p>
    <w:p w:rsidRPr="00102284" w:rsidR="00E34A2D" w:rsidP="00D0746E" w:rsidRDefault="00E34A2D">
      <w:pPr>
        <w:rPr>
          <w:rFonts w:ascii="Verdana" w:hAnsi="Verdana"/>
          <w:b/>
          <w:sz w:val="20"/>
          <w:szCs w:val="20"/>
        </w:rPr>
      </w:pPr>
      <w:r>
        <w:rPr>
          <w:rFonts w:ascii="Verdana" w:hAnsi="Verdana"/>
          <w:b/>
        </w:rPr>
        <w:lastRenderedPageBreak/>
        <w:t>Bijlage: b</w:t>
      </w:r>
      <w:r w:rsidRPr="00A32873">
        <w:rPr>
          <w:rFonts w:ascii="Verdana" w:hAnsi="Verdana"/>
          <w:b/>
        </w:rPr>
        <w:t>ehandelmogelijkheden EU-voorstellen</w:t>
      </w:r>
    </w:p>
    <w:p w:rsidRPr="00A32873" w:rsidR="00E34A2D" w:rsidP="00E34A2D" w:rsidRDefault="00E34A2D">
      <w:pPr>
        <w:pStyle w:val="Voetnoottekst"/>
        <w:rPr>
          <w:rFonts w:ascii="Verdana" w:hAnsi="Verdana"/>
          <w:sz w:val="18"/>
          <w:szCs w:val="18"/>
        </w:rPr>
      </w:pPr>
    </w:p>
    <w:p w:rsidRPr="00A32873" w:rsidR="00E34A2D" w:rsidP="00E34A2D" w:rsidRDefault="00E34A2D">
      <w:pPr>
        <w:rPr>
          <w:rFonts w:ascii="Verdana" w:hAnsi="Verdana"/>
          <w:sz w:val="18"/>
          <w:szCs w:val="18"/>
        </w:rPr>
      </w:pPr>
      <w:r w:rsidRPr="00A32873">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32873" w:rsidR="00E34A2D" w:rsidP="00E34A2D" w:rsidRDefault="00E34A2D">
      <w:pPr>
        <w:rPr>
          <w:rFonts w:ascii="Verdana" w:hAnsi="Verdana"/>
          <w:sz w:val="18"/>
          <w:szCs w:val="18"/>
        </w:rPr>
      </w:pPr>
      <w:r w:rsidRPr="00A32873">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32873" w:rsidR="00E34A2D" w:rsidP="00E34A2D" w:rsidRDefault="00E34A2D">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2F662A" w:rsidR="00E34A2D" w:rsidTr="0034235C">
        <w:tc>
          <w:tcPr>
            <w:tcW w:w="2093" w:type="dxa"/>
          </w:tcPr>
          <w:p w:rsidRPr="002F662A" w:rsidR="00E34A2D" w:rsidP="0034235C" w:rsidRDefault="00E34A2D">
            <w:pPr>
              <w:pStyle w:val="Voetnoottekst"/>
              <w:rPr>
                <w:rFonts w:ascii="Verdana" w:hAnsi="Verdana"/>
                <w:b/>
                <w:sz w:val="18"/>
                <w:szCs w:val="18"/>
              </w:rPr>
            </w:pPr>
            <w:r w:rsidRPr="002F662A">
              <w:rPr>
                <w:rFonts w:ascii="Verdana" w:hAnsi="Verdana"/>
                <w:b/>
                <w:sz w:val="18"/>
                <w:szCs w:val="18"/>
              </w:rPr>
              <w:t xml:space="preserve">Soort </w:t>
            </w:r>
            <w:r>
              <w:rPr>
                <w:rFonts w:ascii="Verdana" w:hAnsi="Verdana"/>
                <w:b/>
                <w:sz w:val="18"/>
                <w:szCs w:val="18"/>
              </w:rPr>
              <w:t>I</w:t>
            </w:r>
            <w:r w:rsidRPr="002F662A">
              <w:rPr>
                <w:rFonts w:ascii="Verdana" w:hAnsi="Verdana"/>
                <w:b/>
                <w:sz w:val="18"/>
                <w:szCs w:val="18"/>
              </w:rPr>
              <w:t>nstrument</w:t>
            </w:r>
          </w:p>
        </w:tc>
        <w:tc>
          <w:tcPr>
            <w:tcW w:w="6946" w:type="dxa"/>
          </w:tcPr>
          <w:p w:rsidRPr="002F662A" w:rsidR="00E34A2D" w:rsidP="0034235C" w:rsidRDefault="00E34A2D">
            <w:pPr>
              <w:pStyle w:val="Voetnoottekst"/>
              <w:rPr>
                <w:rFonts w:ascii="Verdana" w:hAnsi="Verdana"/>
                <w:b/>
                <w:sz w:val="18"/>
                <w:szCs w:val="18"/>
              </w:rPr>
            </w:pPr>
            <w:r w:rsidRPr="002F662A">
              <w:rPr>
                <w:rFonts w:ascii="Verdana" w:hAnsi="Verdana"/>
                <w:b/>
                <w:sz w:val="18"/>
                <w:szCs w:val="18"/>
              </w:rPr>
              <w:t>Toelichting</w:t>
            </w:r>
          </w:p>
        </w:tc>
        <w:tc>
          <w:tcPr>
            <w:tcW w:w="5103" w:type="dxa"/>
          </w:tcPr>
          <w:p w:rsidRPr="002F662A" w:rsidR="00E34A2D" w:rsidP="0034235C" w:rsidRDefault="00E34A2D">
            <w:pPr>
              <w:pStyle w:val="Voetnoottekst"/>
              <w:rPr>
                <w:rFonts w:ascii="Verdana" w:hAnsi="Verdana"/>
                <w:b/>
                <w:sz w:val="18"/>
                <w:szCs w:val="18"/>
              </w:rPr>
            </w:pPr>
            <w:r w:rsidRPr="002F662A">
              <w:rPr>
                <w:rFonts w:ascii="Verdana" w:hAnsi="Verdana"/>
                <w:b/>
                <w:sz w:val="18"/>
                <w:szCs w:val="18"/>
              </w:rPr>
              <w:t xml:space="preserve">Mogelijke beïnvloedingsmomenten </w:t>
            </w:r>
          </w:p>
        </w:tc>
      </w:tr>
      <w:tr w:rsidRPr="002F662A" w:rsidR="00E34A2D" w:rsidTr="0034235C">
        <w:tc>
          <w:tcPr>
            <w:tcW w:w="14142" w:type="dxa"/>
            <w:gridSpan w:val="3"/>
          </w:tcPr>
          <w:p w:rsidR="00E34A2D" w:rsidP="0034235C" w:rsidRDefault="00E34A2D">
            <w:pPr>
              <w:pStyle w:val="Voetnoottekst"/>
              <w:rPr>
                <w:rFonts w:ascii="Verdana" w:hAnsi="Verdana"/>
                <w:i/>
                <w:sz w:val="18"/>
                <w:szCs w:val="18"/>
              </w:rPr>
            </w:pPr>
          </w:p>
          <w:p w:rsidRPr="002F662A" w:rsidR="00E34A2D" w:rsidP="0034235C" w:rsidRDefault="00E34A2D">
            <w:pPr>
              <w:pStyle w:val="Voetnoottekst"/>
              <w:rPr>
                <w:rFonts w:ascii="Verdana" w:hAnsi="Verdana"/>
                <w:i/>
                <w:sz w:val="18"/>
                <w:szCs w:val="18"/>
              </w:rPr>
            </w:pPr>
            <w:r w:rsidRPr="002F662A">
              <w:rPr>
                <w:rFonts w:ascii="Verdana" w:hAnsi="Verdana"/>
                <w:i/>
                <w:sz w:val="18"/>
                <w:szCs w:val="18"/>
              </w:rPr>
              <w:t>Wetgevende, bindende rechtshandelingen</w:t>
            </w:r>
            <w:r>
              <w:rPr>
                <w:rStyle w:val="Voetnootmarkering"/>
                <w:rFonts w:ascii="Verdana" w:hAnsi="Verdana"/>
                <w:i/>
                <w:sz w:val="18"/>
                <w:szCs w:val="18"/>
              </w:rPr>
              <w:footnoteReference w:id="1"/>
            </w:r>
            <w:r>
              <w:rPr>
                <w:rFonts w:ascii="Verdana" w:hAnsi="Verdana"/>
                <w:i/>
                <w:sz w:val="18"/>
                <w:szCs w:val="18"/>
              </w:rPr>
              <w:t xml:space="preserve"> </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Verordening</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w:t>
            </w:r>
            <w:r>
              <w:rPr>
                <w:rFonts w:ascii="Verdana" w:hAnsi="Verdana"/>
                <w:sz w:val="18"/>
                <w:szCs w:val="18"/>
              </w:rPr>
              <w:t xml:space="preserve"> </w:t>
            </w:r>
            <w:r w:rsidRPr="00A32873">
              <w:rPr>
                <w:rFonts w:ascii="Verdana" w:hAnsi="Verdana"/>
                <w:sz w:val="18"/>
                <w:szCs w:val="18"/>
              </w:rPr>
              <w:t>aanvullende wetgeving nodig om de verordening volledig te operationaliseren</w:t>
            </w:r>
            <w:r>
              <w:rPr>
                <w:rFonts w:ascii="Verdana" w:hAnsi="Verdana"/>
                <w:sz w:val="18"/>
                <w:szCs w:val="18"/>
              </w:rPr>
              <w:t xml:space="preserve"> (bijvoorbeeld bij het aanwijzen van een nationale toezichthouder)</w:t>
            </w:r>
            <w:r w:rsidRPr="00A32873">
              <w:rPr>
                <w:rFonts w:ascii="Verdana" w:hAnsi="Verdana"/>
                <w:sz w:val="18"/>
                <w:szCs w:val="18"/>
              </w:rPr>
              <w:t xml:space="preserve">. Een door de EU wetgever (Raad en/of Europees Parlement) aangenomen verordening komt niet terug in de Kamer voor behandeling. </w:t>
            </w:r>
          </w:p>
        </w:tc>
        <w:tc>
          <w:tcPr>
            <w:tcW w:w="5103" w:type="dxa"/>
            <w:vMerge w:val="restart"/>
          </w:tcPr>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ambtenaren of Commissaris</w:t>
            </w:r>
            <w:r>
              <w:rPr>
                <w:rFonts w:ascii="Verdana" w:hAnsi="Verdana"/>
                <w:sz w:val="18"/>
                <w:szCs w:val="18"/>
              </w:rPr>
              <w:t xml:space="preserve"> Europese Commissie</w:t>
            </w:r>
            <w:r w:rsidRPr="00A32873">
              <w:rPr>
                <w:rFonts w:ascii="Verdana" w:hAnsi="Verdana"/>
                <w:sz w:val="18"/>
                <w:szCs w:val="18"/>
              </w:rPr>
              <w:t xml:space="preserve"> (de ‘auteurs’) uitnodigen voor briefing/gesprek, evt. via videoconferentie</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subsidiariteitstoets overwegen: let op termijn (zie hieronder)</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behandelvoorbehoud overwegen: let op termijn (zie hieronder)</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ad-hoc rapporteur</w:t>
            </w:r>
            <w:r>
              <w:rPr>
                <w:rFonts w:ascii="Verdana" w:hAnsi="Verdana"/>
                <w:sz w:val="18"/>
                <w:szCs w:val="18"/>
              </w:rPr>
              <w:t>(s)</w:t>
            </w:r>
            <w:r w:rsidRPr="00A32873">
              <w:rPr>
                <w:rFonts w:ascii="Verdana" w:hAnsi="Verdana"/>
                <w:sz w:val="18"/>
                <w:szCs w:val="18"/>
              </w:rPr>
              <w:t xml:space="preserve"> binnen de commissie</w:t>
            </w:r>
            <w:r>
              <w:rPr>
                <w:rFonts w:ascii="Verdana" w:hAnsi="Verdana"/>
                <w:sz w:val="18"/>
                <w:szCs w:val="18"/>
              </w:rPr>
              <w:t>(s)</w:t>
            </w:r>
            <w:r w:rsidRPr="00A32873">
              <w:rPr>
                <w:rFonts w:ascii="Verdana" w:hAnsi="Verdana"/>
                <w:sz w:val="18"/>
                <w:szCs w:val="18"/>
              </w:rPr>
              <w:t xml:space="preserve"> benoemen</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tijdens overleg met </w:t>
            </w:r>
            <w:r>
              <w:rPr>
                <w:rFonts w:ascii="Verdana" w:hAnsi="Verdana"/>
                <w:sz w:val="18"/>
                <w:szCs w:val="18"/>
              </w:rPr>
              <w:t>kabinet</w:t>
            </w:r>
            <w:r w:rsidRPr="00A32873">
              <w:rPr>
                <w:rFonts w:ascii="Verdana" w:hAnsi="Verdana"/>
                <w:sz w:val="18"/>
                <w:szCs w:val="18"/>
              </w:rPr>
              <w:t xml:space="preserve"> NL onderhandelingsinzet aan de orde stellen, evt. aan de hand van het “BNC-fiche”.</w:t>
            </w:r>
            <w:r w:rsidRPr="00A32873">
              <w:rPr>
                <w:rStyle w:val="Voetnootmarkering"/>
                <w:rFonts w:ascii="Verdana" w:hAnsi="Verdana"/>
                <w:sz w:val="18"/>
                <w:szCs w:val="18"/>
              </w:rPr>
              <w:footnoteReference w:id="2"/>
            </w:r>
            <w:r w:rsidRPr="00A32873">
              <w:rPr>
                <w:rFonts w:ascii="Verdana" w:hAnsi="Verdana"/>
                <w:sz w:val="18"/>
                <w:szCs w:val="18"/>
              </w:rPr>
              <w:t xml:space="preserve"> </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EP-rapporteur uitnodigen, evt. via videoconferentie</w:t>
            </w:r>
            <w:r>
              <w:rPr>
                <w:rFonts w:ascii="Verdana" w:hAnsi="Verdana"/>
                <w:sz w:val="18"/>
                <w:szCs w:val="18"/>
              </w:rPr>
              <w:t>.</w:t>
            </w:r>
            <w:r w:rsidRPr="00A32873">
              <w:rPr>
                <w:rFonts w:ascii="Verdana" w:hAnsi="Verdana"/>
                <w:sz w:val="18"/>
                <w:szCs w:val="18"/>
              </w:rPr>
              <w:br/>
            </w:r>
            <w:r w:rsidRPr="00A32873">
              <w:rPr>
                <w:rFonts w:ascii="Verdana" w:hAnsi="Verdana"/>
                <w:sz w:val="18"/>
                <w:szCs w:val="18"/>
              </w:rPr>
              <w:br/>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NB</w:t>
            </w:r>
            <w:r>
              <w:rPr>
                <w:rFonts w:ascii="Verdana" w:hAnsi="Verdana"/>
                <w:sz w:val="18"/>
                <w:szCs w:val="18"/>
              </w:rPr>
              <w:t>:</w:t>
            </w:r>
            <w:r w:rsidRPr="00A32873">
              <w:rPr>
                <w:rFonts w:ascii="Verdana" w:hAnsi="Verdana"/>
                <w:sz w:val="18"/>
                <w:szCs w:val="18"/>
              </w:rPr>
              <w:t xml:space="preserve"> Pas na afronding van het onderhandelingstraject: nationale wetgevingstraject monitoren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naar nationale wetgeving)</w:t>
            </w:r>
            <w:r>
              <w:rPr>
                <w:rFonts w:ascii="Verdana" w:hAnsi="Verdana"/>
                <w:sz w:val="18"/>
                <w:szCs w:val="18"/>
              </w:rPr>
              <w:t>.</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Richtlijn </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32873" w:rsidR="00E34A2D" w:rsidP="0034235C" w:rsidRDefault="00E34A2D">
            <w:pPr>
              <w:pStyle w:val="Voetnoottekst"/>
              <w:numPr>
                <w:ilvl w:val="0"/>
                <w:numId w:val="2"/>
              </w:numPr>
              <w:ind w:left="317" w:hanging="283"/>
              <w:rPr>
                <w:rFonts w:ascii="Verdana" w:hAnsi="Verdana"/>
                <w:sz w:val="18"/>
                <w:szCs w:val="18"/>
              </w:rPr>
            </w:pP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(Besluit)</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Een besluit is verbindend in al </w:t>
            </w:r>
            <w:r>
              <w:rPr>
                <w:rFonts w:ascii="Verdana" w:hAnsi="Verdana"/>
                <w:sz w:val="18"/>
                <w:szCs w:val="18"/>
              </w:rPr>
              <w:t>zijn</w:t>
            </w:r>
            <w:r w:rsidRPr="00A32873">
              <w:rPr>
                <w:rFonts w:ascii="Verdana" w:hAnsi="Verdana"/>
                <w:sz w:val="18"/>
                <w:szCs w:val="18"/>
              </w:rPr>
              <w:t xml:space="preserve"> onderdelen. Indien de adressanten worden vermeld, is zij alleen voor hen verbindend. Met besluiten kunnen algemeen verbindende voorschriften worden toegepast op een concreet </w:t>
            </w:r>
            <w:r w:rsidRPr="00A32873">
              <w:rPr>
                <w:rFonts w:ascii="Verdana" w:hAnsi="Verdana"/>
                <w:sz w:val="18"/>
                <w:szCs w:val="18"/>
              </w:rPr>
              <w:lastRenderedPageBreak/>
              <w:t>geval. Daarnaast kunnen besluiten</w:t>
            </w:r>
            <w:r>
              <w:rPr>
                <w:rFonts w:ascii="Verdana" w:hAnsi="Verdana"/>
                <w:sz w:val="18"/>
                <w:szCs w:val="18"/>
              </w:rPr>
              <w:t xml:space="preserve"> </w:t>
            </w:r>
            <w:r w:rsidRPr="00A32873">
              <w:rPr>
                <w:rFonts w:ascii="Verdana" w:hAnsi="Verdana"/>
                <w:sz w:val="18"/>
                <w:szCs w:val="18"/>
              </w:rPr>
              <w:t xml:space="preserve">ook algemeen verbindende voorschriften bevatten. In dat laatste geval is sprake van een wetgevende handeling, in dat eerste geval niet. </w:t>
            </w:r>
            <w:r w:rsidRPr="00A32873">
              <w:rPr>
                <w:rFonts w:ascii="Verdana" w:hAnsi="Verdana"/>
                <w:sz w:val="18"/>
                <w:szCs w:val="18"/>
              </w:rPr>
              <w:br/>
              <w:t>Voor wetgevende besluiten kan gekozen worden als richtlijnen en verordeningen niet geschikt zijn als instrument. Niet-wetgevende besluiten kunnen gericht zijn tot individuele of alle lidstaten (bv</w:t>
            </w:r>
            <w:r>
              <w:rPr>
                <w:rFonts w:ascii="Verdana" w:hAnsi="Verdana"/>
                <w:sz w:val="18"/>
                <w:szCs w:val="18"/>
              </w:rPr>
              <w:t>.</w:t>
            </w:r>
            <w:r w:rsidRPr="00A32873">
              <w:rPr>
                <w:rFonts w:ascii="Verdana" w:hAnsi="Verdana"/>
                <w:sz w:val="18"/>
                <w:szCs w:val="18"/>
              </w:rPr>
              <w:t xml:space="preserve"> maatregelen tegen onrechtmatige staatssteun) of individuen (natuurlijke personen en rechtspersonen) (bv in mededingingszaken). Verder is</w:t>
            </w:r>
            <w:r>
              <w:rPr>
                <w:rFonts w:ascii="Verdana" w:hAnsi="Verdana"/>
                <w:sz w:val="18"/>
                <w:szCs w:val="18"/>
              </w:rPr>
              <w:t xml:space="preserve"> </w:t>
            </w:r>
            <w:r w:rsidRPr="00A32873">
              <w:rPr>
                <w:rFonts w:ascii="Verdana" w:hAnsi="Verdana"/>
                <w:sz w:val="18"/>
                <w:szCs w:val="18"/>
              </w:rPr>
              <w:t xml:space="preserve">er nog een aantal bijzondere besluiten, zoals direct op de Verdragen gebaseerde uitvoeringsbepalingen; besluiten van de Europese Raad (bv het meerjarenplan op JBZ-gebied); en besluiten op het terrein van het Gemeenschappelijk Buitenlands- en Veiligheidsbeleid </w:t>
            </w:r>
            <w:r>
              <w:rPr>
                <w:rFonts w:ascii="Verdana" w:hAnsi="Verdana"/>
                <w:sz w:val="18"/>
                <w:szCs w:val="18"/>
              </w:rPr>
              <w:t xml:space="preserve"> en</w:t>
            </w:r>
            <w:r w:rsidRPr="00A32873">
              <w:rPr>
                <w:rFonts w:ascii="Verdana" w:hAnsi="Verdana"/>
                <w:sz w:val="18"/>
                <w:szCs w:val="18"/>
              </w:rPr>
              <w:t xml:space="preserve"> besluiten tot het sluiten van internationale verdragen. Deze zijn in de regel niet wetgevend. Indien een besluit alleen door de Commissie wordt genomen,</w:t>
            </w:r>
            <w:r>
              <w:rPr>
                <w:rFonts w:ascii="Verdana" w:hAnsi="Verdana"/>
                <w:sz w:val="18"/>
                <w:szCs w:val="18"/>
              </w:rPr>
              <w:t xml:space="preserve"> </w:t>
            </w:r>
            <w:r w:rsidRPr="00A32873">
              <w:rPr>
                <w:rFonts w:ascii="Verdana" w:hAnsi="Verdana"/>
                <w:sz w:val="18"/>
                <w:szCs w:val="18"/>
              </w:rPr>
              <w:t xml:space="preserve">is het een niet-wetgevend besluit. Besluiten op voorstel van de </w:t>
            </w:r>
            <w:r>
              <w:rPr>
                <w:rFonts w:ascii="Verdana" w:hAnsi="Verdana"/>
                <w:sz w:val="18"/>
                <w:szCs w:val="18"/>
              </w:rPr>
              <w:t xml:space="preserve">Europese </w:t>
            </w:r>
            <w:r w:rsidRPr="00A32873">
              <w:rPr>
                <w:rFonts w:ascii="Verdana" w:hAnsi="Verdana"/>
                <w:sz w:val="18"/>
                <w:szCs w:val="18"/>
              </w:rPr>
              <w:t>Commissie, genomen door de Raad en het Parlement zullen in de regel wetgevend zijn. Dit zal van geval tot geval moeten worden beoordeeld.</w:t>
            </w:r>
            <w:r>
              <w:rPr>
                <w:rFonts w:ascii="Verdana" w:hAnsi="Verdana"/>
                <w:sz w:val="18"/>
                <w:szCs w:val="18"/>
              </w:rPr>
              <w:t xml:space="preserve"> </w:t>
            </w:r>
          </w:p>
        </w:tc>
        <w:tc>
          <w:tcPr>
            <w:tcW w:w="5103" w:type="dxa"/>
            <w:vMerge/>
          </w:tcPr>
          <w:p w:rsidRPr="00A32873" w:rsidR="00E34A2D" w:rsidP="0034235C" w:rsidRDefault="00E34A2D">
            <w:pPr>
              <w:pStyle w:val="Voetnoottekst"/>
              <w:numPr>
                <w:ilvl w:val="0"/>
                <w:numId w:val="2"/>
              </w:numPr>
              <w:ind w:left="317" w:hanging="283"/>
              <w:rPr>
                <w:rFonts w:ascii="Verdana" w:hAnsi="Verdana"/>
                <w:sz w:val="18"/>
                <w:szCs w:val="18"/>
              </w:rPr>
            </w:pP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lastRenderedPageBreak/>
              <w:t>Niet-wetgevende bindende rechtshandelingen</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Gedelegeerde handeling</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w:t>
            </w:r>
            <w:r>
              <w:rPr>
                <w:rFonts w:ascii="Verdana" w:hAnsi="Verdana"/>
                <w:sz w:val="18"/>
                <w:szCs w:val="18"/>
              </w:rPr>
              <w:t xml:space="preserve">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overleg bevragen over stand van zaken en appreciatie EU onderhandelingen en NL inzet</w:t>
            </w:r>
            <w:r>
              <w:rPr>
                <w:rFonts w:ascii="Verdana" w:hAnsi="Verdana"/>
                <w:sz w:val="18"/>
                <w:szCs w:val="18"/>
              </w:rPr>
              <w:t>, inclusief het voornemen van NL of andere lidstaten om binnen de Raad een bezwaarprocedure te initiëren of een procedure tot intrekking van de delegatie.</w:t>
            </w:r>
          </w:p>
          <w:p w:rsidRPr="00A32873" w:rsidR="00E34A2D" w:rsidP="0034235C" w:rsidRDefault="00E34A2D">
            <w:pPr>
              <w:pStyle w:val="Voetnoottekst"/>
              <w:ind w:left="360"/>
              <w:rPr>
                <w:rFonts w:ascii="Verdana" w:hAnsi="Verdana"/>
                <w:sz w:val="18"/>
                <w:szCs w:val="18"/>
              </w:rPr>
            </w:pP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Uitvoerings</w:t>
            </w:r>
            <w:r>
              <w:rPr>
                <w:rFonts w:ascii="Verdana" w:hAnsi="Verdana"/>
                <w:sz w:val="18"/>
                <w:szCs w:val="18"/>
              </w:rPr>
              <w:t>-</w:t>
            </w:r>
            <w:r w:rsidRPr="00A32873">
              <w:rPr>
                <w:rFonts w:ascii="Verdana" w:hAnsi="Verdana"/>
                <w:sz w:val="18"/>
                <w:szCs w:val="18"/>
              </w:rPr>
              <w:t>handeling</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Indien de implementatie van Unierecht volgens uniforme standaarden van procedurele aard moeten plaatsvinden, kan de </w:t>
            </w:r>
            <w:r>
              <w:rPr>
                <w:rFonts w:ascii="Verdana" w:hAnsi="Verdana"/>
                <w:sz w:val="18"/>
                <w:szCs w:val="18"/>
              </w:rPr>
              <w:t xml:space="preserve">Europese </w:t>
            </w:r>
            <w:r w:rsidRPr="00A32873">
              <w:rPr>
                <w:rFonts w:ascii="Verdana" w:hAnsi="Verdana"/>
                <w:sz w:val="18"/>
                <w:szCs w:val="18"/>
              </w:rPr>
              <w:t>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w:t>
            </w:r>
            <w:r>
              <w:rPr>
                <w:rFonts w:ascii="Verdana" w:hAnsi="Verdana"/>
                <w:sz w:val="18"/>
                <w:szCs w:val="18"/>
              </w:rPr>
              <w:t>, voorgezeten door</w:t>
            </w:r>
            <w:r w:rsidRPr="00A32873">
              <w:rPr>
                <w:rFonts w:ascii="Verdana" w:hAnsi="Verdana"/>
                <w:sz w:val="18"/>
                <w:szCs w:val="18"/>
              </w:rPr>
              <w:t xml:space="preserve"> de Europese Commissie.</w:t>
            </w:r>
            <w:r>
              <w:rPr>
                <w:rFonts w:ascii="Verdana" w:hAnsi="Verdana"/>
                <w:sz w:val="18"/>
                <w:szCs w:val="18"/>
              </w:rPr>
              <w:t xml:space="preserve"> De Commissie stelt de uitvoeringshandeling vast.</w:t>
            </w:r>
          </w:p>
        </w:tc>
        <w:tc>
          <w:tcPr>
            <w:tcW w:w="5103" w:type="dxa"/>
          </w:tcPr>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w:t>
            </w:r>
            <w:r>
              <w:rPr>
                <w:rFonts w:ascii="Verdana" w:hAnsi="Verdana"/>
                <w:sz w:val="18"/>
                <w:szCs w:val="18"/>
              </w:rPr>
              <w:t xml:space="preserve">algemeen </w:t>
            </w:r>
            <w:r w:rsidRPr="00A32873">
              <w:rPr>
                <w:rFonts w:ascii="Verdana" w:hAnsi="Verdana"/>
                <w:sz w:val="18"/>
                <w:szCs w:val="18"/>
              </w:rPr>
              <w:t>overleg</w:t>
            </w:r>
            <w:r>
              <w:rPr>
                <w:rFonts w:ascii="Verdana" w:hAnsi="Verdana"/>
                <w:sz w:val="18"/>
                <w:szCs w:val="18"/>
              </w:rPr>
              <w:t>/debat</w:t>
            </w:r>
            <w:r w:rsidRPr="00A32873">
              <w:rPr>
                <w:rFonts w:ascii="Verdana" w:hAnsi="Verdana"/>
                <w:sz w:val="18"/>
                <w:szCs w:val="18"/>
              </w:rPr>
              <w:t xml:space="preserve"> bevragen over stand van zaken en appreciatie EU onderhandelingen en NL inzet.</w:t>
            </w:r>
          </w:p>
          <w:p w:rsidRPr="00A32873" w:rsidR="00E34A2D" w:rsidP="0034235C" w:rsidRDefault="00E34A2D">
            <w:pPr>
              <w:numPr>
                <w:ilvl w:val="0"/>
                <w:numId w:val="1"/>
              </w:numPr>
              <w:rPr>
                <w:rFonts w:ascii="Verdana" w:hAnsi="Verdana"/>
                <w:sz w:val="18"/>
                <w:szCs w:val="18"/>
              </w:rPr>
            </w:pPr>
            <w:r>
              <w:rPr>
                <w:rFonts w:ascii="Verdana" w:hAnsi="Verdana"/>
                <w:color w:val="000000"/>
                <w:sz w:val="18"/>
                <w:szCs w:val="18"/>
              </w:rPr>
              <w:t>o</w:t>
            </w:r>
            <w:r w:rsidRPr="00A32873">
              <w:rPr>
                <w:rFonts w:ascii="Verdana" w:hAnsi="Verdana"/>
                <w:color w:val="000000"/>
                <w:sz w:val="18"/>
                <w:szCs w:val="18"/>
              </w:rPr>
              <w:t xml:space="preserve">p basis van </w:t>
            </w:r>
            <w:r w:rsidRPr="00614461">
              <w:rPr>
                <w:rFonts w:ascii="Verdana" w:hAnsi="Verdana"/>
                <w:sz w:val="18"/>
                <w:szCs w:val="18"/>
              </w:rPr>
              <w:t xml:space="preserve">de </w:t>
            </w:r>
            <w:hyperlink w:history="1" r:id="rId15">
              <w:r w:rsidRPr="00614461">
                <w:rPr>
                  <w:rFonts w:ascii="Verdana" w:hAnsi="Verdana"/>
                  <w:sz w:val="18"/>
                  <w:szCs w:val="18"/>
                  <w:u w:val="single"/>
                </w:rPr>
                <w:t>(gewijzigde) motie Van Gent</w:t>
              </w:r>
            </w:hyperlink>
            <w:r w:rsidRPr="00A32873">
              <w:rPr>
                <w:rFonts w:ascii="Verdana" w:hAnsi="Verdana"/>
                <w:color w:val="000000"/>
                <w:sz w:val="18"/>
                <w:szCs w:val="18"/>
              </w:rPr>
              <w:t xml:space="preserve"> dient het kabinet de Kamer afschriften te sturen van </w:t>
            </w:r>
            <w:r>
              <w:rPr>
                <w:rFonts w:ascii="Verdana" w:hAnsi="Verdana"/>
                <w:color w:val="000000"/>
                <w:sz w:val="18"/>
                <w:szCs w:val="18"/>
              </w:rPr>
              <w:t>zijn</w:t>
            </w:r>
            <w:r w:rsidRPr="00A32873">
              <w:rPr>
                <w:rFonts w:ascii="Verdana" w:hAnsi="Verdana"/>
                <w:color w:val="000000"/>
                <w:sz w:val="18"/>
                <w:szCs w:val="18"/>
              </w:rPr>
              <w:t xml:space="preserve"> correspondentie met de Europese Commissie over de uitvoering van Europese regelgeving</w:t>
            </w:r>
            <w:r>
              <w:rPr>
                <w:rFonts w:ascii="Verdana" w:hAnsi="Verdana"/>
                <w:color w:val="000000"/>
                <w:sz w:val="18"/>
                <w:szCs w:val="18"/>
              </w:rPr>
              <w:t>.</w:t>
            </w:r>
          </w:p>
        </w:tc>
      </w:tr>
      <w:tr w:rsidRPr="00A32873" w:rsidR="00E34A2D" w:rsidTr="0034235C">
        <w:tc>
          <w:tcPr>
            <w:tcW w:w="2093" w:type="dxa"/>
          </w:tcPr>
          <w:p w:rsidRPr="00EF0FC5" w:rsidR="00E34A2D" w:rsidP="0034235C" w:rsidRDefault="00E34A2D">
            <w:pPr>
              <w:pStyle w:val="Voetnoottekst"/>
              <w:rPr>
                <w:rFonts w:ascii="Verdana" w:hAnsi="Verdana"/>
                <w:sz w:val="18"/>
                <w:szCs w:val="18"/>
              </w:rPr>
            </w:pPr>
            <w:r w:rsidRPr="00EF0FC5">
              <w:rPr>
                <w:rFonts w:ascii="Verdana" w:hAnsi="Verdana"/>
                <w:sz w:val="18"/>
                <w:szCs w:val="18"/>
              </w:rPr>
              <w:t>Handelingen vastgesteld volgens de regelgevingsprocedu</w:t>
            </w:r>
            <w:r w:rsidRPr="00EF0FC5">
              <w:rPr>
                <w:rFonts w:ascii="Verdana" w:hAnsi="Verdana"/>
                <w:sz w:val="18"/>
                <w:szCs w:val="18"/>
              </w:rPr>
              <w:lastRenderedPageBreak/>
              <w:t>re met toetsing</w:t>
            </w:r>
          </w:p>
        </w:tc>
        <w:tc>
          <w:tcPr>
            <w:tcW w:w="6946" w:type="dxa"/>
          </w:tcPr>
          <w:p w:rsidRPr="00EF0FC5" w:rsidR="00E34A2D" w:rsidP="0034235C" w:rsidRDefault="00E34A2D">
            <w:pPr>
              <w:rPr>
                <w:rFonts w:ascii="Verdana" w:hAnsi="Verdana"/>
                <w:sz w:val="18"/>
                <w:szCs w:val="18"/>
              </w:rPr>
            </w:pPr>
            <w:r w:rsidRPr="0015137B">
              <w:rPr>
                <w:rFonts w:ascii="Verdana" w:hAnsi="Verdana"/>
                <w:sz w:val="18"/>
                <w:szCs w:val="18"/>
              </w:rPr>
              <w:lastRenderedPageBreak/>
              <w:t xml:space="preserve">Deze procedure komt nog voor in Europese wetgeving van voor 2009. Bij deze procedure wordt de Europese Commissie geadviseerd  door een zogeheten regelgevend comité met toetsing met  vertegenwoordigers van lidstaten. Dit comité spreekt zich met gekwalificeerde meerderheid van </w:t>
            </w:r>
            <w:r w:rsidRPr="0015137B">
              <w:rPr>
                <w:rFonts w:ascii="Verdana" w:hAnsi="Verdana"/>
                <w:sz w:val="18"/>
                <w:szCs w:val="18"/>
              </w:rPr>
              <w:lastRenderedPageBreak/>
              <w:t>stemmen uit over het voorstel. EP en Raad kunnen bezwaar maken.</w:t>
            </w:r>
          </w:p>
        </w:tc>
        <w:tc>
          <w:tcPr>
            <w:tcW w:w="5103" w:type="dxa"/>
          </w:tcPr>
          <w:p w:rsidRPr="00EF0FC5" w:rsidR="00E34A2D" w:rsidP="0034235C" w:rsidRDefault="00E34A2D">
            <w:pPr>
              <w:pStyle w:val="Voetnoottekst"/>
              <w:numPr>
                <w:ilvl w:val="0"/>
                <w:numId w:val="1"/>
              </w:numPr>
              <w:rPr>
                <w:rFonts w:ascii="Verdana" w:hAnsi="Verdana"/>
                <w:sz w:val="18"/>
                <w:szCs w:val="18"/>
              </w:rPr>
            </w:pPr>
            <w:r w:rsidRPr="00EF0FC5">
              <w:rPr>
                <w:rFonts w:ascii="Verdana" w:hAnsi="Verdana"/>
                <w:sz w:val="18"/>
                <w:szCs w:val="18"/>
              </w:rPr>
              <w:lastRenderedPageBreak/>
              <w:t xml:space="preserve">kabinet per brief of tijdens overleg bevragen over stand van zaken en appreciatie EU onderhandelingen en NL inzet, inclusief het voornemen van NL of andere lidstaten om binnen </w:t>
            </w:r>
            <w:r w:rsidRPr="00EF0FC5">
              <w:rPr>
                <w:rFonts w:ascii="Verdana" w:hAnsi="Verdana"/>
                <w:sz w:val="18"/>
                <w:szCs w:val="18"/>
              </w:rPr>
              <w:lastRenderedPageBreak/>
              <w:t>de Raad een bezwaarprocedure te initiëren.</w:t>
            </w:r>
          </w:p>
          <w:p w:rsidRPr="00EF0FC5" w:rsidR="00E34A2D" w:rsidP="0034235C" w:rsidRDefault="00E34A2D">
            <w:pPr>
              <w:pStyle w:val="Voetnoottekst"/>
              <w:numPr>
                <w:ilvl w:val="0"/>
                <w:numId w:val="1"/>
              </w:numPr>
              <w:rPr>
                <w:rFonts w:ascii="Verdana" w:hAnsi="Verdana"/>
                <w:sz w:val="18"/>
                <w:szCs w:val="18"/>
              </w:rPr>
            </w:pP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lastRenderedPageBreak/>
              <w:t>Bijzondere rechtshandelingen</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Er bestaan nog andere typen niet-wetgevende rechtshandelingen waarvan op voorhand niet te zeggen zijn of zij bindend zijn of niet. Bijvoorbeeld meerjarige kaderprogramma’s</w:t>
            </w:r>
            <w:r>
              <w:rPr>
                <w:rFonts w:ascii="Verdana" w:hAnsi="Verdana"/>
                <w:sz w:val="18"/>
                <w:szCs w:val="18"/>
              </w:rPr>
              <w:t xml:space="preserve"> </w:t>
            </w:r>
            <w:r w:rsidRPr="00A32873">
              <w:rPr>
                <w:rFonts w:ascii="Verdana" w:hAnsi="Verdana"/>
                <w:sz w:val="18"/>
                <w:szCs w:val="18"/>
              </w:rPr>
              <w:t>of actieprogramma’s. Deze programma’s worden vastgesteld volgens dezelfde wetgevingsprocedures als richtlijnen en verordeningen. Het is zaak goed in de teksten te bezien wat de voorgestelde rechtskracht is.</w:t>
            </w:r>
          </w:p>
          <w:p w:rsidRPr="00A32873" w:rsidR="00E34A2D" w:rsidP="0034235C" w:rsidRDefault="00E34A2D">
            <w:pPr>
              <w:pStyle w:val="Voetnoottekst"/>
              <w:rPr>
                <w:rFonts w:ascii="Verdana" w:hAnsi="Verdana"/>
                <w:sz w:val="18"/>
                <w:szCs w:val="18"/>
              </w:rPr>
            </w:pPr>
          </w:p>
        </w:tc>
        <w:tc>
          <w:tcPr>
            <w:tcW w:w="5103" w:type="dxa"/>
          </w:tcPr>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A32873">
              <w:rPr>
                <w:rFonts w:ascii="Verdana" w:hAnsi="Verdana"/>
                <w:sz w:val="18"/>
                <w:szCs w:val="18"/>
              </w:rPr>
              <w:t>abinetsappreciatie (‘BNC-fiche’) vragen, bespreken</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ambtenaren of Commissaris </w:t>
            </w:r>
            <w:r>
              <w:rPr>
                <w:rFonts w:ascii="Verdana" w:hAnsi="Verdana"/>
                <w:sz w:val="18"/>
                <w:szCs w:val="18"/>
              </w:rPr>
              <w:t xml:space="preserve">van </w:t>
            </w:r>
            <w:r w:rsidRPr="00A32873">
              <w:rPr>
                <w:rFonts w:ascii="Verdana" w:hAnsi="Verdana"/>
                <w:sz w:val="18"/>
                <w:szCs w:val="18"/>
              </w:rPr>
              <w:t>Europese Commissie (de ‘auteurs’) uitnodigen voor briefing/gesprek, evt. via videoconferentie</w:t>
            </w:r>
          </w:p>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i</w:t>
            </w:r>
            <w:r w:rsidRPr="00A32873">
              <w:rPr>
                <w:rFonts w:ascii="Verdana" w:hAnsi="Verdana"/>
                <w:sz w:val="18"/>
                <w:szCs w:val="18"/>
              </w:rPr>
              <w:t>ndien het Europees Parlement een rapporteur heeft aangesteld kan deze desgewenst worden uitgenodigd voor een gesprek</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u</w:t>
            </w:r>
            <w:r w:rsidRPr="00A32873">
              <w:rPr>
                <w:rFonts w:ascii="Verdana" w:hAnsi="Verdana"/>
                <w:sz w:val="18"/>
                <w:szCs w:val="18"/>
              </w:rPr>
              <w:t>w commissie kan op dit onderwerp een ad-hoc rapporteur benoemen</w:t>
            </w:r>
          </w:p>
          <w:p w:rsidRPr="00A32873" w:rsidR="00E34A2D" w:rsidP="0034235C" w:rsidRDefault="00E34A2D">
            <w:pPr>
              <w:pStyle w:val="Voetnoottekst"/>
              <w:ind w:left="360"/>
              <w:rPr>
                <w:rFonts w:ascii="Verdana" w:hAnsi="Verdana"/>
                <w:sz w:val="18"/>
                <w:szCs w:val="18"/>
              </w:rPr>
            </w:pPr>
            <w:r>
              <w:rPr>
                <w:rFonts w:ascii="Verdana" w:hAnsi="Verdana"/>
                <w:sz w:val="18"/>
                <w:szCs w:val="18"/>
              </w:rPr>
              <w:t>n</w:t>
            </w:r>
            <w:r w:rsidRPr="00A32873">
              <w:rPr>
                <w:rFonts w:ascii="Verdana" w:hAnsi="Verdana"/>
                <w:sz w:val="18"/>
                <w:szCs w:val="18"/>
              </w:rPr>
              <w:t>ationale wetgevingstraject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van richtlijn naar nationale wetgeving)</w:t>
            </w:r>
            <w:r>
              <w:rPr>
                <w:rFonts w:ascii="Verdana" w:hAnsi="Verdana"/>
                <w:sz w:val="18"/>
                <w:szCs w:val="18"/>
              </w:rPr>
              <w:t>.</w:t>
            </w: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t>Niet-bindende handelingen (soft-law)</w:t>
            </w:r>
          </w:p>
        </w:tc>
      </w:tr>
      <w:tr w:rsidRPr="00A32873" w:rsidR="00E34A2D" w:rsidTr="0034235C">
        <w:tc>
          <w:tcPr>
            <w:tcW w:w="2093" w:type="dxa"/>
          </w:tcPr>
          <w:p w:rsidR="00E34A2D" w:rsidP="0034235C" w:rsidRDefault="00E34A2D">
            <w:pPr>
              <w:pStyle w:val="Voetnoottekst"/>
              <w:rPr>
                <w:rFonts w:ascii="Verdana" w:hAnsi="Verdana"/>
                <w:sz w:val="18"/>
                <w:szCs w:val="18"/>
              </w:rPr>
            </w:pPr>
            <w:r w:rsidRPr="00A32873">
              <w:rPr>
                <w:rFonts w:ascii="Verdana" w:hAnsi="Verdana"/>
                <w:sz w:val="18"/>
                <w:szCs w:val="18"/>
              </w:rPr>
              <w:t>Advies, aanbeveling, mededeling</w:t>
            </w:r>
          </w:p>
          <w:p w:rsidR="00E34A2D" w:rsidP="0034235C" w:rsidRDefault="00E34A2D">
            <w:pPr>
              <w:jc w:val="right"/>
            </w:pPr>
          </w:p>
          <w:p w:rsidR="00E34A2D" w:rsidP="0034235C" w:rsidRDefault="00E34A2D">
            <w:pPr>
              <w:jc w:val="right"/>
            </w:pPr>
          </w:p>
          <w:p w:rsidR="00E34A2D" w:rsidP="0034235C" w:rsidRDefault="00E34A2D">
            <w:pPr>
              <w:jc w:val="right"/>
            </w:pPr>
          </w:p>
          <w:p w:rsidR="00E34A2D" w:rsidP="0034235C" w:rsidRDefault="00E34A2D">
            <w:pPr>
              <w:jc w:val="right"/>
            </w:pPr>
          </w:p>
          <w:p w:rsidRPr="00B45904" w:rsidR="00E34A2D" w:rsidP="0034235C" w:rsidRDefault="00E34A2D">
            <w:pPr>
              <w:jc w:val="right"/>
            </w:pPr>
          </w:p>
        </w:tc>
        <w:tc>
          <w:tcPr>
            <w:tcW w:w="6946" w:type="dxa"/>
          </w:tcPr>
          <w:p w:rsidRPr="00A32873" w:rsidR="00E34A2D" w:rsidP="0034235C" w:rsidRDefault="00E34A2D">
            <w:pPr>
              <w:pStyle w:val="Voetnoottekst"/>
              <w:spacing w:before="100" w:beforeAutospacing="1" w:after="100" w:afterAutospacing="1"/>
              <w:rPr>
                <w:rFonts w:ascii="Verdana" w:hAnsi="Verdana"/>
                <w:sz w:val="18"/>
                <w:szCs w:val="18"/>
              </w:rPr>
            </w:pPr>
            <w:r w:rsidRPr="00A32873">
              <w:rPr>
                <w:rFonts w:ascii="Verdana" w:hAnsi="Verdana"/>
                <w:sz w:val="18"/>
                <w:szCs w:val="18"/>
              </w:rPr>
              <w:t>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w:t>
            </w:r>
            <w:r>
              <w:rPr>
                <w:rFonts w:ascii="Verdana" w:hAnsi="Verdana"/>
                <w:sz w:val="18"/>
                <w:szCs w:val="18"/>
              </w:rPr>
              <w:t xml:space="preserve"> </w:t>
            </w:r>
          </w:p>
        </w:tc>
        <w:tc>
          <w:tcPr>
            <w:tcW w:w="5103" w:type="dxa"/>
          </w:tcPr>
          <w:p w:rsidRPr="002E058C"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abinet om appreciatie in de vorm van BNC-fiche verzoeken aangezien over deze categorie niet standaard een fiche wordt gemaakt.</w:t>
            </w:r>
          </w:p>
          <w:p w:rsidR="00E34A2D" w:rsidP="0034235C" w:rsidRDefault="00E34A2D">
            <w:pPr>
              <w:pStyle w:val="Voetnoottekst"/>
              <w:rPr>
                <w:rFonts w:ascii="Verdana" w:hAnsi="Verdana"/>
                <w:sz w:val="18"/>
                <w:szCs w:val="18"/>
              </w:rPr>
            </w:pPr>
          </w:p>
          <w:p w:rsidR="00E34A2D" w:rsidP="0034235C" w:rsidRDefault="00E34A2D">
            <w:pPr>
              <w:pStyle w:val="Voetnoottekst"/>
              <w:rPr>
                <w:rFonts w:ascii="Verdana" w:hAnsi="Verdana"/>
                <w:sz w:val="18"/>
                <w:szCs w:val="18"/>
              </w:rPr>
            </w:pPr>
          </w:p>
          <w:p w:rsidR="00E34A2D" w:rsidP="0034235C" w:rsidRDefault="00E34A2D">
            <w:pPr>
              <w:pStyle w:val="Voetnoottekst"/>
              <w:rPr>
                <w:rFonts w:ascii="Verdana" w:hAnsi="Verdana"/>
                <w:sz w:val="18"/>
                <w:szCs w:val="18"/>
              </w:rPr>
            </w:pPr>
          </w:p>
          <w:p w:rsidR="00E34A2D" w:rsidP="0034235C" w:rsidRDefault="00E34A2D">
            <w:pPr>
              <w:pStyle w:val="Voetnoottekst"/>
              <w:rPr>
                <w:rFonts w:ascii="Verdana" w:hAnsi="Verdana"/>
                <w:sz w:val="18"/>
                <w:szCs w:val="18"/>
              </w:rPr>
            </w:pPr>
          </w:p>
          <w:p w:rsidRPr="00A32873" w:rsidR="00E34A2D" w:rsidP="0034235C" w:rsidRDefault="00E34A2D">
            <w:pPr>
              <w:pStyle w:val="Voetnoottekst"/>
              <w:rPr>
                <w:rFonts w:ascii="Verdana" w:hAnsi="Verdana"/>
                <w:sz w:val="18"/>
                <w:szCs w:val="18"/>
              </w:rPr>
            </w:pP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t xml:space="preserve">Overige handelingen en instrumenten </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Routekaart, actieplannen, strategie, agenda </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cs="Arial"/>
                <w:sz w:val="18"/>
                <w:szCs w:val="18"/>
              </w:rPr>
              <w:t>Via routekaarten, actieplannen, strategieën en agenda’s</w:t>
            </w:r>
            <w:r>
              <w:rPr>
                <w:rFonts w:ascii="Verdana" w:hAnsi="Verdana" w:cs="Arial"/>
                <w:sz w:val="18"/>
                <w:szCs w:val="18"/>
              </w:rPr>
              <w:t xml:space="preserve"> </w:t>
            </w:r>
            <w:r w:rsidRPr="00A32873">
              <w:rPr>
                <w:rFonts w:ascii="Verdana" w:hAnsi="Verdana" w:cs="Arial"/>
                <w:sz w:val="18"/>
                <w:szCs w:val="18"/>
              </w:rPr>
              <w:t xml:space="preserve">informeert de Europese Commissie belanghebbenden en burgers over nieuwe initiatieven, evaluaties en geschiktheidscontroles. In deze documenten </w:t>
            </w:r>
            <w:r w:rsidRPr="00A32873">
              <w:rPr>
                <w:rStyle w:val="Zwaar"/>
                <w:rFonts w:ascii="Verdana" w:hAnsi="Verdana" w:cs="Arial"/>
                <w:b w:val="0"/>
                <w:sz w:val="18"/>
                <w:szCs w:val="18"/>
              </w:rPr>
              <w:t>voor nieuwe initiatieven</w:t>
            </w:r>
            <w:r w:rsidRPr="00A32873">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32873">
              <w:rPr>
                <w:rStyle w:val="Zwaar"/>
                <w:rFonts w:ascii="Verdana" w:hAnsi="Verdana" w:cs="Arial"/>
                <w:sz w:val="18"/>
                <w:szCs w:val="18"/>
              </w:rPr>
              <w:t xml:space="preserve"> </w:t>
            </w:r>
            <w:r w:rsidRPr="00A32873">
              <w:rPr>
                <w:rStyle w:val="Zwaar"/>
                <w:rFonts w:ascii="Verdana" w:hAnsi="Verdana" w:cs="Arial"/>
                <w:b w:val="0"/>
                <w:sz w:val="18"/>
                <w:szCs w:val="18"/>
              </w:rPr>
              <w:t>voor evaluaties en geschiktheidscontroles</w:t>
            </w:r>
            <w:r w:rsidRPr="00A32873">
              <w:rPr>
                <w:rFonts w:ascii="Verdana" w:hAnsi="Verdana" w:cs="Arial"/>
                <w:sz w:val="18"/>
                <w:szCs w:val="18"/>
              </w:rPr>
              <w:t xml:space="preserve"> wordt bepaald wat er geëvalueerd moet worden en welke aspecten moeten worden onderzocht. </w:t>
            </w:r>
          </w:p>
        </w:tc>
        <w:tc>
          <w:tcPr>
            <w:tcW w:w="5103" w:type="dxa"/>
          </w:tcPr>
          <w:p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 xml:space="preserve">abinet om appreciatie in de vorm van BNC-fiche verzoeken aangezien over deze categorie niet standaard een fiche wordt </w:t>
            </w:r>
            <w:r>
              <w:rPr>
                <w:rFonts w:ascii="Verdana" w:hAnsi="Verdana"/>
                <w:sz w:val="18"/>
                <w:szCs w:val="18"/>
              </w:rPr>
              <w:t>gemaakt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en/of </w:t>
            </w:r>
            <w:r>
              <w:rPr>
                <w:rFonts w:ascii="Verdana" w:hAnsi="Verdana"/>
                <w:sz w:val="18"/>
                <w:szCs w:val="18"/>
              </w:rPr>
              <w:t>kabinet</w:t>
            </w:r>
            <w:r w:rsidRPr="00A32873">
              <w:rPr>
                <w:rFonts w:ascii="Verdana" w:hAnsi="Verdana"/>
                <w:sz w:val="18"/>
                <w:szCs w:val="18"/>
              </w:rPr>
              <w:t xml:space="preserve"> vragen om NL inzet (per commissiebrief of tijdens algemeen overleg</w:t>
            </w:r>
            <w:r>
              <w:rPr>
                <w:rFonts w:ascii="Verdana" w:hAnsi="Verdana"/>
                <w:sz w:val="18"/>
                <w:szCs w:val="18"/>
              </w:rPr>
              <w:t>/debat</w:t>
            </w:r>
            <w:r w:rsidRPr="00A32873">
              <w:rPr>
                <w:rFonts w:ascii="Verdana" w:hAnsi="Verdana"/>
                <w:sz w:val="18"/>
                <w:szCs w:val="18"/>
              </w:rPr>
              <w:t>)</w:t>
            </w:r>
            <w:r>
              <w:rPr>
                <w:rFonts w:ascii="Verdana" w:hAnsi="Verdana"/>
                <w:sz w:val="18"/>
                <w:szCs w:val="18"/>
              </w:rPr>
              <w:t>.</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Groen- en witboek</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Groenboek: een discussiestuk, waarmee de Europese Commissie de stand van zaken inventariseert omtrent een onderwerp. Ook doet ze aanbevelingen voor nieuw</w:t>
            </w:r>
            <w:r>
              <w:rPr>
                <w:rFonts w:ascii="Verdana" w:hAnsi="Verdana"/>
                <w:sz w:val="18"/>
                <w:szCs w:val="18"/>
              </w:rPr>
              <w:t xml:space="preserve"> </w:t>
            </w:r>
            <w:r w:rsidRPr="00A32873">
              <w:rPr>
                <w:rFonts w:ascii="Verdana" w:hAnsi="Verdana"/>
                <w:sz w:val="18"/>
                <w:szCs w:val="18"/>
              </w:rPr>
              <w:t xml:space="preserve">beleid. </w:t>
            </w:r>
          </w:p>
          <w:p w:rsidRPr="00A32873" w:rsidR="00E34A2D" w:rsidP="0034235C" w:rsidRDefault="00E34A2D">
            <w:pPr>
              <w:pStyle w:val="Voetnoottekst"/>
              <w:rPr>
                <w:rFonts w:ascii="Verdana" w:hAnsi="Verdana"/>
                <w:sz w:val="18"/>
                <w:szCs w:val="18"/>
              </w:rPr>
            </w:pPr>
          </w:p>
          <w:p w:rsidRPr="00A32873" w:rsidR="00E34A2D" w:rsidP="0034235C" w:rsidRDefault="00E34A2D">
            <w:pPr>
              <w:pStyle w:val="Voetnoottekst"/>
              <w:rPr>
                <w:rFonts w:ascii="Verdana" w:hAnsi="Verdana"/>
                <w:sz w:val="18"/>
                <w:szCs w:val="18"/>
              </w:rPr>
            </w:pPr>
            <w:r w:rsidRPr="00A32873">
              <w:rPr>
                <w:rFonts w:ascii="Verdana" w:hAnsi="Verdana"/>
                <w:sz w:val="18"/>
                <w:szCs w:val="18"/>
              </w:rPr>
              <w:t>Witboek: hierin zet de Europese Commissie uiteen hoe zij bepaalde doelen wil bereiken. Vaak worden in een witboek al concrete voorstellen uitgewerkt en toegelicht.</w:t>
            </w:r>
          </w:p>
          <w:p w:rsidRPr="00A32873" w:rsidR="00E34A2D" w:rsidP="0034235C" w:rsidRDefault="00E34A2D">
            <w:pPr>
              <w:pStyle w:val="Voetnoottekst"/>
              <w:rPr>
                <w:rFonts w:ascii="Verdana" w:hAnsi="Verdana"/>
                <w:sz w:val="18"/>
                <w:szCs w:val="18"/>
              </w:rPr>
            </w:pPr>
            <w:r w:rsidRPr="00A32873">
              <w:rPr>
                <w:rFonts w:ascii="Verdana" w:hAnsi="Verdana"/>
                <w:sz w:val="18"/>
                <w:szCs w:val="18"/>
              </w:rPr>
              <w:lastRenderedPageBreak/>
              <w:t xml:space="preserve">De Europese Commissie nodigt overheden, nationale parlementen en andere organisaties uit om binnen een bepaalde termijn op een Groen- of Witboek te reageren. </w:t>
            </w:r>
          </w:p>
        </w:tc>
        <w:tc>
          <w:tcPr>
            <w:tcW w:w="5103" w:type="dxa"/>
          </w:tcPr>
          <w:p w:rsidR="00E34A2D" w:rsidP="0034235C" w:rsidRDefault="00E34A2D">
            <w:pPr>
              <w:pStyle w:val="Voetnoottekst"/>
              <w:numPr>
                <w:ilvl w:val="0"/>
                <w:numId w:val="1"/>
              </w:numPr>
              <w:rPr>
                <w:rFonts w:ascii="Verdana" w:hAnsi="Verdana"/>
                <w:sz w:val="18"/>
                <w:szCs w:val="18"/>
              </w:rPr>
            </w:pPr>
            <w:r w:rsidRPr="002E058C">
              <w:rPr>
                <w:rFonts w:ascii="Verdana" w:hAnsi="Verdana"/>
                <w:sz w:val="18"/>
                <w:szCs w:val="18"/>
              </w:rPr>
              <w:lastRenderedPageBreak/>
              <w:t>desgewenst ambtenaren EC of Europees Commissaris uitnodigen voor een toelichting.</w:t>
            </w:r>
          </w:p>
          <w:p w:rsidR="00E34A2D" w:rsidP="0034235C" w:rsidRDefault="00E34A2D">
            <w:pPr>
              <w:pStyle w:val="Voetnoottekst"/>
              <w:numPr>
                <w:ilvl w:val="0"/>
                <w:numId w:val="1"/>
              </w:numPr>
              <w:rPr>
                <w:rFonts w:ascii="Verdana" w:hAnsi="Verdana"/>
                <w:sz w:val="18"/>
                <w:szCs w:val="18"/>
              </w:rPr>
            </w:pPr>
            <w:r>
              <w:rPr>
                <w:rFonts w:ascii="Verdana" w:hAnsi="Verdana"/>
                <w:sz w:val="18"/>
                <w:szCs w:val="18"/>
              </w:rPr>
              <w:t>i</w:t>
            </w:r>
            <w:r w:rsidRPr="002E058C">
              <w:rPr>
                <w:rFonts w:ascii="Verdana" w:hAnsi="Verdana"/>
                <w:sz w:val="18"/>
                <w:szCs w:val="18"/>
              </w:rPr>
              <w:t>n commissieverband (via schriftelijke inbreng in de vorm van een politieke dialoog) of als lid, burger of via fracties een reactie sturen aan de Europese Commissie.</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kabinet stuurt de Kamer het concept van haar </w:t>
            </w:r>
            <w:r w:rsidRPr="00A32873">
              <w:rPr>
                <w:rFonts w:ascii="Verdana" w:hAnsi="Verdana"/>
                <w:sz w:val="18"/>
                <w:szCs w:val="18"/>
              </w:rPr>
              <w:lastRenderedPageBreak/>
              <w:t>reactie op Groen- en Witboeken tenminste dertig dagen voor het verstrijken van de reactietermijn bij de Europese Commissie. Ook de definitieve reactie wordt in afschrift aan de Kamer gezonden. Deze reactie kan in behandeling worden genomen, bv</w:t>
            </w:r>
            <w:r>
              <w:rPr>
                <w:rFonts w:ascii="Verdana" w:hAnsi="Verdana"/>
                <w:sz w:val="18"/>
                <w:szCs w:val="18"/>
              </w:rPr>
              <w:t>.</w:t>
            </w:r>
            <w:r w:rsidRPr="00A32873">
              <w:rPr>
                <w:rFonts w:ascii="Verdana" w:hAnsi="Verdana"/>
                <w:sz w:val="18"/>
                <w:szCs w:val="18"/>
              </w:rPr>
              <w:t xml:space="preserve"> door te agenderen voor een algemeen overleg</w:t>
            </w:r>
            <w:r>
              <w:rPr>
                <w:rFonts w:ascii="Verdana" w:hAnsi="Verdana"/>
                <w:sz w:val="18"/>
                <w:szCs w:val="18"/>
              </w:rPr>
              <w:t>/debat</w:t>
            </w:r>
            <w:r w:rsidRPr="00A32873">
              <w:rPr>
                <w:rFonts w:ascii="Verdana" w:hAnsi="Verdana"/>
                <w:sz w:val="18"/>
                <w:szCs w:val="18"/>
              </w:rPr>
              <w:t>.</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lastRenderedPageBreak/>
              <w:t>Openbare raadpleging (consultatie)</w:t>
            </w:r>
          </w:p>
        </w:tc>
        <w:tc>
          <w:tcPr>
            <w:tcW w:w="6946" w:type="dxa"/>
          </w:tcPr>
          <w:p w:rsidRPr="00A32873" w:rsidR="00E34A2D" w:rsidP="0034235C" w:rsidRDefault="00E34A2D">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6">
              <w:r w:rsidRPr="00A32873">
                <w:rPr>
                  <w:rStyle w:val="Hyperlink"/>
                  <w:rFonts w:ascii="Verdana" w:hAnsi="Verdana"/>
                  <w:sz w:val="18"/>
                  <w:szCs w:val="18"/>
                </w:rPr>
                <w:t>Bekijk alle openbare raadplegingen op "Uw stem in Europa"</w:t>
              </w:r>
            </w:hyperlink>
            <w:r w:rsidRPr="00A32873">
              <w:rPr>
                <w:rFonts w:ascii="Verdana" w:hAnsi="Verdana"/>
                <w:sz w:val="18"/>
                <w:szCs w:val="18"/>
              </w:rPr>
              <w:t xml:space="preserve"> . </w:t>
            </w:r>
          </w:p>
        </w:tc>
        <w:tc>
          <w:tcPr>
            <w:tcW w:w="5103" w:type="dxa"/>
          </w:tcPr>
          <w:p w:rsidR="00E34A2D" w:rsidP="0034235C" w:rsidRDefault="00E34A2D">
            <w:pPr>
              <w:pStyle w:val="Voetnoottekst"/>
              <w:numPr>
                <w:ilvl w:val="0"/>
                <w:numId w:val="1"/>
              </w:numPr>
              <w:autoSpaceDE w:val="0"/>
              <w:autoSpaceDN w:val="0"/>
              <w:rPr>
                <w:rFonts w:ascii="Verdana" w:hAnsi="Verdana"/>
                <w:sz w:val="18"/>
                <w:szCs w:val="18"/>
              </w:rPr>
            </w:pPr>
            <w:r w:rsidRPr="00782306">
              <w:rPr>
                <w:rFonts w:ascii="Verdana" w:hAnsi="Verdana"/>
                <w:sz w:val="18"/>
                <w:szCs w:val="18"/>
              </w:rPr>
              <w:t>als burger, lid, fractie of in commissieverband (via schriftelijke inbreng in de vorm van een politieke dialoog). meedoen aan de openbare raadpleging.</w:t>
            </w:r>
          </w:p>
          <w:p w:rsidR="00E34A2D" w:rsidP="0034235C" w:rsidRDefault="00E34A2D">
            <w:pPr>
              <w:pStyle w:val="Voetnoottekst"/>
              <w:numPr>
                <w:ilvl w:val="0"/>
                <w:numId w:val="1"/>
              </w:numPr>
              <w:autoSpaceDE w:val="0"/>
              <w:autoSpaceDN w:val="0"/>
              <w:rPr>
                <w:rFonts w:ascii="Verdana" w:hAnsi="Verdana"/>
                <w:sz w:val="18"/>
                <w:szCs w:val="18"/>
              </w:rPr>
            </w:pPr>
            <w:r w:rsidRPr="00782306">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32873" w:rsidR="00E34A2D" w:rsidP="0034235C" w:rsidRDefault="00E34A2D">
            <w:pPr>
              <w:pStyle w:val="Voetnoottekst"/>
              <w:numPr>
                <w:ilvl w:val="0"/>
                <w:numId w:val="1"/>
              </w:numPr>
              <w:autoSpaceDE w:val="0"/>
              <w:autoSpaceDN w:val="0"/>
              <w:rPr>
                <w:rFonts w:ascii="Verdana" w:hAnsi="Verdana"/>
                <w:sz w:val="18"/>
                <w:szCs w:val="18"/>
              </w:rPr>
            </w:pPr>
            <w:r>
              <w:rPr>
                <w:rFonts w:ascii="Verdana" w:hAnsi="Verdana"/>
                <w:sz w:val="18"/>
                <w:szCs w:val="18"/>
              </w:rPr>
              <w:t>d</w:t>
            </w:r>
            <w:r w:rsidRPr="00782306">
              <w:rPr>
                <w:rFonts w:ascii="Verdana" w:hAnsi="Verdana"/>
                <w:sz w:val="18"/>
                <w:szCs w:val="18"/>
              </w:rPr>
              <w:t>e Kamer ontvangt krachtens de standaard-informatieafspraken de definitieve kabinetsreactie op alle consultaties van de Europese Commissie waarop het kabinet reageert.</w:t>
            </w: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t>Uitgelicht: twee specifieke parlementaire instrumenten bij</w:t>
            </w:r>
            <w:r>
              <w:rPr>
                <w:rFonts w:ascii="Verdana" w:hAnsi="Verdana"/>
                <w:i/>
                <w:sz w:val="18"/>
                <w:szCs w:val="18"/>
              </w:rPr>
              <w:t xml:space="preserve"> </w:t>
            </w:r>
            <w:r w:rsidRPr="002F662A">
              <w:rPr>
                <w:rFonts w:ascii="Verdana" w:hAnsi="Verdana"/>
                <w:i/>
                <w:sz w:val="18"/>
                <w:szCs w:val="18"/>
              </w:rPr>
              <w:t>nieuw gepubliceerde EU-voorstellen</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Subsidiariteitstoets </w:t>
            </w:r>
          </w:p>
          <w:p w:rsidRPr="00A32873" w:rsidR="00E34A2D" w:rsidP="0034235C" w:rsidRDefault="00E34A2D">
            <w:pPr>
              <w:pStyle w:val="Voetnoottekst"/>
              <w:rPr>
                <w:rFonts w:ascii="Verdana" w:hAnsi="Verdana"/>
                <w:sz w:val="18"/>
                <w:szCs w:val="18"/>
              </w:rPr>
            </w:pPr>
            <w:r w:rsidRPr="00A32873">
              <w:rPr>
                <w:rFonts w:ascii="Verdana" w:hAnsi="Verdana"/>
                <w:sz w:val="18"/>
                <w:szCs w:val="18"/>
              </w:rPr>
              <w:t>(richting EU)</w:t>
            </w:r>
          </w:p>
        </w:tc>
        <w:tc>
          <w:tcPr>
            <w:tcW w:w="6946" w:type="dxa"/>
          </w:tcPr>
          <w:p w:rsidRPr="00A32873" w:rsidR="00E34A2D" w:rsidP="0034235C" w:rsidRDefault="00E34A2D">
            <w:pPr>
              <w:pStyle w:val="Lijstalinea"/>
              <w:ind w:left="0"/>
              <w:rPr>
                <w:rFonts w:ascii="Verdana" w:hAnsi="Verdana"/>
                <w:sz w:val="18"/>
                <w:szCs w:val="18"/>
              </w:rPr>
            </w:pPr>
            <w:r w:rsidRPr="00A32873">
              <w:rPr>
                <w:rFonts w:ascii="Verdana" w:hAnsi="Verdana"/>
                <w:sz w:val="18"/>
                <w:szCs w:val="18"/>
              </w:rPr>
              <w:t>Bij een subsidiariteitstoets toetst een nationale (</w:t>
            </w:r>
            <w:r>
              <w:rPr>
                <w:rFonts w:ascii="Verdana" w:hAnsi="Verdana"/>
                <w:sz w:val="18"/>
                <w:szCs w:val="18"/>
              </w:rPr>
              <w:t>K</w:t>
            </w:r>
            <w:r w:rsidRPr="00A32873">
              <w:rPr>
                <w:rFonts w:ascii="Verdana" w:hAnsi="Verdana"/>
                <w:sz w:val="18"/>
                <w:szCs w:val="18"/>
              </w:rPr>
              <w:t>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w:t>
            </w:r>
            <w:r>
              <w:rPr>
                <w:rFonts w:ascii="Verdana" w:hAnsi="Verdana"/>
                <w:sz w:val="18"/>
                <w:szCs w:val="18"/>
              </w:rPr>
              <w:t xml:space="preserve"> </w:t>
            </w:r>
            <w:r w:rsidRPr="00A32873">
              <w:rPr>
                <w:rFonts w:ascii="Verdana" w:hAnsi="Verdana"/>
                <w:sz w:val="18"/>
                <w:szCs w:val="18"/>
              </w:rPr>
              <w:t>weken bezwaar maken uit een oogpunt van subsidiariteit. Een zgn. “gele kaart”</w:t>
            </w:r>
            <w:r>
              <w:rPr>
                <w:rFonts w:ascii="Verdana" w:hAnsi="Verdana"/>
                <w:sz w:val="18"/>
                <w:szCs w:val="18"/>
              </w:rPr>
              <w:t xml:space="preserve"> </w:t>
            </w:r>
            <w:r w:rsidRPr="00A32873">
              <w:rPr>
                <w:rFonts w:ascii="Verdana" w:hAnsi="Verdana"/>
                <w:sz w:val="18"/>
                <w:szCs w:val="18"/>
              </w:rPr>
              <w:t>is voor de Commissie geldig als 1/3 van de nationale parlementen een voorstel in strijd acht met het subsidiariteitsbeginsel. De Europese Commissie moet dan haar voorstel heroverwegen.</w:t>
            </w:r>
            <w:r>
              <w:rPr>
                <w:rFonts w:ascii="Verdana" w:hAnsi="Verdana"/>
                <w:sz w:val="18"/>
                <w:szCs w:val="18"/>
              </w:rPr>
              <w:t xml:space="preserve"> I</w:t>
            </w:r>
            <w:r w:rsidRPr="00A32873">
              <w:rPr>
                <w:rFonts w:ascii="Verdana" w:hAnsi="Verdana"/>
                <w:sz w:val="18"/>
                <w:szCs w:val="18"/>
              </w:rPr>
              <w:t xml:space="preserve">n totaal zijn er </w:t>
            </w:r>
            <w:r>
              <w:rPr>
                <w:rFonts w:ascii="Verdana" w:hAnsi="Verdana"/>
                <w:sz w:val="18"/>
                <w:szCs w:val="18"/>
              </w:rPr>
              <w:t xml:space="preserve">28 Parlementen met </w:t>
            </w:r>
            <w:r w:rsidRPr="00A32873">
              <w:rPr>
                <w:rFonts w:ascii="Verdana" w:hAnsi="Verdana"/>
                <w:sz w:val="18"/>
                <w:szCs w:val="18"/>
              </w:rPr>
              <w:t>4</w:t>
            </w:r>
            <w:r>
              <w:rPr>
                <w:rFonts w:ascii="Verdana" w:hAnsi="Verdana"/>
                <w:sz w:val="18"/>
                <w:szCs w:val="18"/>
              </w:rPr>
              <w:t>1</w:t>
            </w:r>
            <w:r w:rsidRPr="00A32873">
              <w:rPr>
                <w:rFonts w:ascii="Verdana" w:hAnsi="Verdana"/>
                <w:sz w:val="18"/>
                <w:szCs w:val="18"/>
              </w:rPr>
              <w:t xml:space="preserve"> </w:t>
            </w:r>
            <w:r>
              <w:rPr>
                <w:rFonts w:ascii="Verdana" w:hAnsi="Verdana"/>
                <w:sz w:val="18"/>
                <w:szCs w:val="18"/>
              </w:rPr>
              <w:t xml:space="preserve">Kamers </w:t>
            </w:r>
            <w:r w:rsidRPr="00A32873">
              <w:rPr>
                <w:rFonts w:ascii="Verdana" w:hAnsi="Verdana"/>
                <w:sz w:val="18"/>
                <w:szCs w:val="18"/>
              </w:rPr>
              <w:t>in de EU</w:t>
            </w:r>
            <w:r>
              <w:rPr>
                <w:rFonts w:ascii="Verdana" w:hAnsi="Verdana"/>
                <w:sz w:val="18"/>
                <w:szCs w:val="18"/>
              </w:rPr>
              <w:t xml:space="preserve">. </w:t>
            </w:r>
            <w:r>
              <w:rPr>
                <w:rFonts w:asciiTheme="minorHAnsi" w:hAnsiTheme="minorHAnsi" w:cstheme="minorHAnsi"/>
                <w:color w:val="000000" w:themeColor="text1"/>
                <w:sz w:val="22"/>
              </w:rPr>
              <w:t>E</w:t>
            </w:r>
            <w:r w:rsidRPr="00D74760">
              <w:rPr>
                <w:rFonts w:asciiTheme="minorHAnsi" w:hAnsiTheme="minorHAnsi" w:cstheme="minorHAnsi"/>
                <w:color w:val="000000" w:themeColor="text1"/>
                <w:sz w:val="22"/>
              </w:rPr>
              <w:t xml:space="preserve">lk parlement krijgt 2 stemmen, maar </w:t>
            </w:r>
            <w:r>
              <w:rPr>
                <w:rFonts w:asciiTheme="minorHAnsi" w:hAnsiTheme="minorHAnsi" w:cstheme="minorHAnsi"/>
                <w:color w:val="000000" w:themeColor="text1"/>
                <w:sz w:val="22"/>
              </w:rPr>
              <w:t xml:space="preserve">bij </w:t>
            </w:r>
            <w:r w:rsidRPr="00D74760">
              <w:rPr>
                <w:rFonts w:asciiTheme="minorHAnsi" w:hAnsiTheme="minorHAnsi" w:cstheme="minorHAnsi"/>
                <w:color w:val="000000" w:themeColor="text1"/>
                <w:sz w:val="22"/>
              </w:rPr>
              <w:t>een bi</w:t>
            </w:r>
            <w:r>
              <w:rPr>
                <w:rFonts w:asciiTheme="minorHAnsi" w:hAnsiTheme="minorHAnsi" w:cstheme="minorHAnsi"/>
                <w:color w:val="000000" w:themeColor="text1"/>
                <w:sz w:val="22"/>
              </w:rPr>
              <w:t>c</w:t>
            </w:r>
            <w:r w:rsidRPr="00D74760">
              <w:rPr>
                <w:rFonts w:asciiTheme="minorHAnsi" w:hAnsiTheme="minorHAnsi" w:cstheme="minorHAnsi"/>
                <w:color w:val="000000" w:themeColor="text1"/>
                <w:sz w:val="22"/>
              </w:rPr>
              <w:t>ameraal stelsel, zoals in Nederland</w:t>
            </w:r>
            <w:r>
              <w:rPr>
                <w:rFonts w:asciiTheme="minorHAnsi" w:hAnsiTheme="minorHAnsi" w:cstheme="minorHAnsi"/>
                <w:color w:val="000000" w:themeColor="text1"/>
                <w:sz w:val="22"/>
              </w:rPr>
              <w:t xml:space="preserve">, </w:t>
            </w:r>
            <w:r w:rsidRPr="00D74760">
              <w:rPr>
                <w:rFonts w:asciiTheme="minorHAnsi" w:hAnsiTheme="minorHAnsi" w:cstheme="minorHAnsi"/>
                <w:color w:val="000000" w:themeColor="text1"/>
                <w:sz w:val="22"/>
              </w:rPr>
              <w:t>krijgt elke kamer 1 stem</w:t>
            </w:r>
            <w:r>
              <w:rPr>
                <w:rFonts w:ascii="Verdana" w:hAnsi="Verdana"/>
                <w:sz w:val="18"/>
                <w:szCs w:val="18"/>
              </w:rPr>
              <w:t>.</w:t>
            </w:r>
            <w:r w:rsidRPr="00D74760">
              <w:rPr>
                <w:rFonts w:asciiTheme="minorHAnsi" w:hAnsiTheme="minorHAnsi" w:cstheme="minorHAnsi"/>
                <w:color w:val="000000" w:themeColor="text1"/>
                <w:sz w:val="22"/>
              </w:rPr>
              <w:t xml:space="preserve"> Om een gele kaart te trekken moeten er 19 stemmen worden gehaald.</w:t>
            </w:r>
          </w:p>
        </w:tc>
        <w:tc>
          <w:tcPr>
            <w:tcW w:w="5103" w:type="dxa"/>
          </w:tcPr>
          <w:p w:rsidR="00E34A2D" w:rsidP="0034235C" w:rsidRDefault="00E34A2D">
            <w:pPr>
              <w:pStyle w:val="Voetnoottekst"/>
              <w:numPr>
                <w:ilvl w:val="0"/>
                <w:numId w:val="1"/>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Kamercommissie besluiten tot het uitvoeren van een subsidiariteitstoets. Let op: dit moet binnen </w:t>
            </w:r>
            <w:r>
              <w:rPr>
                <w:rFonts w:ascii="Verdana" w:hAnsi="Verdana"/>
                <w:sz w:val="18"/>
                <w:szCs w:val="18"/>
              </w:rPr>
              <w:t>acht</w:t>
            </w:r>
            <w:r w:rsidRPr="00782306">
              <w:rPr>
                <w:rFonts w:ascii="Verdana" w:hAnsi="Verdana"/>
                <w:sz w:val="18"/>
                <w:szCs w:val="18"/>
              </w:rPr>
              <w:t xml:space="preserve"> weken na het uitkomen van </w:t>
            </w:r>
            <w:r>
              <w:rPr>
                <w:rFonts w:ascii="Verdana" w:hAnsi="Verdana"/>
                <w:sz w:val="18"/>
                <w:szCs w:val="18"/>
              </w:rPr>
              <w:t xml:space="preserve">alle </w:t>
            </w:r>
            <w:r w:rsidRPr="00782306">
              <w:rPr>
                <w:rFonts w:ascii="Verdana" w:hAnsi="Verdana"/>
                <w:sz w:val="18"/>
                <w:szCs w:val="18"/>
              </w:rPr>
              <w:t>taalversie</w:t>
            </w:r>
            <w:r>
              <w:rPr>
                <w:rFonts w:ascii="Verdana" w:hAnsi="Verdana"/>
                <w:sz w:val="18"/>
                <w:szCs w:val="18"/>
              </w:rPr>
              <w:t>s</w:t>
            </w:r>
            <w:r w:rsidRPr="00782306">
              <w:rPr>
                <w:rFonts w:ascii="Verdana" w:hAnsi="Verdana"/>
                <w:sz w:val="18"/>
                <w:szCs w:val="18"/>
              </w:rPr>
              <w:t xml:space="preserve"> van het voorstel.</w:t>
            </w:r>
          </w:p>
          <w:p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 xml:space="preserve">abinetsappreciatie (‘BNC-fiche’) komt voor aangekondigde subsidiariteitstoetsen binnen </w:t>
            </w:r>
            <w:r>
              <w:rPr>
                <w:rFonts w:ascii="Verdana" w:hAnsi="Verdana"/>
                <w:sz w:val="18"/>
                <w:szCs w:val="18"/>
              </w:rPr>
              <w:t>drie</w:t>
            </w:r>
            <w:r w:rsidRPr="00782306">
              <w:rPr>
                <w:rFonts w:ascii="Verdana" w:hAnsi="Verdana"/>
                <w:sz w:val="18"/>
                <w:szCs w:val="18"/>
              </w:rPr>
              <w:t xml:space="preserve"> weken t.b.v. een snelle behandeling.</w:t>
            </w:r>
          </w:p>
          <w:p w:rsidRPr="00B45904" w:rsidR="00E34A2D" w:rsidP="0034235C" w:rsidRDefault="00E34A2D">
            <w:pPr>
              <w:pStyle w:val="Voetnoottekst"/>
              <w:numPr>
                <w:ilvl w:val="0"/>
                <w:numId w:val="1"/>
              </w:numPr>
              <w:rPr>
                <w:rFonts w:ascii="Verdana" w:hAnsi="Verdana"/>
                <w:sz w:val="18"/>
                <w:szCs w:val="18"/>
              </w:rPr>
            </w:pPr>
            <w:r>
              <w:rPr>
                <w:rFonts w:ascii="Verdana" w:hAnsi="Verdana"/>
                <w:sz w:val="18"/>
                <w:szCs w:val="18"/>
              </w:rPr>
              <w:t>m</w:t>
            </w:r>
            <w:r w:rsidRPr="00A32873">
              <w:rPr>
                <w:rFonts w:ascii="Verdana" w:hAnsi="Verdana"/>
                <w:sz w:val="18"/>
                <w:szCs w:val="18"/>
              </w:rPr>
              <w:t xml:space="preserve">et andere parlementen in overleg treden t.b.v. behalen meerderheid voor ’gele kaart’ (1/3 </w:t>
            </w:r>
            <w:r>
              <w:rPr>
                <w:rFonts w:ascii="Verdana" w:hAnsi="Verdana"/>
                <w:sz w:val="18"/>
                <w:szCs w:val="18"/>
              </w:rPr>
              <w:t>stemmen</w:t>
            </w:r>
            <w:r w:rsidRPr="00A32873">
              <w:rPr>
                <w:rFonts w:ascii="Verdana" w:hAnsi="Verdana"/>
                <w:sz w:val="18"/>
                <w:szCs w:val="18"/>
              </w:rPr>
              <w:t>) via parlementaire vertegenwoordiging en/of fractielijnen</w:t>
            </w:r>
            <w:r>
              <w:rPr>
                <w:rFonts w:ascii="Verdana" w:hAnsi="Verdana"/>
                <w:sz w:val="18"/>
                <w:szCs w:val="18"/>
              </w:rPr>
              <w:t>.</w:t>
            </w:r>
            <w:r w:rsidRPr="00A32873">
              <w:rPr>
                <w:rFonts w:ascii="Verdana" w:hAnsi="Verdana"/>
                <w:sz w:val="18"/>
                <w:szCs w:val="18"/>
              </w:rPr>
              <w:t xml:space="preserve"> </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Behandel-voorbehoud (richting regering)</w:t>
            </w:r>
          </w:p>
        </w:tc>
        <w:tc>
          <w:tcPr>
            <w:tcW w:w="6946" w:type="dxa"/>
          </w:tcPr>
          <w:p w:rsidRPr="00A32873" w:rsidR="00E34A2D" w:rsidP="0034235C" w:rsidRDefault="00E34A2D">
            <w:pPr>
              <w:pStyle w:val="Lijstalinea"/>
              <w:ind w:left="34"/>
              <w:rPr>
                <w:rFonts w:ascii="Verdana" w:hAnsi="Verdana"/>
                <w:sz w:val="18"/>
                <w:szCs w:val="18"/>
              </w:rPr>
            </w:pPr>
            <w:r w:rsidRPr="00A32873">
              <w:rPr>
                <w:rFonts w:ascii="Verdana" w:hAnsi="Verdana"/>
                <w:sz w:val="18"/>
                <w:szCs w:val="18"/>
              </w:rPr>
              <w:t xml:space="preserve">Zodra de Europese Commissie een wetgevend voorstel heeft gepresenteerd, kan de Kamer </w:t>
            </w:r>
            <w:r>
              <w:rPr>
                <w:rFonts w:ascii="Verdana" w:hAnsi="Verdana"/>
                <w:sz w:val="18"/>
                <w:szCs w:val="18"/>
              </w:rPr>
              <w:t xml:space="preserve">binnen 8 weken </w:t>
            </w:r>
            <w:r w:rsidRPr="00A32873">
              <w:rPr>
                <w:rFonts w:ascii="Verdana" w:hAnsi="Verdana"/>
                <w:sz w:val="18"/>
                <w:szCs w:val="18"/>
              </w:rPr>
              <w:t xml:space="preserve">besluiten dat zij het voorstel van dusdanig politiek belang acht, dat de Kamer door de regering op bijzondere wijze geïnformeerd wil blijven worden over de EU </w:t>
            </w:r>
            <w:r w:rsidRPr="00A32873">
              <w:rPr>
                <w:rFonts w:ascii="Verdana" w:hAnsi="Verdana"/>
                <w:sz w:val="18"/>
                <w:szCs w:val="18"/>
              </w:rPr>
              <w:lastRenderedPageBreak/>
              <w:t>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w:t>
            </w:r>
            <w:r>
              <w:rPr>
                <w:rFonts w:ascii="Verdana" w:hAnsi="Verdana"/>
                <w:sz w:val="18"/>
                <w:szCs w:val="18"/>
              </w:rPr>
              <w:t>g door het kabinet aan de</w:t>
            </w:r>
            <w:r w:rsidRPr="00A32873">
              <w:rPr>
                <w:rFonts w:ascii="Verdana" w:hAnsi="Verdana"/>
                <w:sz w:val="18"/>
                <w:szCs w:val="18"/>
              </w:rPr>
              <w:t xml:space="preserv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00E34A2D" w:rsidP="0034235C" w:rsidRDefault="00E34A2D">
            <w:pPr>
              <w:pStyle w:val="Voetnoottekst"/>
              <w:numPr>
                <w:ilvl w:val="0"/>
                <w:numId w:val="1"/>
              </w:numPr>
              <w:rPr>
                <w:rFonts w:ascii="Verdana" w:hAnsi="Verdana"/>
                <w:sz w:val="18"/>
                <w:szCs w:val="18"/>
              </w:rPr>
            </w:pPr>
            <w:r>
              <w:rPr>
                <w:rFonts w:ascii="Verdana" w:hAnsi="Verdana"/>
                <w:sz w:val="18"/>
                <w:szCs w:val="18"/>
              </w:rPr>
              <w:lastRenderedPageBreak/>
              <w:t>b</w:t>
            </w:r>
            <w:r w:rsidRPr="00782306">
              <w:rPr>
                <w:rFonts w:ascii="Verdana" w:hAnsi="Verdana"/>
                <w:sz w:val="18"/>
                <w:szCs w:val="18"/>
              </w:rPr>
              <w:t xml:space="preserve">ij wetgevende EU-voorstellen kan een commissie besluiten tot het uitvoeren van een zgn. ‘behandelvoorbehoud’. </w:t>
            </w:r>
            <w:r>
              <w:rPr>
                <w:rFonts w:ascii="Verdana" w:hAnsi="Verdana"/>
                <w:sz w:val="18"/>
                <w:szCs w:val="18"/>
              </w:rPr>
              <w:t>Over d</w:t>
            </w:r>
            <w:r w:rsidRPr="00782306">
              <w:rPr>
                <w:rFonts w:ascii="Verdana" w:hAnsi="Verdana"/>
                <w:sz w:val="18"/>
                <w:szCs w:val="18"/>
              </w:rPr>
              <w:t xml:space="preserve">eze brief moet plenair gestemd </w:t>
            </w:r>
            <w:r>
              <w:rPr>
                <w:rFonts w:ascii="Verdana" w:hAnsi="Verdana"/>
                <w:sz w:val="18"/>
                <w:szCs w:val="18"/>
              </w:rPr>
              <w:t>worden (</w:t>
            </w:r>
            <w:r w:rsidRPr="00782306">
              <w:rPr>
                <w:rFonts w:ascii="Verdana" w:hAnsi="Verdana"/>
                <w:sz w:val="18"/>
                <w:szCs w:val="18"/>
              </w:rPr>
              <w:t xml:space="preserve">let op </w:t>
            </w:r>
            <w:r>
              <w:rPr>
                <w:rFonts w:ascii="Verdana" w:hAnsi="Verdana"/>
                <w:sz w:val="18"/>
                <w:szCs w:val="18"/>
              </w:rPr>
              <w:t xml:space="preserve">de </w:t>
            </w:r>
            <w:r w:rsidRPr="00782306">
              <w:rPr>
                <w:rFonts w:ascii="Verdana" w:hAnsi="Verdana"/>
                <w:sz w:val="18"/>
                <w:szCs w:val="18"/>
              </w:rPr>
              <w:t>termijnen</w:t>
            </w:r>
            <w:r>
              <w:rPr>
                <w:rFonts w:ascii="Verdana" w:hAnsi="Verdana"/>
                <w:sz w:val="18"/>
                <w:szCs w:val="18"/>
              </w:rPr>
              <w:t>)</w:t>
            </w:r>
            <w:r w:rsidRPr="00782306">
              <w:rPr>
                <w:rFonts w:ascii="Verdana" w:hAnsi="Verdana"/>
                <w:sz w:val="18"/>
                <w:szCs w:val="18"/>
              </w:rPr>
              <w:t>.</w:t>
            </w:r>
          </w:p>
          <w:p w:rsidR="00E34A2D" w:rsidP="0034235C" w:rsidRDefault="00E34A2D">
            <w:pPr>
              <w:pStyle w:val="Voetnoottekst"/>
              <w:numPr>
                <w:ilvl w:val="0"/>
                <w:numId w:val="1"/>
              </w:numPr>
              <w:rPr>
                <w:rFonts w:ascii="Verdana" w:hAnsi="Verdana"/>
                <w:sz w:val="18"/>
                <w:szCs w:val="18"/>
              </w:rPr>
            </w:pPr>
            <w:r>
              <w:rPr>
                <w:rFonts w:ascii="Verdana" w:hAnsi="Verdana"/>
                <w:sz w:val="18"/>
                <w:szCs w:val="18"/>
              </w:rPr>
              <w:lastRenderedPageBreak/>
              <w:t>t</w:t>
            </w:r>
            <w:r w:rsidRPr="00782306">
              <w:rPr>
                <w:rFonts w:ascii="Verdana" w:hAnsi="Verdana"/>
                <w:sz w:val="18"/>
                <w:szCs w:val="18"/>
              </w:rPr>
              <w:t>ijdens een speciaal overleg kan de commissie afspraken maken over informatieverstrekking (bv</w:t>
            </w:r>
            <w:r>
              <w:rPr>
                <w:rFonts w:ascii="Verdana" w:hAnsi="Verdana"/>
                <w:sz w:val="18"/>
                <w:szCs w:val="18"/>
              </w:rPr>
              <w:t>.</w:t>
            </w:r>
            <w:r w:rsidRPr="00782306">
              <w:rPr>
                <w:rFonts w:ascii="Verdana" w:hAnsi="Verdana"/>
                <w:sz w:val="18"/>
                <w:szCs w:val="18"/>
              </w:rPr>
              <w:t xml:space="preserve"> in kwartaalrapportages) zolang het desbetreffende dossier in onderhandeling is.</w:t>
            </w:r>
          </w:p>
          <w:p w:rsidRPr="00782306"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abinetsappreciatie (‘BNC-fiche’) komt voor aangekondig</w:t>
            </w:r>
            <w:r>
              <w:rPr>
                <w:rFonts w:ascii="Verdana" w:hAnsi="Verdana"/>
                <w:sz w:val="18"/>
                <w:szCs w:val="18"/>
              </w:rPr>
              <w:t>de behandelvoorbehouden binnen drie</w:t>
            </w:r>
            <w:r w:rsidRPr="00782306">
              <w:rPr>
                <w:rFonts w:ascii="Verdana" w:hAnsi="Verdana"/>
                <w:sz w:val="18"/>
                <w:szCs w:val="18"/>
              </w:rPr>
              <w:t xml:space="preserve"> weken t.b.v. een snelle behandeling.</w:t>
            </w:r>
          </w:p>
          <w:p w:rsidRPr="00A32873" w:rsidR="00E34A2D" w:rsidP="0034235C" w:rsidRDefault="00E34A2D">
            <w:pPr>
              <w:pStyle w:val="Voetnoottekst"/>
              <w:rPr>
                <w:rFonts w:ascii="Verdana" w:hAnsi="Verdana"/>
                <w:sz w:val="18"/>
                <w:szCs w:val="18"/>
              </w:rPr>
            </w:pPr>
          </w:p>
        </w:tc>
      </w:tr>
    </w:tbl>
    <w:p w:rsidRPr="00A32873" w:rsidR="00E34A2D" w:rsidP="00E34A2D" w:rsidRDefault="00E34A2D">
      <w:pPr>
        <w:rPr>
          <w:rFonts w:ascii="Verdana" w:hAnsi="Verdana"/>
          <w:sz w:val="18"/>
          <w:szCs w:val="18"/>
        </w:rPr>
      </w:pPr>
    </w:p>
    <w:p w:rsidR="00E34A2D" w:rsidP="00E34A2D" w:rsidRDefault="00E34A2D"/>
    <w:p w:rsidR="00E34A2D" w:rsidP="00E34A2D" w:rsidRDefault="00E34A2D"/>
    <w:p w:rsidR="00E34A2D" w:rsidP="00A137D8" w:rsidRDefault="00E34A2D">
      <w:pPr>
        <w:rPr>
          <w:rFonts w:asciiTheme="minorHAnsi" w:hAnsiTheme="minorHAnsi"/>
          <w:sz w:val="22"/>
          <w:szCs w:val="22"/>
        </w:rPr>
      </w:pPr>
    </w:p>
    <w:p w:rsidR="004C7A6A" w:rsidRDefault="004C7A6A"/>
    <w:sectPr w:rsidR="004C7A6A" w:rsidSect="00A137D8">
      <w:pgSz w:w="16838" w:h="11906" w:orient="landscape"/>
      <w:pgMar w:top="1418"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5D5F" w:rsidRDefault="006F5D5F" w:rsidP="00E34A2D">
      <w:r>
        <w:separator/>
      </w:r>
    </w:p>
  </w:endnote>
  <w:endnote w:type="continuationSeparator" w:id="0">
    <w:p w:rsidR="006F5D5F" w:rsidRDefault="006F5D5F" w:rsidP="00E34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5D5F" w:rsidRDefault="006F5D5F" w:rsidP="00E34A2D">
      <w:r>
        <w:separator/>
      </w:r>
    </w:p>
  </w:footnote>
  <w:footnote w:type="continuationSeparator" w:id="0">
    <w:p w:rsidR="006F5D5F" w:rsidRDefault="006F5D5F" w:rsidP="00E34A2D">
      <w:r>
        <w:continuationSeparator/>
      </w:r>
    </w:p>
  </w:footnote>
  <w:footnote w:id="1">
    <w:p w:rsidR="00E34A2D" w:rsidRDefault="00E34A2D" w:rsidP="00E34A2D">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E34A2D" w:rsidRPr="00B45904" w:rsidRDefault="00E34A2D" w:rsidP="00E34A2D">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7D8"/>
    <w:rsid w:val="00042518"/>
    <w:rsid w:val="0004740C"/>
    <w:rsid w:val="00057DE3"/>
    <w:rsid w:val="00066693"/>
    <w:rsid w:val="00076F95"/>
    <w:rsid w:val="000842C8"/>
    <w:rsid w:val="000A2B12"/>
    <w:rsid w:val="000D1E1E"/>
    <w:rsid w:val="000F7673"/>
    <w:rsid w:val="00102284"/>
    <w:rsid w:val="0016781D"/>
    <w:rsid w:val="001717B9"/>
    <w:rsid w:val="00191F74"/>
    <w:rsid w:val="00200C1D"/>
    <w:rsid w:val="00223DF9"/>
    <w:rsid w:val="0022783E"/>
    <w:rsid w:val="00273611"/>
    <w:rsid w:val="002800A3"/>
    <w:rsid w:val="002A1C59"/>
    <w:rsid w:val="002E6DA8"/>
    <w:rsid w:val="00316C98"/>
    <w:rsid w:val="003510B5"/>
    <w:rsid w:val="003B762C"/>
    <w:rsid w:val="003D4485"/>
    <w:rsid w:val="003E0BCD"/>
    <w:rsid w:val="00420609"/>
    <w:rsid w:val="00435D03"/>
    <w:rsid w:val="0045252E"/>
    <w:rsid w:val="00473F02"/>
    <w:rsid w:val="004C5A17"/>
    <w:rsid w:val="004C7A6A"/>
    <w:rsid w:val="004E4562"/>
    <w:rsid w:val="00505AFF"/>
    <w:rsid w:val="00506FCC"/>
    <w:rsid w:val="00507AC9"/>
    <w:rsid w:val="005129ED"/>
    <w:rsid w:val="005212C9"/>
    <w:rsid w:val="00545D82"/>
    <w:rsid w:val="00546B1D"/>
    <w:rsid w:val="005B7672"/>
    <w:rsid w:val="005E30E3"/>
    <w:rsid w:val="00610EE8"/>
    <w:rsid w:val="00622303"/>
    <w:rsid w:val="00640A4E"/>
    <w:rsid w:val="006605C6"/>
    <w:rsid w:val="00666395"/>
    <w:rsid w:val="006732E8"/>
    <w:rsid w:val="0068465A"/>
    <w:rsid w:val="00685915"/>
    <w:rsid w:val="00694BCA"/>
    <w:rsid w:val="006A0D87"/>
    <w:rsid w:val="006B380C"/>
    <w:rsid w:val="006D4A88"/>
    <w:rsid w:val="006F5D5F"/>
    <w:rsid w:val="00707B33"/>
    <w:rsid w:val="00726889"/>
    <w:rsid w:val="00736970"/>
    <w:rsid w:val="007410C6"/>
    <w:rsid w:val="0074305F"/>
    <w:rsid w:val="007529D4"/>
    <w:rsid w:val="0076598A"/>
    <w:rsid w:val="00767687"/>
    <w:rsid w:val="00777493"/>
    <w:rsid w:val="00796A54"/>
    <w:rsid w:val="007B3194"/>
    <w:rsid w:val="007B34BC"/>
    <w:rsid w:val="007D40B9"/>
    <w:rsid w:val="007E3D88"/>
    <w:rsid w:val="00811362"/>
    <w:rsid w:val="008309FF"/>
    <w:rsid w:val="008E0742"/>
    <w:rsid w:val="008E28F7"/>
    <w:rsid w:val="009160FA"/>
    <w:rsid w:val="00916D21"/>
    <w:rsid w:val="00917FCF"/>
    <w:rsid w:val="0092554C"/>
    <w:rsid w:val="00931F2B"/>
    <w:rsid w:val="009419E4"/>
    <w:rsid w:val="009464F8"/>
    <w:rsid w:val="00964C2E"/>
    <w:rsid w:val="00974103"/>
    <w:rsid w:val="009A0FC6"/>
    <w:rsid w:val="009A4778"/>
    <w:rsid w:val="009C388A"/>
    <w:rsid w:val="009E3021"/>
    <w:rsid w:val="00A137D8"/>
    <w:rsid w:val="00A3314F"/>
    <w:rsid w:val="00A54D1F"/>
    <w:rsid w:val="00A95F68"/>
    <w:rsid w:val="00AC7F3C"/>
    <w:rsid w:val="00AD2751"/>
    <w:rsid w:val="00AD4E0E"/>
    <w:rsid w:val="00AE5D29"/>
    <w:rsid w:val="00AF22E4"/>
    <w:rsid w:val="00AF3F1D"/>
    <w:rsid w:val="00B06716"/>
    <w:rsid w:val="00B31027"/>
    <w:rsid w:val="00B35E56"/>
    <w:rsid w:val="00B464EB"/>
    <w:rsid w:val="00B76BD3"/>
    <w:rsid w:val="00BB0A70"/>
    <w:rsid w:val="00BC696D"/>
    <w:rsid w:val="00BF542D"/>
    <w:rsid w:val="00C00CFA"/>
    <w:rsid w:val="00C40D4F"/>
    <w:rsid w:val="00C70943"/>
    <w:rsid w:val="00CD2557"/>
    <w:rsid w:val="00D004FC"/>
    <w:rsid w:val="00D0746E"/>
    <w:rsid w:val="00D51C73"/>
    <w:rsid w:val="00D52CF9"/>
    <w:rsid w:val="00D729AB"/>
    <w:rsid w:val="00D775CA"/>
    <w:rsid w:val="00D9615E"/>
    <w:rsid w:val="00D96C24"/>
    <w:rsid w:val="00DA08F5"/>
    <w:rsid w:val="00DE2C83"/>
    <w:rsid w:val="00E34A2D"/>
    <w:rsid w:val="00E52F23"/>
    <w:rsid w:val="00E60E54"/>
    <w:rsid w:val="00E72B18"/>
    <w:rsid w:val="00EA2272"/>
    <w:rsid w:val="00ED40CC"/>
    <w:rsid w:val="00F3194C"/>
    <w:rsid w:val="00F552B9"/>
    <w:rsid w:val="00F74ED7"/>
    <w:rsid w:val="00FA15B5"/>
    <w:rsid w:val="00FA27D6"/>
    <w:rsid w:val="00FC67DB"/>
    <w:rsid w:val="00FE39EB"/>
    <w:rsid w:val="00FE457B"/>
    <w:rsid w:val="00FE6B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137D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34A2D"/>
    <w:rPr>
      <w:color w:val="0000FF"/>
      <w:u w:val="single"/>
    </w:rPr>
  </w:style>
  <w:style w:type="character" w:styleId="Zwaar">
    <w:name w:val="Strong"/>
    <w:basedOn w:val="Standaardalinea-lettertype"/>
    <w:uiPriority w:val="22"/>
    <w:qFormat/>
    <w:rsid w:val="00E34A2D"/>
    <w:rPr>
      <w:b/>
      <w:bCs/>
    </w:rPr>
  </w:style>
  <w:style w:type="paragraph" w:styleId="Voetnoottekst">
    <w:name w:val="footnote text"/>
    <w:basedOn w:val="Standaard"/>
    <w:link w:val="VoetnoottekstChar"/>
    <w:rsid w:val="00E34A2D"/>
    <w:rPr>
      <w:sz w:val="20"/>
      <w:szCs w:val="20"/>
    </w:rPr>
  </w:style>
  <w:style w:type="character" w:customStyle="1" w:styleId="VoetnoottekstChar">
    <w:name w:val="Voetnoottekst Char"/>
    <w:basedOn w:val="Standaardalinea-lettertype"/>
    <w:link w:val="Voetnoottekst"/>
    <w:rsid w:val="00E34A2D"/>
  </w:style>
  <w:style w:type="table" w:styleId="Tabelraster">
    <w:name w:val="Table Grid"/>
    <w:basedOn w:val="Standaardtabel"/>
    <w:rsid w:val="00E34A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34A2D"/>
    <w:pPr>
      <w:ind w:left="720"/>
    </w:pPr>
    <w:rPr>
      <w:rFonts w:eastAsiaTheme="minorHAnsi"/>
    </w:rPr>
  </w:style>
  <w:style w:type="character" w:styleId="Voetnootmarkering">
    <w:name w:val="footnote reference"/>
    <w:basedOn w:val="Standaardalinea-lettertype"/>
    <w:uiPriority w:val="99"/>
    <w:rsid w:val="00E34A2D"/>
    <w:rPr>
      <w:vertAlign w:val="superscript"/>
    </w:rPr>
  </w:style>
  <w:style w:type="character" w:styleId="GevolgdeHyperlink">
    <w:name w:val="FollowedHyperlink"/>
    <w:basedOn w:val="Standaardalinea-lettertype"/>
    <w:rsid w:val="002E6DA8"/>
    <w:rPr>
      <w:color w:val="800080" w:themeColor="followedHyperlink"/>
      <w:u w:val="single"/>
    </w:rPr>
  </w:style>
  <w:style w:type="paragraph" w:styleId="Ballontekst">
    <w:name w:val="Balloon Text"/>
    <w:basedOn w:val="Standaard"/>
    <w:link w:val="BallontekstChar"/>
    <w:rsid w:val="00507AC9"/>
    <w:rPr>
      <w:rFonts w:ascii="Tahoma" w:hAnsi="Tahoma" w:cs="Tahoma"/>
      <w:sz w:val="16"/>
      <w:szCs w:val="16"/>
    </w:rPr>
  </w:style>
  <w:style w:type="character" w:customStyle="1" w:styleId="BallontekstChar">
    <w:name w:val="Ballontekst Char"/>
    <w:basedOn w:val="Standaardalinea-lettertype"/>
    <w:link w:val="Ballontekst"/>
    <w:rsid w:val="00507A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137D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34A2D"/>
    <w:rPr>
      <w:color w:val="0000FF"/>
      <w:u w:val="single"/>
    </w:rPr>
  </w:style>
  <w:style w:type="character" w:styleId="Zwaar">
    <w:name w:val="Strong"/>
    <w:basedOn w:val="Standaardalinea-lettertype"/>
    <w:uiPriority w:val="22"/>
    <w:qFormat/>
    <w:rsid w:val="00E34A2D"/>
    <w:rPr>
      <w:b/>
      <w:bCs/>
    </w:rPr>
  </w:style>
  <w:style w:type="paragraph" w:styleId="Voetnoottekst">
    <w:name w:val="footnote text"/>
    <w:basedOn w:val="Standaard"/>
    <w:link w:val="VoetnoottekstChar"/>
    <w:rsid w:val="00E34A2D"/>
    <w:rPr>
      <w:sz w:val="20"/>
      <w:szCs w:val="20"/>
    </w:rPr>
  </w:style>
  <w:style w:type="character" w:customStyle="1" w:styleId="VoetnoottekstChar">
    <w:name w:val="Voetnoottekst Char"/>
    <w:basedOn w:val="Standaardalinea-lettertype"/>
    <w:link w:val="Voetnoottekst"/>
    <w:rsid w:val="00E34A2D"/>
  </w:style>
  <w:style w:type="table" w:styleId="Tabelraster">
    <w:name w:val="Table Grid"/>
    <w:basedOn w:val="Standaardtabel"/>
    <w:rsid w:val="00E34A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34A2D"/>
    <w:pPr>
      <w:ind w:left="720"/>
    </w:pPr>
    <w:rPr>
      <w:rFonts w:eastAsiaTheme="minorHAnsi"/>
    </w:rPr>
  </w:style>
  <w:style w:type="character" w:styleId="Voetnootmarkering">
    <w:name w:val="footnote reference"/>
    <w:basedOn w:val="Standaardalinea-lettertype"/>
    <w:uiPriority w:val="99"/>
    <w:rsid w:val="00E34A2D"/>
    <w:rPr>
      <w:vertAlign w:val="superscript"/>
    </w:rPr>
  </w:style>
  <w:style w:type="character" w:styleId="GevolgdeHyperlink">
    <w:name w:val="FollowedHyperlink"/>
    <w:basedOn w:val="Standaardalinea-lettertype"/>
    <w:rsid w:val="002E6DA8"/>
    <w:rPr>
      <w:color w:val="800080" w:themeColor="followedHyperlink"/>
      <w:u w:val="single"/>
    </w:rPr>
  </w:style>
  <w:style w:type="paragraph" w:styleId="Ballontekst">
    <w:name w:val="Balloon Text"/>
    <w:basedOn w:val="Standaard"/>
    <w:link w:val="BallontekstChar"/>
    <w:rsid w:val="00507AC9"/>
    <w:rPr>
      <w:rFonts w:ascii="Tahoma" w:hAnsi="Tahoma" w:cs="Tahoma"/>
      <w:sz w:val="16"/>
      <w:szCs w:val="16"/>
    </w:rPr>
  </w:style>
  <w:style w:type="character" w:customStyle="1" w:styleId="BallontekstChar">
    <w:name w:val="Ballontekst Char"/>
    <w:basedOn w:val="Standaardalinea-lettertype"/>
    <w:link w:val="Ballontekst"/>
    <w:rsid w:val="00507A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3823">
      <w:bodyDiv w:val="1"/>
      <w:marLeft w:val="0"/>
      <w:marRight w:val="0"/>
      <w:marTop w:val="0"/>
      <w:marBottom w:val="0"/>
      <w:divBdr>
        <w:top w:val="none" w:sz="0" w:space="0" w:color="auto"/>
        <w:left w:val="none" w:sz="0" w:space="0" w:color="auto"/>
        <w:bottom w:val="none" w:sz="0" w:space="0" w:color="auto"/>
        <w:right w:val="none" w:sz="0" w:space="0" w:color="auto"/>
      </w:divBdr>
    </w:div>
    <w:div w:id="35081286">
      <w:bodyDiv w:val="1"/>
      <w:marLeft w:val="0"/>
      <w:marRight w:val="0"/>
      <w:marTop w:val="0"/>
      <w:marBottom w:val="0"/>
      <w:divBdr>
        <w:top w:val="none" w:sz="0" w:space="0" w:color="auto"/>
        <w:left w:val="none" w:sz="0" w:space="0" w:color="auto"/>
        <w:bottom w:val="none" w:sz="0" w:space="0" w:color="auto"/>
        <w:right w:val="none" w:sz="0" w:space="0" w:color="auto"/>
      </w:divBdr>
    </w:div>
    <w:div w:id="103043704">
      <w:bodyDiv w:val="1"/>
      <w:marLeft w:val="0"/>
      <w:marRight w:val="0"/>
      <w:marTop w:val="0"/>
      <w:marBottom w:val="0"/>
      <w:divBdr>
        <w:top w:val="none" w:sz="0" w:space="0" w:color="auto"/>
        <w:left w:val="none" w:sz="0" w:space="0" w:color="auto"/>
        <w:bottom w:val="none" w:sz="0" w:space="0" w:color="auto"/>
        <w:right w:val="none" w:sz="0" w:space="0" w:color="auto"/>
      </w:divBdr>
    </w:div>
    <w:div w:id="141822692">
      <w:bodyDiv w:val="1"/>
      <w:marLeft w:val="0"/>
      <w:marRight w:val="0"/>
      <w:marTop w:val="0"/>
      <w:marBottom w:val="0"/>
      <w:divBdr>
        <w:top w:val="none" w:sz="0" w:space="0" w:color="auto"/>
        <w:left w:val="none" w:sz="0" w:space="0" w:color="auto"/>
        <w:bottom w:val="none" w:sz="0" w:space="0" w:color="auto"/>
        <w:right w:val="none" w:sz="0" w:space="0" w:color="auto"/>
      </w:divBdr>
    </w:div>
    <w:div w:id="150489757">
      <w:bodyDiv w:val="1"/>
      <w:marLeft w:val="0"/>
      <w:marRight w:val="0"/>
      <w:marTop w:val="0"/>
      <w:marBottom w:val="0"/>
      <w:divBdr>
        <w:top w:val="none" w:sz="0" w:space="0" w:color="auto"/>
        <w:left w:val="none" w:sz="0" w:space="0" w:color="auto"/>
        <w:bottom w:val="none" w:sz="0" w:space="0" w:color="auto"/>
        <w:right w:val="none" w:sz="0" w:space="0" w:color="auto"/>
      </w:divBdr>
    </w:div>
    <w:div w:id="170415041">
      <w:bodyDiv w:val="1"/>
      <w:marLeft w:val="0"/>
      <w:marRight w:val="0"/>
      <w:marTop w:val="0"/>
      <w:marBottom w:val="0"/>
      <w:divBdr>
        <w:top w:val="none" w:sz="0" w:space="0" w:color="auto"/>
        <w:left w:val="none" w:sz="0" w:space="0" w:color="auto"/>
        <w:bottom w:val="none" w:sz="0" w:space="0" w:color="auto"/>
        <w:right w:val="none" w:sz="0" w:space="0" w:color="auto"/>
      </w:divBdr>
    </w:div>
    <w:div w:id="324553566">
      <w:bodyDiv w:val="1"/>
      <w:marLeft w:val="0"/>
      <w:marRight w:val="0"/>
      <w:marTop w:val="0"/>
      <w:marBottom w:val="0"/>
      <w:divBdr>
        <w:top w:val="none" w:sz="0" w:space="0" w:color="auto"/>
        <w:left w:val="none" w:sz="0" w:space="0" w:color="auto"/>
        <w:bottom w:val="none" w:sz="0" w:space="0" w:color="auto"/>
        <w:right w:val="none" w:sz="0" w:space="0" w:color="auto"/>
      </w:divBdr>
    </w:div>
    <w:div w:id="352994674">
      <w:bodyDiv w:val="1"/>
      <w:marLeft w:val="0"/>
      <w:marRight w:val="0"/>
      <w:marTop w:val="0"/>
      <w:marBottom w:val="0"/>
      <w:divBdr>
        <w:top w:val="none" w:sz="0" w:space="0" w:color="auto"/>
        <w:left w:val="none" w:sz="0" w:space="0" w:color="auto"/>
        <w:bottom w:val="none" w:sz="0" w:space="0" w:color="auto"/>
        <w:right w:val="none" w:sz="0" w:space="0" w:color="auto"/>
      </w:divBdr>
    </w:div>
    <w:div w:id="396169237">
      <w:bodyDiv w:val="1"/>
      <w:marLeft w:val="0"/>
      <w:marRight w:val="0"/>
      <w:marTop w:val="0"/>
      <w:marBottom w:val="0"/>
      <w:divBdr>
        <w:top w:val="none" w:sz="0" w:space="0" w:color="auto"/>
        <w:left w:val="none" w:sz="0" w:space="0" w:color="auto"/>
        <w:bottom w:val="none" w:sz="0" w:space="0" w:color="auto"/>
        <w:right w:val="none" w:sz="0" w:space="0" w:color="auto"/>
      </w:divBdr>
    </w:div>
    <w:div w:id="415445083">
      <w:bodyDiv w:val="1"/>
      <w:marLeft w:val="0"/>
      <w:marRight w:val="0"/>
      <w:marTop w:val="0"/>
      <w:marBottom w:val="0"/>
      <w:divBdr>
        <w:top w:val="none" w:sz="0" w:space="0" w:color="auto"/>
        <w:left w:val="none" w:sz="0" w:space="0" w:color="auto"/>
        <w:bottom w:val="none" w:sz="0" w:space="0" w:color="auto"/>
        <w:right w:val="none" w:sz="0" w:space="0" w:color="auto"/>
      </w:divBdr>
    </w:div>
    <w:div w:id="416168891">
      <w:bodyDiv w:val="1"/>
      <w:marLeft w:val="0"/>
      <w:marRight w:val="0"/>
      <w:marTop w:val="0"/>
      <w:marBottom w:val="0"/>
      <w:divBdr>
        <w:top w:val="none" w:sz="0" w:space="0" w:color="auto"/>
        <w:left w:val="none" w:sz="0" w:space="0" w:color="auto"/>
        <w:bottom w:val="none" w:sz="0" w:space="0" w:color="auto"/>
        <w:right w:val="none" w:sz="0" w:space="0" w:color="auto"/>
      </w:divBdr>
    </w:div>
    <w:div w:id="536940359">
      <w:bodyDiv w:val="1"/>
      <w:marLeft w:val="0"/>
      <w:marRight w:val="0"/>
      <w:marTop w:val="0"/>
      <w:marBottom w:val="0"/>
      <w:divBdr>
        <w:top w:val="none" w:sz="0" w:space="0" w:color="auto"/>
        <w:left w:val="none" w:sz="0" w:space="0" w:color="auto"/>
        <w:bottom w:val="none" w:sz="0" w:space="0" w:color="auto"/>
        <w:right w:val="none" w:sz="0" w:space="0" w:color="auto"/>
      </w:divBdr>
    </w:div>
    <w:div w:id="576132180">
      <w:bodyDiv w:val="1"/>
      <w:marLeft w:val="0"/>
      <w:marRight w:val="0"/>
      <w:marTop w:val="0"/>
      <w:marBottom w:val="0"/>
      <w:divBdr>
        <w:top w:val="none" w:sz="0" w:space="0" w:color="auto"/>
        <w:left w:val="none" w:sz="0" w:space="0" w:color="auto"/>
        <w:bottom w:val="none" w:sz="0" w:space="0" w:color="auto"/>
        <w:right w:val="none" w:sz="0" w:space="0" w:color="auto"/>
      </w:divBdr>
    </w:div>
    <w:div w:id="664210764">
      <w:bodyDiv w:val="1"/>
      <w:marLeft w:val="0"/>
      <w:marRight w:val="0"/>
      <w:marTop w:val="0"/>
      <w:marBottom w:val="0"/>
      <w:divBdr>
        <w:top w:val="none" w:sz="0" w:space="0" w:color="auto"/>
        <w:left w:val="none" w:sz="0" w:space="0" w:color="auto"/>
        <w:bottom w:val="none" w:sz="0" w:space="0" w:color="auto"/>
        <w:right w:val="none" w:sz="0" w:space="0" w:color="auto"/>
      </w:divBdr>
    </w:div>
    <w:div w:id="685669778">
      <w:bodyDiv w:val="1"/>
      <w:marLeft w:val="0"/>
      <w:marRight w:val="0"/>
      <w:marTop w:val="0"/>
      <w:marBottom w:val="0"/>
      <w:divBdr>
        <w:top w:val="none" w:sz="0" w:space="0" w:color="auto"/>
        <w:left w:val="none" w:sz="0" w:space="0" w:color="auto"/>
        <w:bottom w:val="none" w:sz="0" w:space="0" w:color="auto"/>
        <w:right w:val="none" w:sz="0" w:space="0" w:color="auto"/>
      </w:divBdr>
    </w:div>
    <w:div w:id="785856291">
      <w:bodyDiv w:val="1"/>
      <w:marLeft w:val="0"/>
      <w:marRight w:val="0"/>
      <w:marTop w:val="0"/>
      <w:marBottom w:val="0"/>
      <w:divBdr>
        <w:top w:val="none" w:sz="0" w:space="0" w:color="auto"/>
        <w:left w:val="none" w:sz="0" w:space="0" w:color="auto"/>
        <w:bottom w:val="none" w:sz="0" w:space="0" w:color="auto"/>
        <w:right w:val="none" w:sz="0" w:space="0" w:color="auto"/>
      </w:divBdr>
    </w:div>
    <w:div w:id="799617231">
      <w:bodyDiv w:val="1"/>
      <w:marLeft w:val="0"/>
      <w:marRight w:val="0"/>
      <w:marTop w:val="0"/>
      <w:marBottom w:val="0"/>
      <w:divBdr>
        <w:top w:val="none" w:sz="0" w:space="0" w:color="auto"/>
        <w:left w:val="none" w:sz="0" w:space="0" w:color="auto"/>
        <w:bottom w:val="none" w:sz="0" w:space="0" w:color="auto"/>
        <w:right w:val="none" w:sz="0" w:space="0" w:color="auto"/>
      </w:divBdr>
    </w:div>
    <w:div w:id="895045382">
      <w:bodyDiv w:val="1"/>
      <w:marLeft w:val="0"/>
      <w:marRight w:val="0"/>
      <w:marTop w:val="0"/>
      <w:marBottom w:val="0"/>
      <w:divBdr>
        <w:top w:val="none" w:sz="0" w:space="0" w:color="auto"/>
        <w:left w:val="none" w:sz="0" w:space="0" w:color="auto"/>
        <w:bottom w:val="none" w:sz="0" w:space="0" w:color="auto"/>
        <w:right w:val="none" w:sz="0" w:space="0" w:color="auto"/>
      </w:divBdr>
    </w:div>
    <w:div w:id="919410251">
      <w:bodyDiv w:val="1"/>
      <w:marLeft w:val="0"/>
      <w:marRight w:val="0"/>
      <w:marTop w:val="0"/>
      <w:marBottom w:val="0"/>
      <w:divBdr>
        <w:top w:val="none" w:sz="0" w:space="0" w:color="auto"/>
        <w:left w:val="none" w:sz="0" w:space="0" w:color="auto"/>
        <w:bottom w:val="none" w:sz="0" w:space="0" w:color="auto"/>
        <w:right w:val="none" w:sz="0" w:space="0" w:color="auto"/>
      </w:divBdr>
    </w:div>
    <w:div w:id="941571239">
      <w:bodyDiv w:val="1"/>
      <w:marLeft w:val="0"/>
      <w:marRight w:val="0"/>
      <w:marTop w:val="0"/>
      <w:marBottom w:val="0"/>
      <w:divBdr>
        <w:top w:val="none" w:sz="0" w:space="0" w:color="auto"/>
        <w:left w:val="none" w:sz="0" w:space="0" w:color="auto"/>
        <w:bottom w:val="none" w:sz="0" w:space="0" w:color="auto"/>
        <w:right w:val="none" w:sz="0" w:space="0" w:color="auto"/>
      </w:divBdr>
    </w:div>
    <w:div w:id="1161043507">
      <w:bodyDiv w:val="1"/>
      <w:marLeft w:val="0"/>
      <w:marRight w:val="0"/>
      <w:marTop w:val="0"/>
      <w:marBottom w:val="0"/>
      <w:divBdr>
        <w:top w:val="none" w:sz="0" w:space="0" w:color="auto"/>
        <w:left w:val="none" w:sz="0" w:space="0" w:color="auto"/>
        <w:bottom w:val="none" w:sz="0" w:space="0" w:color="auto"/>
        <w:right w:val="none" w:sz="0" w:space="0" w:color="auto"/>
      </w:divBdr>
    </w:div>
    <w:div w:id="1295482035">
      <w:bodyDiv w:val="1"/>
      <w:marLeft w:val="0"/>
      <w:marRight w:val="0"/>
      <w:marTop w:val="0"/>
      <w:marBottom w:val="0"/>
      <w:divBdr>
        <w:top w:val="none" w:sz="0" w:space="0" w:color="auto"/>
        <w:left w:val="none" w:sz="0" w:space="0" w:color="auto"/>
        <w:bottom w:val="none" w:sz="0" w:space="0" w:color="auto"/>
        <w:right w:val="none" w:sz="0" w:space="0" w:color="auto"/>
      </w:divBdr>
    </w:div>
    <w:div w:id="1301497839">
      <w:bodyDiv w:val="1"/>
      <w:marLeft w:val="0"/>
      <w:marRight w:val="0"/>
      <w:marTop w:val="0"/>
      <w:marBottom w:val="0"/>
      <w:divBdr>
        <w:top w:val="none" w:sz="0" w:space="0" w:color="auto"/>
        <w:left w:val="none" w:sz="0" w:space="0" w:color="auto"/>
        <w:bottom w:val="none" w:sz="0" w:space="0" w:color="auto"/>
        <w:right w:val="none" w:sz="0" w:space="0" w:color="auto"/>
      </w:divBdr>
    </w:div>
    <w:div w:id="1350061391">
      <w:bodyDiv w:val="1"/>
      <w:marLeft w:val="0"/>
      <w:marRight w:val="0"/>
      <w:marTop w:val="0"/>
      <w:marBottom w:val="0"/>
      <w:divBdr>
        <w:top w:val="none" w:sz="0" w:space="0" w:color="auto"/>
        <w:left w:val="none" w:sz="0" w:space="0" w:color="auto"/>
        <w:bottom w:val="none" w:sz="0" w:space="0" w:color="auto"/>
        <w:right w:val="none" w:sz="0" w:space="0" w:color="auto"/>
      </w:divBdr>
    </w:div>
    <w:div w:id="1354454684">
      <w:bodyDiv w:val="1"/>
      <w:marLeft w:val="0"/>
      <w:marRight w:val="0"/>
      <w:marTop w:val="0"/>
      <w:marBottom w:val="0"/>
      <w:divBdr>
        <w:top w:val="none" w:sz="0" w:space="0" w:color="auto"/>
        <w:left w:val="none" w:sz="0" w:space="0" w:color="auto"/>
        <w:bottom w:val="none" w:sz="0" w:space="0" w:color="auto"/>
        <w:right w:val="none" w:sz="0" w:space="0" w:color="auto"/>
      </w:divBdr>
    </w:div>
    <w:div w:id="1369647482">
      <w:bodyDiv w:val="1"/>
      <w:marLeft w:val="0"/>
      <w:marRight w:val="0"/>
      <w:marTop w:val="0"/>
      <w:marBottom w:val="0"/>
      <w:divBdr>
        <w:top w:val="none" w:sz="0" w:space="0" w:color="auto"/>
        <w:left w:val="none" w:sz="0" w:space="0" w:color="auto"/>
        <w:bottom w:val="none" w:sz="0" w:space="0" w:color="auto"/>
        <w:right w:val="none" w:sz="0" w:space="0" w:color="auto"/>
      </w:divBdr>
    </w:div>
    <w:div w:id="1394157312">
      <w:bodyDiv w:val="1"/>
      <w:marLeft w:val="0"/>
      <w:marRight w:val="0"/>
      <w:marTop w:val="0"/>
      <w:marBottom w:val="0"/>
      <w:divBdr>
        <w:top w:val="none" w:sz="0" w:space="0" w:color="auto"/>
        <w:left w:val="none" w:sz="0" w:space="0" w:color="auto"/>
        <w:bottom w:val="none" w:sz="0" w:space="0" w:color="auto"/>
        <w:right w:val="none" w:sz="0" w:space="0" w:color="auto"/>
      </w:divBdr>
    </w:div>
    <w:div w:id="1461267108">
      <w:bodyDiv w:val="1"/>
      <w:marLeft w:val="0"/>
      <w:marRight w:val="0"/>
      <w:marTop w:val="0"/>
      <w:marBottom w:val="0"/>
      <w:divBdr>
        <w:top w:val="none" w:sz="0" w:space="0" w:color="auto"/>
        <w:left w:val="none" w:sz="0" w:space="0" w:color="auto"/>
        <w:bottom w:val="none" w:sz="0" w:space="0" w:color="auto"/>
        <w:right w:val="none" w:sz="0" w:space="0" w:color="auto"/>
      </w:divBdr>
    </w:div>
    <w:div w:id="1492525011">
      <w:bodyDiv w:val="1"/>
      <w:marLeft w:val="0"/>
      <w:marRight w:val="0"/>
      <w:marTop w:val="0"/>
      <w:marBottom w:val="0"/>
      <w:divBdr>
        <w:top w:val="none" w:sz="0" w:space="0" w:color="auto"/>
        <w:left w:val="none" w:sz="0" w:space="0" w:color="auto"/>
        <w:bottom w:val="none" w:sz="0" w:space="0" w:color="auto"/>
        <w:right w:val="none" w:sz="0" w:space="0" w:color="auto"/>
      </w:divBdr>
    </w:div>
    <w:div w:id="1506019599">
      <w:bodyDiv w:val="1"/>
      <w:marLeft w:val="0"/>
      <w:marRight w:val="0"/>
      <w:marTop w:val="0"/>
      <w:marBottom w:val="0"/>
      <w:divBdr>
        <w:top w:val="none" w:sz="0" w:space="0" w:color="auto"/>
        <w:left w:val="none" w:sz="0" w:space="0" w:color="auto"/>
        <w:bottom w:val="none" w:sz="0" w:space="0" w:color="auto"/>
        <w:right w:val="none" w:sz="0" w:space="0" w:color="auto"/>
      </w:divBdr>
    </w:div>
    <w:div w:id="1541434167">
      <w:bodyDiv w:val="1"/>
      <w:marLeft w:val="0"/>
      <w:marRight w:val="0"/>
      <w:marTop w:val="0"/>
      <w:marBottom w:val="0"/>
      <w:divBdr>
        <w:top w:val="none" w:sz="0" w:space="0" w:color="auto"/>
        <w:left w:val="none" w:sz="0" w:space="0" w:color="auto"/>
        <w:bottom w:val="none" w:sz="0" w:space="0" w:color="auto"/>
        <w:right w:val="none" w:sz="0" w:space="0" w:color="auto"/>
      </w:divBdr>
    </w:div>
    <w:div w:id="1553225263">
      <w:bodyDiv w:val="1"/>
      <w:marLeft w:val="0"/>
      <w:marRight w:val="0"/>
      <w:marTop w:val="0"/>
      <w:marBottom w:val="0"/>
      <w:divBdr>
        <w:top w:val="none" w:sz="0" w:space="0" w:color="auto"/>
        <w:left w:val="none" w:sz="0" w:space="0" w:color="auto"/>
        <w:bottom w:val="none" w:sz="0" w:space="0" w:color="auto"/>
        <w:right w:val="none" w:sz="0" w:space="0" w:color="auto"/>
      </w:divBdr>
    </w:div>
    <w:div w:id="1581326034">
      <w:bodyDiv w:val="1"/>
      <w:marLeft w:val="0"/>
      <w:marRight w:val="0"/>
      <w:marTop w:val="0"/>
      <w:marBottom w:val="0"/>
      <w:divBdr>
        <w:top w:val="none" w:sz="0" w:space="0" w:color="auto"/>
        <w:left w:val="none" w:sz="0" w:space="0" w:color="auto"/>
        <w:bottom w:val="none" w:sz="0" w:space="0" w:color="auto"/>
        <w:right w:val="none" w:sz="0" w:space="0" w:color="auto"/>
      </w:divBdr>
    </w:div>
    <w:div w:id="1646737133">
      <w:bodyDiv w:val="1"/>
      <w:marLeft w:val="0"/>
      <w:marRight w:val="0"/>
      <w:marTop w:val="0"/>
      <w:marBottom w:val="0"/>
      <w:divBdr>
        <w:top w:val="none" w:sz="0" w:space="0" w:color="auto"/>
        <w:left w:val="none" w:sz="0" w:space="0" w:color="auto"/>
        <w:bottom w:val="none" w:sz="0" w:space="0" w:color="auto"/>
        <w:right w:val="none" w:sz="0" w:space="0" w:color="auto"/>
      </w:divBdr>
    </w:div>
    <w:div w:id="1760757072">
      <w:bodyDiv w:val="1"/>
      <w:marLeft w:val="0"/>
      <w:marRight w:val="0"/>
      <w:marTop w:val="0"/>
      <w:marBottom w:val="0"/>
      <w:divBdr>
        <w:top w:val="none" w:sz="0" w:space="0" w:color="auto"/>
        <w:left w:val="none" w:sz="0" w:space="0" w:color="auto"/>
        <w:bottom w:val="none" w:sz="0" w:space="0" w:color="auto"/>
        <w:right w:val="none" w:sz="0" w:space="0" w:color="auto"/>
      </w:divBdr>
    </w:div>
    <w:div w:id="1776747747">
      <w:bodyDiv w:val="1"/>
      <w:marLeft w:val="0"/>
      <w:marRight w:val="0"/>
      <w:marTop w:val="0"/>
      <w:marBottom w:val="0"/>
      <w:divBdr>
        <w:top w:val="none" w:sz="0" w:space="0" w:color="auto"/>
        <w:left w:val="none" w:sz="0" w:space="0" w:color="auto"/>
        <w:bottom w:val="none" w:sz="0" w:space="0" w:color="auto"/>
        <w:right w:val="none" w:sz="0" w:space="0" w:color="auto"/>
      </w:divBdr>
    </w:div>
    <w:div w:id="1795634400">
      <w:bodyDiv w:val="1"/>
      <w:marLeft w:val="0"/>
      <w:marRight w:val="0"/>
      <w:marTop w:val="0"/>
      <w:marBottom w:val="0"/>
      <w:divBdr>
        <w:top w:val="none" w:sz="0" w:space="0" w:color="auto"/>
        <w:left w:val="none" w:sz="0" w:space="0" w:color="auto"/>
        <w:bottom w:val="none" w:sz="0" w:space="0" w:color="auto"/>
        <w:right w:val="none" w:sz="0" w:space="0" w:color="auto"/>
      </w:divBdr>
    </w:div>
    <w:div w:id="1826437207">
      <w:bodyDiv w:val="1"/>
      <w:marLeft w:val="0"/>
      <w:marRight w:val="0"/>
      <w:marTop w:val="0"/>
      <w:marBottom w:val="0"/>
      <w:divBdr>
        <w:top w:val="none" w:sz="0" w:space="0" w:color="auto"/>
        <w:left w:val="none" w:sz="0" w:space="0" w:color="auto"/>
        <w:bottom w:val="none" w:sz="0" w:space="0" w:color="auto"/>
        <w:right w:val="none" w:sz="0" w:space="0" w:color="auto"/>
      </w:divBdr>
    </w:div>
    <w:div w:id="1885484721">
      <w:bodyDiv w:val="1"/>
      <w:marLeft w:val="0"/>
      <w:marRight w:val="0"/>
      <w:marTop w:val="0"/>
      <w:marBottom w:val="0"/>
      <w:divBdr>
        <w:top w:val="none" w:sz="0" w:space="0" w:color="auto"/>
        <w:left w:val="none" w:sz="0" w:space="0" w:color="auto"/>
        <w:bottom w:val="none" w:sz="0" w:space="0" w:color="auto"/>
        <w:right w:val="none" w:sz="0" w:space="0" w:color="auto"/>
      </w:divBdr>
    </w:div>
    <w:div w:id="1913848959">
      <w:bodyDiv w:val="1"/>
      <w:marLeft w:val="0"/>
      <w:marRight w:val="0"/>
      <w:marTop w:val="0"/>
      <w:marBottom w:val="0"/>
      <w:divBdr>
        <w:top w:val="none" w:sz="0" w:space="0" w:color="auto"/>
        <w:left w:val="none" w:sz="0" w:space="0" w:color="auto"/>
        <w:bottom w:val="none" w:sz="0" w:space="0" w:color="auto"/>
        <w:right w:val="none" w:sz="0" w:space="0" w:color="auto"/>
      </w:divBdr>
    </w:div>
    <w:div w:id="1962346177">
      <w:bodyDiv w:val="1"/>
      <w:marLeft w:val="0"/>
      <w:marRight w:val="0"/>
      <w:marTop w:val="0"/>
      <w:marBottom w:val="0"/>
      <w:divBdr>
        <w:top w:val="none" w:sz="0" w:space="0" w:color="auto"/>
        <w:left w:val="none" w:sz="0" w:space="0" w:color="auto"/>
        <w:bottom w:val="none" w:sz="0" w:space="0" w:color="auto"/>
        <w:right w:val="none" w:sz="0" w:space="0" w:color="auto"/>
      </w:divBdr>
    </w:div>
    <w:div w:id="211039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www.ipex.eu/IPEXL-WEB/dossier/document/COM20170647.do" TargetMode="External" Id="rId13"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yperlink" Target="http://www.ipex.eu/IPEXL-WEB/dossier/document/COM20170675.do" TargetMode="External"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hyperlink" Target="http://ec.europa.eu/yourvoice/consultations/index_nl.htm" TargetMode="External" Id="rId16" /><Relationship Type="http://schemas.openxmlformats.org/officeDocument/2006/relationships/webSettings" Target="webSettings.xml" Id="rId6" /><Relationship Type="http://schemas.openxmlformats.org/officeDocument/2006/relationships/hyperlink" Target="http://www.ipex.eu/IPEXL-WEB/dossier/document/COM20170653.do" TargetMode="External" Id="rId11" /><Relationship Type="http://schemas.openxmlformats.org/officeDocument/2006/relationships/settings" Target="settings.xml" Id="rId5"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5" /><Relationship Type="http://schemas.openxmlformats.org/officeDocument/2006/relationships/hyperlink" Target="http://www.ipex.eu/IPEXL-WEB/dossier/document/COM20170648.do" TargetMode="External" Id="rId10" /><Relationship Type="http://schemas.microsoft.com/office/2007/relationships/stylesWithEffects" Target="stylesWithEffects.xml" Id="rId4" /><Relationship Type="http://schemas.openxmlformats.org/officeDocument/2006/relationships/hyperlink" Target="http://www.ipex.eu/IPEXL-WEB/dossier/document/COM20170652.do" TargetMode="External" Id="rId9" /><Relationship Type="http://schemas.openxmlformats.org/officeDocument/2006/relationships/hyperlink" Target="http://www.ipex.eu/IPEXL-WEB/dossier/document/COM20170676.do"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2815</ap:Words>
  <ap:Characters>15483</ap:Characters>
  <ap:DocSecurity>4</ap:DocSecurity>
  <ap:Lines>129</ap:Lines>
  <ap:Paragraphs>36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18262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2017-11-16T13:29:00.0000000Z</lastPrinted>
  <dcterms:created xsi:type="dcterms:W3CDTF">2017-11-16T13:42:00.0000000Z</dcterms:created>
  <dcterms:modified xsi:type="dcterms:W3CDTF">2017-11-16T13:42:00.0000000Z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0x010100208090EFB081E74489042C595B87163A</vt:lpwstr>
  </property>
</Properties>
</file>