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06020D" w:rsidR="008847CB" w:rsidP="008847CB" w:rsidRDefault="008847CB">
      <w:pPr>
        <w:spacing w:after="0"/>
        <w:rPr>
          <w:rFonts w:asciiTheme="majorHAnsi" w:hAnsiTheme="majorHAnsi"/>
          <w:b/>
          <w:szCs w:val="18"/>
        </w:rPr>
      </w:pPr>
      <w:r w:rsidRPr="0006020D">
        <w:rPr>
          <w:rFonts w:asciiTheme="majorHAnsi" w:hAnsiTheme="majorHAnsi"/>
          <w:b/>
          <w:szCs w:val="18"/>
        </w:rPr>
        <w:t>Gestelde vragen m.b.t. lastenbeeld Regeerakkoord en verschil CPB</w:t>
      </w:r>
    </w:p>
    <w:p w:rsidRPr="0006020D" w:rsidR="008847CB" w:rsidP="008847CB" w:rsidRDefault="008847CB">
      <w:pPr>
        <w:spacing w:after="0"/>
        <w:rPr>
          <w:rFonts w:asciiTheme="majorHAnsi" w:hAnsiTheme="majorHAnsi"/>
          <w:b/>
          <w:szCs w:val="18"/>
        </w:rPr>
      </w:pPr>
    </w:p>
    <w:p w:rsidRPr="0006020D" w:rsidR="008847CB" w:rsidP="008847CB" w:rsidRDefault="008847CB">
      <w:pPr>
        <w:pStyle w:val="Lijstalinea"/>
        <w:numPr>
          <w:ilvl w:val="0"/>
          <w:numId w:val="1"/>
        </w:numPr>
        <w:spacing w:line="276" w:lineRule="auto"/>
        <w:contextualSpacing/>
        <w:rPr>
          <w:rFonts w:asciiTheme="majorHAnsi" w:hAnsiTheme="majorHAnsi"/>
          <w:i/>
          <w:sz w:val="18"/>
          <w:szCs w:val="18"/>
        </w:rPr>
      </w:pPr>
      <w:r w:rsidRPr="0006020D">
        <w:rPr>
          <w:rFonts w:asciiTheme="majorHAnsi" w:hAnsiTheme="majorHAnsi"/>
          <w:i/>
          <w:sz w:val="18"/>
          <w:szCs w:val="18"/>
        </w:rPr>
        <w:t>Waarom is het effect van het RA volgens het CPB een lastenverzwaring voor bedrijven van 0,1 mld (zie tabel 1 in de bijlage)? Het bedrijfslevenpakket van het RA leidt immers</w:t>
      </w:r>
      <w:r>
        <w:rPr>
          <w:rFonts w:asciiTheme="majorHAnsi" w:hAnsiTheme="majorHAnsi"/>
          <w:i/>
          <w:sz w:val="18"/>
          <w:szCs w:val="18"/>
        </w:rPr>
        <w:t xml:space="preserve"> </w:t>
      </w:r>
      <w:r w:rsidRPr="0006020D">
        <w:rPr>
          <w:rFonts w:asciiTheme="majorHAnsi" w:hAnsiTheme="majorHAnsi"/>
          <w:i/>
          <w:sz w:val="18"/>
          <w:szCs w:val="18"/>
        </w:rPr>
        <w:t>tot een lastenverlichting van 3 mld (zie tabel 2 in de bijlage)?</w:t>
      </w:r>
    </w:p>
    <w:p w:rsidRPr="0006020D" w:rsidR="008847CB" w:rsidP="008847CB" w:rsidRDefault="008847CB">
      <w:pPr>
        <w:spacing w:after="0"/>
        <w:rPr>
          <w:rFonts w:asciiTheme="majorHAnsi" w:hAnsiTheme="majorHAnsi"/>
          <w:szCs w:val="18"/>
        </w:rPr>
      </w:pPr>
    </w:p>
    <w:p w:rsidRPr="0006020D" w:rsidR="008847CB" w:rsidP="008847CB" w:rsidRDefault="008847CB">
      <w:pPr>
        <w:pStyle w:val="Lijstalinea"/>
        <w:numPr>
          <w:ilvl w:val="0"/>
          <w:numId w:val="2"/>
        </w:numPr>
        <w:spacing w:line="276" w:lineRule="auto"/>
        <w:contextualSpacing/>
        <w:rPr>
          <w:rFonts w:asciiTheme="majorHAnsi" w:hAnsiTheme="majorHAnsi"/>
          <w:sz w:val="18"/>
          <w:szCs w:val="18"/>
        </w:rPr>
      </w:pPr>
      <w:r w:rsidRPr="0006020D">
        <w:rPr>
          <w:rFonts w:asciiTheme="majorHAnsi" w:hAnsiTheme="majorHAnsi"/>
          <w:sz w:val="18"/>
          <w:szCs w:val="18"/>
        </w:rPr>
        <w:t xml:space="preserve">In het CPB-beeld stijgen de lasten voor bedrijven door het RA met 0,1 mld in 2021. Het ‘Pakket bedrijfsleven’ in het RA met een lastenverlichting van 3 mld voor bedrijven is een onderdeel van de maatregelen die effect hebben op de lasten voor werkgevers. </w:t>
      </w:r>
    </w:p>
    <w:p w:rsidRPr="0006020D" w:rsidR="008847CB" w:rsidP="008847CB" w:rsidRDefault="008847CB">
      <w:pPr>
        <w:pStyle w:val="Lijstalinea"/>
        <w:numPr>
          <w:ilvl w:val="0"/>
          <w:numId w:val="2"/>
        </w:numPr>
        <w:spacing w:line="276" w:lineRule="auto"/>
        <w:contextualSpacing/>
        <w:rPr>
          <w:rFonts w:asciiTheme="majorHAnsi" w:hAnsiTheme="majorHAnsi"/>
          <w:sz w:val="18"/>
          <w:szCs w:val="18"/>
        </w:rPr>
      </w:pPr>
      <w:r w:rsidRPr="0006020D">
        <w:rPr>
          <w:rFonts w:asciiTheme="majorHAnsi" w:hAnsiTheme="majorHAnsi"/>
          <w:sz w:val="18"/>
          <w:szCs w:val="18"/>
        </w:rPr>
        <w:t>Het verschil in presentatie tussen het RA en de doorrekening van het CPB wordt voor een belangrijk deel verklaard door de dividendbelasting (1,4 mld), die door het CPB wordt geboekt onder ‘buitenland’, de toerekening van de btw-verhoging aan bedrijven (0,7 mld) en het milieupakket bedrijven uit het RA (0,4 mld).  Daarnaast rekent het CPB werkgeverspremies, die gebruikt worden om uitgavenmaatregelen te financieren, onder bedrijven.</w:t>
      </w:r>
    </w:p>
    <w:p w:rsidRPr="0006020D" w:rsidR="008847CB" w:rsidP="008847CB" w:rsidRDefault="008847CB">
      <w:pPr>
        <w:spacing w:after="0"/>
        <w:rPr>
          <w:rFonts w:asciiTheme="majorHAnsi" w:hAnsiTheme="majorHAnsi"/>
          <w:szCs w:val="18"/>
        </w:rPr>
      </w:pPr>
    </w:p>
    <w:p w:rsidRPr="0006020D" w:rsidR="008847CB" w:rsidP="008847CB" w:rsidRDefault="008847CB">
      <w:pPr>
        <w:pStyle w:val="Lijstalinea"/>
        <w:numPr>
          <w:ilvl w:val="0"/>
          <w:numId w:val="1"/>
        </w:numPr>
        <w:spacing w:line="276" w:lineRule="auto"/>
        <w:contextualSpacing/>
        <w:rPr>
          <w:rFonts w:asciiTheme="majorHAnsi" w:hAnsiTheme="majorHAnsi"/>
          <w:i/>
          <w:sz w:val="18"/>
          <w:szCs w:val="18"/>
        </w:rPr>
      </w:pPr>
      <w:r w:rsidRPr="0006020D">
        <w:rPr>
          <w:rFonts w:asciiTheme="majorHAnsi" w:hAnsiTheme="majorHAnsi"/>
          <w:i/>
          <w:sz w:val="18"/>
          <w:szCs w:val="18"/>
        </w:rPr>
        <w:t>Waarom is er sprake van een lastenverzwaring van 3,4 mld cumulatief over de periode 2018-2021 terwijl het RA een forse lastenverlichting bevat?</w:t>
      </w:r>
    </w:p>
    <w:p w:rsidRPr="0006020D" w:rsidR="008847CB" w:rsidP="008847CB" w:rsidRDefault="008847CB">
      <w:pPr>
        <w:spacing w:after="0"/>
        <w:rPr>
          <w:rFonts w:asciiTheme="majorHAnsi" w:hAnsiTheme="majorHAnsi"/>
          <w:szCs w:val="18"/>
        </w:rPr>
      </w:pPr>
    </w:p>
    <w:p w:rsidRPr="0006020D" w:rsidR="008847CB" w:rsidP="008847CB" w:rsidRDefault="008847CB">
      <w:pPr>
        <w:pStyle w:val="Lijstalinea"/>
        <w:numPr>
          <w:ilvl w:val="0"/>
          <w:numId w:val="3"/>
        </w:numPr>
        <w:spacing w:line="276" w:lineRule="auto"/>
        <w:contextualSpacing/>
        <w:rPr>
          <w:rFonts w:asciiTheme="majorHAnsi" w:hAnsiTheme="majorHAnsi"/>
          <w:sz w:val="18"/>
          <w:szCs w:val="18"/>
        </w:rPr>
      </w:pPr>
      <w:r w:rsidRPr="0006020D">
        <w:rPr>
          <w:rFonts w:asciiTheme="majorHAnsi" w:hAnsiTheme="majorHAnsi"/>
          <w:sz w:val="18"/>
          <w:szCs w:val="18"/>
        </w:rPr>
        <w:t xml:space="preserve">De maatregelen in het RA leiden cumulatief in de periode 2018-2021 tot een lastenverlichting. </w:t>
      </w:r>
    </w:p>
    <w:p w:rsidRPr="0006020D" w:rsidR="008847CB" w:rsidP="008847CB" w:rsidRDefault="008847CB">
      <w:pPr>
        <w:pStyle w:val="Lijstalinea"/>
        <w:numPr>
          <w:ilvl w:val="0"/>
          <w:numId w:val="3"/>
        </w:numPr>
        <w:spacing w:line="276" w:lineRule="auto"/>
        <w:contextualSpacing/>
        <w:rPr>
          <w:rFonts w:asciiTheme="majorHAnsi" w:hAnsiTheme="majorHAnsi"/>
          <w:sz w:val="18"/>
          <w:szCs w:val="18"/>
        </w:rPr>
      </w:pPr>
      <w:r w:rsidRPr="0006020D">
        <w:rPr>
          <w:rFonts w:asciiTheme="majorHAnsi" w:hAnsiTheme="majorHAnsi"/>
          <w:sz w:val="18"/>
          <w:szCs w:val="18"/>
        </w:rPr>
        <w:t xml:space="preserve">Deze lastenverlichting komt echter bovenop een lastenverzwaring in het basispad. Deze lastenverzwaring bestaat uit maatregelen van voorgaande kabinetten, stijgende zorgpremies en een technische correctie van het inkomstenkader. Zie hiervoor ook mijn brief van vanochtend. </w:t>
      </w:r>
    </w:p>
    <w:p w:rsidRPr="0006020D" w:rsidR="008847CB" w:rsidP="008847CB" w:rsidRDefault="008847CB">
      <w:pPr>
        <w:pStyle w:val="Lijstalinea"/>
        <w:ind w:left="360"/>
        <w:rPr>
          <w:rFonts w:asciiTheme="majorHAnsi" w:hAnsiTheme="majorHAnsi"/>
          <w:sz w:val="18"/>
          <w:szCs w:val="18"/>
        </w:rPr>
      </w:pPr>
    </w:p>
    <w:p w:rsidRPr="0006020D" w:rsidR="008847CB" w:rsidP="008847CB" w:rsidRDefault="008847CB">
      <w:pPr>
        <w:pStyle w:val="Lijstalinea"/>
        <w:numPr>
          <w:ilvl w:val="0"/>
          <w:numId w:val="1"/>
        </w:numPr>
        <w:spacing w:line="276" w:lineRule="auto"/>
        <w:contextualSpacing/>
        <w:rPr>
          <w:rFonts w:asciiTheme="majorHAnsi" w:hAnsiTheme="majorHAnsi"/>
          <w:i/>
          <w:sz w:val="18"/>
          <w:szCs w:val="18"/>
        </w:rPr>
      </w:pPr>
      <w:r w:rsidRPr="0006020D">
        <w:rPr>
          <w:rFonts w:asciiTheme="majorHAnsi" w:hAnsiTheme="majorHAnsi"/>
          <w:i/>
          <w:sz w:val="18"/>
          <w:szCs w:val="18"/>
        </w:rPr>
        <w:t>Wat is de verdeling van de lastenverlichting tussen burgers en bedrijven van de 3,4 mld?</w:t>
      </w:r>
    </w:p>
    <w:p w:rsidRPr="0006020D" w:rsidR="008847CB" w:rsidP="008847CB" w:rsidRDefault="008847CB">
      <w:pPr>
        <w:spacing w:after="0"/>
        <w:rPr>
          <w:rFonts w:asciiTheme="majorHAnsi" w:hAnsiTheme="majorHAnsi"/>
          <w:szCs w:val="18"/>
        </w:rPr>
      </w:pPr>
    </w:p>
    <w:p w:rsidRPr="0006020D" w:rsidR="008847CB" w:rsidP="008847CB" w:rsidRDefault="008847CB">
      <w:pPr>
        <w:pStyle w:val="Lijstalinea"/>
        <w:numPr>
          <w:ilvl w:val="0"/>
          <w:numId w:val="4"/>
        </w:numPr>
        <w:spacing w:line="276" w:lineRule="auto"/>
        <w:contextualSpacing/>
        <w:rPr>
          <w:rFonts w:asciiTheme="majorHAnsi" w:hAnsiTheme="majorHAnsi"/>
          <w:sz w:val="18"/>
          <w:szCs w:val="18"/>
        </w:rPr>
      </w:pPr>
      <w:r w:rsidRPr="0006020D">
        <w:rPr>
          <w:rFonts w:asciiTheme="majorHAnsi" w:hAnsiTheme="majorHAnsi"/>
          <w:sz w:val="18"/>
          <w:szCs w:val="18"/>
        </w:rPr>
        <w:t xml:space="preserve">De verdeling burgers-bedrijven wordt normaal gesproken niet door het kabinet gepubliceerd. Reden is dat deze boekhouding veelal arbitrair is. Veel maatregelen slaan namelijk niet eenduidig neer bij burgers dan wel bedrijven. </w:t>
      </w:r>
    </w:p>
    <w:p w:rsidRPr="0006020D" w:rsidR="008847CB" w:rsidP="008847CB" w:rsidRDefault="008847CB">
      <w:pPr>
        <w:pStyle w:val="Lijstalinea"/>
        <w:numPr>
          <w:ilvl w:val="0"/>
          <w:numId w:val="4"/>
        </w:numPr>
        <w:spacing w:line="276" w:lineRule="auto"/>
        <w:contextualSpacing/>
        <w:rPr>
          <w:rFonts w:asciiTheme="majorHAnsi" w:hAnsiTheme="majorHAnsi"/>
          <w:sz w:val="18"/>
          <w:szCs w:val="18"/>
        </w:rPr>
      </w:pPr>
      <w:r w:rsidRPr="0006020D">
        <w:rPr>
          <w:rFonts w:asciiTheme="majorHAnsi" w:hAnsiTheme="majorHAnsi"/>
          <w:sz w:val="18"/>
          <w:szCs w:val="18"/>
        </w:rPr>
        <w:t xml:space="preserve">Bovendien drukken belastingen uiteindelijk altijd op  natuurlijke personen en niet op bedrijven. </w:t>
      </w:r>
    </w:p>
    <w:p w:rsidRPr="0006020D" w:rsidR="008847CB" w:rsidP="008847CB" w:rsidRDefault="008847CB">
      <w:pPr>
        <w:pStyle w:val="Lijstalinea"/>
        <w:numPr>
          <w:ilvl w:val="0"/>
          <w:numId w:val="4"/>
        </w:numPr>
        <w:spacing w:line="276" w:lineRule="auto"/>
        <w:contextualSpacing/>
        <w:rPr>
          <w:rFonts w:asciiTheme="majorHAnsi" w:hAnsiTheme="majorHAnsi"/>
          <w:sz w:val="18"/>
          <w:szCs w:val="18"/>
        </w:rPr>
      </w:pPr>
      <w:r w:rsidRPr="0006020D">
        <w:rPr>
          <w:rFonts w:asciiTheme="majorHAnsi" w:hAnsiTheme="majorHAnsi"/>
          <w:sz w:val="18"/>
          <w:szCs w:val="18"/>
        </w:rPr>
        <w:t>Het kabinet stuurt dan ook niet op deze verdeling. De lastenontwikkeling voor burgers komt tot uitdrukking in het integrale koopkrachtbeeld. Naast alle maatregelen zit ook het effect van het Regeerakkoord op lonen en prijzen in dit beeld. Dat is waar het kabinet op stuurt. Met inachtneming van deze kanttekeningen slaat de lastenverzwaring van 3,4 mld volledig neer bij bedrijven. Voor burgers is het lastenbeeld neutraal.</w:t>
      </w:r>
    </w:p>
    <w:p w:rsidRPr="0006020D" w:rsidR="008847CB" w:rsidP="008847CB" w:rsidRDefault="008847CB">
      <w:pPr>
        <w:pStyle w:val="Lijstalinea"/>
        <w:numPr>
          <w:ilvl w:val="0"/>
          <w:numId w:val="4"/>
        </w:numPr>
        <w:spacing w:line="276" w:lineRule="auto"/>
        <w:contextualSpacing/>
        <w:rPr>
          <w:rFonts w:asciiTheme="majorHAnsi" w:hAnsiTheme="majorHAnsi"/>
          <w:sz w:val="18"/>
          <w:szCs w:val="18"/>
        </w:rPr>
      </w:pPr>
      <w:r w:rsidRPr="0006020D">
        <w:rPr>
          <w:rFonts w:asciiTheme="majorHAnsi" w:hAnsiTheme="majorHAnsi"/>
          <w:sz w:val="18"/>
          <w:szCs w:val="18"/>
        </w:rPr>
        <w:t xml:space="preserve">De lastenverzwaring bij bedrijven zit o.a. in een stijgende inkomensafhankelijke bijdrage (iab) a.g.v. stijgende zorgkosten. De zvw-uitgaven worden namelijk 50-50 betaald vanuit de nominale premie en de iab. Ook hogere werkgeverspremies door maatregelen van voorgaande kabinetten zorgen voor de lastenverzwaring voor bedrijven. Voorbeeld is het collectiviseren van het uitbetalen van de transitievergoeding door het UWV. De lastenverzwaring voor burgers wordt door de maatregelen in het RA volledig goedgemaakt. Dat is niet het geval voor de lastenverzwaring voor bedrijven. </w:t>
      </w:r>
    </w:p>
    <w:p w:rsidRPr="0006020D" w:rsidR="008847CB" w:rsidP="008847CB" w:rsidRDefault="008847CB">
      <w:pPr>
        <w:pStyle w:val="Lijstalinea"/>
        <w:ind w:left="360"/>
        <w:rPr>
          <w:rFonts w:asciiTheme="majorHAnsi" w:hAnsiTheme="majorHAnsi"/>
          <w:sz w:val="18"/>
          <w:szCs w:val="18"/>
        </w:rPr>
      </w:pPr>
    </w:p>
    <w:p w:rsidR="008847CB" w:rsidP="008847CB" w:rsidRDefault="008847CB">
      <w:pPr>
        <w:pStyle w:val="Lijstalinea"/>
        <w:numPr>
          <w:ilvl w:val="0"/>
          <w:numId w:val="1"/>
        </w:numPr>
        <w:spacing w:line="276" w:lineRule="auto"/>
        <w:contextualSpacing/>
        <w:rPr>
          <w:rFonts w:asciiTheme="majorHAnsi" w:hAnsiTheme="majorHAnsi"/>
          <w:i/>
          <w:sz w:val="18"/>
          <w:szCs w:val="18"/>
        </w:rPr>
      </w:pPr>
      <w:r w:rsidRPr="0006020D">
        <w:rPr>
          <w:rFonts w:asciiTheme="majorHAnsi" w:hAnsiTheme="majorHAnsi"/>
          <w:i/>
          <w:sz w:val="18"/>
          <w:szCs w:val="18"/>
        </w:rPr>
        <w:t>Waaruit bestaat de 3,3 mld lastenverzwaring in 2019 die genoemd staat in de startnota?</w:t>
      </w:r>
    </w:p>
    <w:p w:rsidRPr="00C97091" w:rsidR="008847CB" w:rsidP="008847CB" w:rsidRDefault="008847CB">
      <w:pPr>
        <w:pStyle w:val="Lijstalinea"/>
        <w:spacing w:line="276" w:lineRule="auto"/>
        <w:ind w:left="360"/>
        <w:contextualSpacing/>
        <w:rPr>
          <w:rFonts w:asciiTheme="majorHAnsi" w:hAnsiTheme="majorHAnsi"/>
          <w:i/>
          <w:sz w:val="18"/>
          <w:szCs w:val="18"/>
        </w:rPr>
      </w:pPr>
    </w:p>
    <w:p w:rsidRPr="00C97091" w:rsidR="008847CB" w:rsidP="008847CB" w:rsidRDefault="008847CB">
      <w:pPr>
        <w:pStyle w:val="Lijstalinea"/>
        <w:numPr>
          <w:ilvl w:val="0"/>
          <w:numId w:val="4"/>
        </w:numPr>
        <w:spacing w:line="276" w:lineRule="auto"/>
        <w:contextualSpacing/>
        <w:rPr>
          <w:rFonts w:asciiTheme="majorHAnsi" w:hAnsiTheme="majorHAnsi"/>
          <w:sz w:val="18"/>
          <w:szCs w:val="18"/>
        </w:rPr>
      </w:pPr>
      <w:r w:rsidRPr="00C97091">
        <w:rPr>
          <w:rFonts w:asciiTheme="majorHAnsi" w:hAnsiTheme="majorHAnsi"/>
          <w:sz w:val="18"/>
          <w:szCs w:val="18"/>
        </w:rPr>
        <w:t>In mijn brief van 9 november j.l. heb ik deze vraag reeds beantwoord. Zie hieronder nogmaals het antwoord.</w:t>
      </w:r>
    </w:p>
    <w:p w:rsidRPr="00C97091" w:rsidR="008847CB" w:rsidP="008847CB" w:rsidRDefault="008847CB">
      <w:pPr>
        <w:pStyle w:val="Lijstalinea"/>
        <w:numPr>
          <w:ilvl w:val="0"/>
          <w:numId w:val="4"/>
        </w:numPr>
        <w:spacing w:line="276" w:lineRule="auto"/>
        <w:contextualSpacing/>
        <w:rPr>
          <w:rFonts w:asciiTheme="majorHAnsi" w:hAnsiTheme="majorHAnsi"/>
          <w:sz w:val="18"/>
          <w:szCs w:val="18"/>
        </w:rPr>
      </w:pPr>
      <w:r w:rsidRPr="00C97091">
        <w:rPr>
          <w:rFonts w:asciiTheme="majorHAnsi" w:hAnsiTheme="majorHAnsi"/>
          <w:sz w:val="18"/>
          <w:szCs w:val="18"/>
        </w:rPr>
        <w:t xml:space="preserve">De lastenverzwaring van 3,3 mld euro in 2019 betreft vooral de verhoging van het lage btw-tarief en het beperken van de 30%-regeling. De aanpassing van het box 2-tarief zit in het ‘bedrijfslevenpakket’ en leidt in 2019 tot extra belastingopbrengsten van 1,4 mld omdat DGA’s naar verwachting extra dividend uitkeren als anticipatie op de tariefsverhoging in 2020. De maatregel leidt tot een structurele lastenverzwaring van 0,4 mld. Dit tijdelijke anticipatie-effect van 1,4 mld euro wordt overigens niet geboekt in het inkomstenkader en is dus ook niet zichtbaar in tabel 4 van de startnota. </w:t>
      </w:r>
    </w:p>
    <w:p w:rsidRPr="0006020D" w:rsidR="008847CB" w:rsidP="008847CB" w:rsidRDefault="008847CB">
      <w:pPr>
        <w:pStyle w:val="Lijstalinea"/>
        <w:spacing w:line="276" w:lineRule="auto"/>
        <w:ind w:left="360"/>
        <w:contextualSpacing/>
        <w:rPr>
          <w:rFonts w:asciiTheme="majorHAnsi" w:hAnsiTheme="majorHAnsi"/>
          <w:i/>
          <w:sz w:val="18"/>
          <w:szCs w:val="18"/>
        </w:rPr>
      </w:pPr>
    </w:p>
    <w:p w:rsidRPr="0006020D" w:rsidR="008847CB" w:rsidP="008847CB" w:rsidRDefault="008847CB">
      <w:pPr>
        <w:pStyle w:val="Lijstalinea"/>
        <w:numPr>
          <w:ilvl w:val="0"/>
          <w:numId w:val="1"/>
        </w:numPr>
        <w:spacing w:line="276" w:lineRule="auto"/>
        <w:contextualSpacing/>
        <w:rPr>
          <w:rFonts w:asciiTheme="majorHAnsi" w:hAnsiTheme="majorHAnsi"/>
          <w:i/>
          <w:sz w:val="18"/>
          <w:szCs w:val="18"/>
        </w:rPr>
      </w:pPr>
      <w:r w:rsidRPr="0006020D">
        <w:rPr>
          <w:rFonts w:asciiTheme="majorHAnsi" w:hAnsiTheme="majorHAnsi"/>
          <w:i/>
          <w:sz w:val="18"/>
          <w:szCs w:val="18"/>
        </w:rPr>
        <w:lastRenderedPageBreak/>
        <w:t>Waarom is er volgens het CPB sprake van een lastenverlichting van 1,5 mld  (zie tabel 1 in de bijlage) terwijl op basis van de startnota een lastenverzwaring blijkt van 3,4 mld (zie tabel 2)</w:t>
      </w:r>
    </w:p>
    <w:p w:rsidRPr="0006020D" w:rsidR="008847CB" w:rsidP="008847CB" w:rsidRDefault="008847CB">
      <w:pPr>
        <w:pStyle w:val="Lijstalinea"/>
        <w:rPr>
          <w:rFonts w:asciiTheme="majorHAnsi" w:hAnsiTheme="majorHAnsi"/>
          <w:sz w:val="18"/>
          <w:szCs w:val="18"/>
        </w:rPr>
      </w:pPr>
    </w:p>
    <w:p w:rsidRPr="0006020D" w:rsidR="008847CB" w:rsidP="008847CB" w:rsidRDefault="008847CB">
      <w:pPr>
        <w:pStyle w:val="Lijstalinea"/>
        <w:numPr>
          <w:ilvl w:val="0"/>
          <w:numId w:val="5"/>
        </w:numPr>
        <w:spacing w:line="276" w:lineRule="auto"/>
        <w:contextualSpacing/>
        <w:rPr>
          <w:rFonts w:asciiTheme="majorHAnsi" w:hAnsiTheme="majorHAnsi"/>
          <w:sz w:val="18"/>
          <w:szCs w:val="18"/>
        </w:rPr>
      </w:pPr>
      <w:r w:rsidRPr="0006020D">
        <w:rPr>
          <w:rFonts w:asciiTheme="majorHAnsi" w:hAnsiTheme="majorHAnsi"/>
          <w:sz w:val="18"/>
          <w:szCs w:val="18"/>
        </w:rPr>
        <w:t xml:space="preserve">De belangrijkste reden voor het verschil is te verklaren vanuit een verschil in lastendefinitie. Het CPB geeft het effect op het EMU-saldo. De startbrief geeft de beleidsmatige lastenontwikkeling. Dat betekent dat tijdelijke kaseffecten niet in de cijfers van de Startnota, maar wel in de cijfers van het CPB zitten. Dat speelt bijvoorbeeld bij het afschaffen van het Pensioen Eigen Beheer in 2017. Dat leidt in de periode 2018-2021 tot extra belastingopbengsten van ca 2,2 mld. Dit effect zit niet in de definitie uit de startnota maar wel in het CPB-beeld. Ook tijdelijke kaseffecten van de box 2-maatregel zitten niet in de cijfers van de startnota maar wel in de cijfers van het CPB. </w:t>
      </w:r>
    </w:p>
    <w:p w:rsidRPr="0006020D" w:rsidR="008847CB" w:rsidP="008847CB" w:rsidRDefault="008847CB">
      <w:pPr>
        <w:pStyle w:val="Lijstalinea"/>
        <w:numPr>
          <w:ilvl w:val="0"/>
          <w:numId w:val="5"/>
        </w:numPr>
        <w:spacing w:line="276" w:lineRule="auto"/>
        <w:contextualSpacing/>
        <w:rPr>
          <w:rFonts w:asciiTheme="majorHAnsi" w:hAnsiTheme="majorHAnsi"/>
          <w:sz w:val="18"/>
          <w:szCs w:val="18"/>
        </w:rPr>
      </w:pPr>
      <w:r w:rsidRPr="0006020D">
        <w:rPr>
          <w:rFonts w:asciiTheme="majorHAnsi" w:hAnsiTheme="majorHAnsi"/>
          <w:sz w:val="18"/>
          <w:szCs w:val="18"/>
        </w:rPr>
        <w:t>Een tweede oorzaak betreft technische correcties van het inkomstenkader waar geen daadwerkelijke maatregel cq lastenverzwaring mee gemoeid is. Het betreft het boeken van de LIV/LKV onder het uitgavenplafond en de compensatie van gemeenten en sportverenigingen voor hogere btw-opbrengsten als gevolg van een gerechtelijke uitspraak. Dat zorgt in de Startnota voor een lastenverzwaring van ca 1,1 mld. Dat effect zit niet in de cijfers van het CPB.</w:t>
      </w:r>
    </w:p>
    <w:p w:rsidRPr="0006020D" w:rsidR="008847CB" w:rsidP="008847CB" w:rsidRDefault="008847CB">
      <w:pPr>
        <w:pStyle w:val="Lijstalinea"/>
        <w:numPr>
          <w:ilvl w:val="0"/>
          <w:numId w:val="5"/>
        </w:numPr>
        <w:spacing w:line="276" w:lineRule="auto"/>
        <w:contextualSpacing/>
        <w:rPr>
          <w:rFonts w:asciiTheme="majorHAnsi" w:hAnsiTheme="majorHAnsi"/>
          <w:sz w:val="18"/>
          <w:szCs w:val="18"/>
        </w:rPr>
      </w:pPr>
      <w:r w:rsidRPr="0006020D">
        <w:rPr>
          <w:rFonts w:asciiTheme="majorHAnsi" w:hAnsiTheme="majorHAnsi"/>
          <w:sz w:val="18"/>
          <w:szCs w:val="18"/>
        </w:rPr>
        <w:t xml:space="preserve">Tenslotte heeft het CPB een eigen inschatting van de ontwikkeling van de zorguitgaven en zorgpremies. Het CPB raamt lagere zorguitgaven en premies dan het kabinet. </w:t>
      </w:r>
    </w:p>
    <w:p w:rsidRPr="0006020D" w:rsidR="008847CB" w:rsidP="008847CB" w:rsidRDefault="008847CB">
      <w:pPr>
        <w:spacing w:after="0"/>
        <w:rPr>
          <w:rFonts w:asciiTheme="majorHAnsi" w:hAnsiTheme="majorHAnsi"/>
          <w:szCs w:val="18"/>
        </w:rPr>
      </w:pPr>
    </w:p>
    <w:p w:rsidRPr="0006020D" w:rsidR="008847CB" w:rsidP="008847CB" w:rsidRDefault="008847CB">
      <w:pPr>
        <w:spacing w:after="0"/>
        <w:rPr>
          <w:rFonts w:asciiTheme="majorHAnsi" w:hAnsiTheme="majorHAnsi"/>
          <w:szCs w:val="18"/>
        </w:rPr>
      </w:pPr>
      <w:r w:rsidRPr="0006020D">
        <w:rPr>
          <w:rFonts w:asciiTheme="majorHAnsi" w:hAnsiTheme="majorHAnsi"/>
          <w:szCs w:val="18"/>
        </w:rPr>
        <w:t>Tabel 1: lastenontwikkeling CPB doorrekening RA</w:t>
      </w:r>
    </w:p>
    <w:p w:rsidRPr="0006020D" w:rsidR="008847CB" w:rsidP="008847CB" w:rsidRDefault="008847CB">
      <w:pPr>
        <w:spacing w:after="0"/>
        <w:rPr>
          <w:rFonts w:asciiTheme="majorHAnsi" w:hAnsiTheme="majorHAnsi"/>
          <w:szCs w:val="18"/>
        </w:rPr>
      </w:pPr>
      <w:r w:rsidRPr="0006020D">
        <w:rPr>
          <w:rFonts w:asciiTheme="majorHAnsi" w:hAnsiTheme="majorHAnsi"/>
          <w:noProof/>
          <w:szCs w:val="18"/>
          <w:lang w:eastAsia="nl-NL"/>
        </w:rPr>
        <w:drawing>
          <wp:inline distT="0" distB="0" distL="0" distR="0">
            <wp:extent cx="4705350" cy="2514600"/>
            <wp:effectExtent l="19050" t="0" r="0" b="0"/>
            <wp:docPr id="1"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7" cstate="print"/>
                    <a:srcRect/>
                    <a:stretch>
                      <a:fillRect/>
                    </a:stretch>
                  </pic:blipFill>
                  <pic:spPr bwMode="auto">
                    <a:xfrm>
                      <a:off x="0" y="0"/>
                      <a:ext cx="4705350" cy="2514600"/>
                    </a:xfrm>
                    <a:prstGeom prst="rect">
                      <a:avLst/>
                    </a:prstGeom>
                    <a:noFill/>
                    <a:ln w="9525">
                      <a:noFill/>
                      <a:miter lim="800000"/>
                      <a:headEnd/>
                      <a:tailEnd/>
                    </a:ln>
                  </pic:spPr>
                </pic:pic>
              </a:graphicData>
            </a:graphic>
          </wp:inline>
        </w:drawing>
      </w:r>
    </w:p>
    <w:p w:rsidR="008847CB" w:rsidP="008847CB" w:rsidRDefault="008847CB">
      <w:pPr>
        <w:rPr>
          <w:rFonts w:asciiTheme="majorHAnsi" w:hAnsiTheme="majorHAnsi"/>
          <w:szCs w:val="18"/>
        </w:rPr>
      </w:pPr>
      <w:r>
        <w:rPr>
          <w:rFonts w:asciiTheme="majorHAnsi" w:hAnsiTheme="majorHAnsi"/>
          <w:szCs w:val="18"/>
        </w:rPr>
        <w:br w:type="page"/>
      </w:r>
    </w:p>
    <w:p w:rsidRPr="0006020D" w:rsidR="008847CB" w:rsidP="008847CB" w:rsidRDefault="008847CB">
      <w:pPr>
        <w:spacing w:after="0"/>
        <w:rPr>
          <w:rFonts w:asciiTheme="majorHAnsi" w:hAnsiTheme="majorHAnsi"/>
          <w:szCs w:val="18"/>
        </w:rPr>
      </w:pPr>
      <w:r w:rsidRPr="0006020D">
        <w:rPr>
          <w:rFonts w:asciiTheme="majorHAnsi" w:hAnsiTheme="majorHAnsi"/>
          <w:szCs w:val="18"/>
        </w:rPr>
        <w:lastRenderedPageBreak/>
        <w:t xml:space="preserve">Tabel 2: lastenontwikkeling startnota incl verdeling burgers-bedrijven. </w:t>
      </w:r>
    </w:p>
    <w:tbl>
      <w:tblPr>
        <w:tblW w:w="6040" w:type="dxa"/>
        <w:tblInd w:w="53" w:type="dxa"/>
        <w:tblCellMar>
          <w:left w:w="70" w:type="dxa"/>
          <w:right w:w="70" w:type="dxa"/>
        </w:tblCellMar>
        <w:tblLook w:val="04A0"/>
      </w:tblPr>
      <w:tblGrid>
        <w:gridCol w:w="4680"/>
        <w:gridCol w:w="1360"/>
      </w:tblGrid>
      <w:tr w:rsidRPr="0006020D" w:rsidR="008847CB" w:rsidTr="00B33F21">
        <w:trPr>
          <w:trHeight w:val="435"/>
        </w:trPr>
        <w:tc>
          <w:tcPr>
            <w:tcW w:w="4680" w:type="dxa"/>
            <w:tcBorders>
              <w:top w:val="single" w:color="000000" w:sz="4" w:space="0"/>
              <w:left w:val="single" w:color="000000" w:sz="4" w:space="0"/>
              <w:bottom w:val="single" w:color="auto" w:sz="8" w:space="0"/>
              <w:right w:val="nil"/>
            </w:tcBorders>
            <w:shd w:val="clear" w:color="auto" w:fill="000000"/>
            <w:vAlign w:val="bottom"/>
            <w:hideMark/>
          </w:tcPr>
          <w:p w:rsidRPr="0006020D" w:rsidR="008847CB" w:rsidP="00B33F21" w:rsidRDefault="008847CB">
            <w:pPr>
              <w:spacing w:after="0" w:line="23" w:lineRule="atLeast"/>
              <w:rPr>
                <w:rFonts w:asciiTheme="majorHAnsi" w:hAnsiTheme="majorHAnsi"/>
                <w:bCs/>
                <w:color w:val="FFFFFF" w:themeColor="background1"/>
                <w:szCs w:val="18"/>
              </w:rPr>
            </w:pPr>
            <w:r w:rsidRPr="0006020D">
              <w:rPr>
                <w:rFonts w:asciiTheme="majorHAnsi" w:hAnsiTheme="majorHAnsi"/>
                <w:bCs/>
                <w:color w:val="FFFFFF" w:themeColor="background1"/>
                <w:szCs w:val="18"/>
              </w:rPr>
              <w:t> (in miljarden euro’s; - is lastenverlichting/saldoverslechterend)</w:t>
            </w:r>
          </w:p>
        </w:tc>
        <w:tc>
          <w:tcPr>
            <w:tcW w:w="1360" w:type="dxa"/>
            <w:tcBorders>
              <w:top w:val="single" w:color="000000" w:sz="4" w:space="0"/>
              <w:left w:val="nil"/>
              <w:bottom w:val="single" w:color="auto" w:sz="8" w:space="0"/>
              <w:right w:val="single" w:color="000000" w:sz="4" w:space="0"/>
            </w:tcBorders>
            <w:shd w:val="clear" w:color="auto" w:fill="000000"/>
            <w:vAlign w:val="bottom"/>
            <w:hideMark/>
          </w:tcPr>
          <w:p w:rsidRPr="0006020D" w:rsidR="008847CB" w:rsidP="00B33F21" w:rsidRDefault="008847CB">
            <w:pPr>
              <w:spacing w:after="0" w:line="23" w:lineRule="atLeast"/>
              <w:jc w:val="center"/>
              <w:rPr>
                <w:rFonts w:asciiTheme="majorHAnsi" w:hAnsiTheme="majorHAnsi"/>
                <w:bCs/>
                <w:color w:val="FFFFFF" w:themeColor="background1"/>
                <w:szCs w:val="18"/>
              </w:rPr>
            </w:pPr>
            <w:r w:rsidRPr="0006020D">
              <w:rPr>
                <w:rFonts w:asciiTheme="majorHAnsi" w:hAnsiTheme="majorHAnsi"/>
                <w:bCs/>
                <w:color w:val="FFFFFF" w:themeColor="background1"/>
                <w:szCs w:val="18"/>
              </w:rPr>
              <w:t>Cumulatief 2018-2021</w:t>
            </w:r>
          </w:p>
        </w:tc>
      </w:tr>
      <w:tr w:rsidRPr="0006020D" w:rsidR="008847CB" w:rsidTr="00B33F21">
        <w:trPr>
          <w:trHeight w:val="225"/>
        </w:trPr>
        <w:tc>
          <w:tcPr>
            <w:tcW w:w="4680" w:type="dxa"/>
            <w:tcBorders>
              <w:top w:val="nil"/>
              <w:left w:val="single" w:color="000000" w:sz="4" w:space="0"/>
              <w:bottom w:val="nil"/>
              <w:right w:val="nil"/>
            </w:tcBorders>
            <w:noWrap/>
            <w:vAlign w:val="bottom"/>
            <w:hideMark/>
          </w:tcPr>
          <w:p w:rsidRPr="0006020D" w:rsidR="008847CB" w:rsidP="00B33F21" w:rsidRDefault="008847CB">
            <w:pPr>
              <w:spacing w:after="0" w:line="23" w:lineRule="atLeast"/>
              <w:rPr>
                <w:rFonts w:asciiTheme="majorHAnsi" w:hAnsiTheme="majorHAnsi"/>
                <w:b/>
                <w:bCs/>
                <w:szCs w:val="18"/>
              </w:rPr>
            </w:pPr>
            <w:r w:rsidRPr="0006020D">
              <w:rPr>
                <w:rFonts w:asciiTheme="majorHAnsi" w:hAnsiTheme="majorHAnsi"/>
                <w:b/>
                <w:bCs/>
                <w:szCs w:val="18"/>
              </w:rPr>
              <w:t>Basispad</w:t>
            </w:r>
          </w:p>
        </w:tc>
        <w:tc>
          <w:tcPr>
            <w:tcW w:w="1360" w:type="dxa"/>
            <w:tcBorders>
              <w:top w:val="nil"/>
              <w:left w:val="nil"/>
              <w:bottom w:val="nil"/>
              <w:right w:val="single" w:color="000000" w:sz="4" w:space="0"/>
            </w:tcBorders>
            <w:noWrap/>
            <w:vAlign w:val="bottom"/>
            <w:hideMark/>
          </w:tcPr>
          <w:p w:rsidRPr="0006020D" w:rsidR="008847CB" w:rsidP="00B33F21" w:rsidRDefault="008847CB">
            <w:pPr>
              <w:spacing w:after="0" w:line="23" w:lineRule="atLeast"/>
              <w:jc w:val="center"/>
              <w:rPr>
                <w:rFonts w:asciiTheme="majorHAnsi" w:hAnsiTheme="majorHAnsi"/>
                <w:b/>
                <w:bCs/>
                <w:szCs w:val="18"/>
              </w:rPr>
            </w:pPr>
            <w:r w:rsidRPr="0006020D">
              <w:rPr>
                <w:rFonts w:asciiTheme="majorHAnsi" w:hAnsiTheme="majorHAnsi"/>
                <w:b/>
                <w:bCs/>
                <w:szCs w:val="18"/>
              </w:rPr>
              <w:t>9</w:t>
            </w:r>
          </w:p>
        </w:tc>
      </w:tr>
      <w:tr w:rsidRPr="0006020D" w:rsidR="008847CB" w:rsidTr="00B33F21">
        <w:trPr>
          <w:trHeight w:val="225"/>
        </w:trPr>
        <w:tc>
          <w:tcPr>
            <w:tcW w:w="4680" w:type="dxa"/>
            <w:tcBorders>
              <w:top w:val="single" w:color="000000" w:sz="4" w:space="0"/>
              <w:left w:val="single" w:color="000000" w:sz="4" w:space="0"/>
              <w:bottom w:val="nil"/>
              <w:right w:val="nil"/>
            </w:tcBorders>
            <w:noWrap/>
            <w:vAlign w:val="bottom"/>
            <w:hideMark/>
          </w:tcPr>
          <w:p w:rsidRPr="0006020D" w:rsidR="008847CB" w:rsidP="00B33F21" w:rsidRDefault="008847CB">
            <w:pPr>
              <w:spacing w:after="0" w:line="23" w:lineRule="atLeast"/>
              <w:rPr>
                <w:rFonts w:asciiTheme="majorHAnsi" w:hAnsiTheme="majorHAnsi"/>
                <w:szCs w:val="18"/>
              </w:rPr>
            </w:pPr>
            <w:r w:rsidRPr="0006020D">
              <w:rPr>
                <w:rFonts w:asciiTheme="majorHAnsi" w:hAnsiTheme="majorHAnsi"/>
                <w:szCs w:val="18"/>
              </w:rPr>
              <w:t>Maatregelen vorige kabinetten</w:t>
            </w:r>
          </w:p>
        </w:tc>
        <w:tc>
          <w:tcPr>
            <w:tcW w:w="1360" w:type="dxa"/>
            <w:tcBorders>
              <w:top w:val="single" w:color="000000" w:sz="4" w:space="0"/>
              <w:left w:val="nil"/>
              <w:bottom w:val="nil"/>
              <w:right w:val="single" w:color="000000" w:sz="4" w:space="0"/>
            </w:tcBorders>
            <w:noWrap/>
            <w:vAlign w:val="bottom"/>
            <w:hideMark/>
          </w:tcPr>
          <w:p w:rsidRPr="0006020D" w:rsidR="008847CB" w:rsidP="00B33F21" w:rsidRDefault="008847CB">
            <w:pPr>
              <w:spacing w:after="0" w:line="23" w:lineRule="atLeast"/>
              <w:jc w:val="center"/>
              <w:rPr>
                <w:rFonts w:asciiTheme="majorHAnsi" w:hAnsiTheme="majorHAnsi"/>
                <w:szCs w:val="18"/>
              </w:rPr>
            </w:pPr>
            <w:r w:rsidRPr="0006020D">
              <w:rPr>
                <w:rFonts w:asciiTheme="majorHAnsi" w:hAnsiTheme="majorHAnsi"/>
                <w:szCs w:val="18"/>
              </w:rPr>
              <w:t>3,1</w:t>
            </w:r>
          </w:p>
        </w:tc>
      </w:tr>
      <w:tr w:rsidRPr="0006020D" w:rsidR="008847CB" w:rsidTr="00B33F21">
        <w:trPr>
          <w:trHeight w:val="225"/>
        </w:trPr>
        <w:tc>
          <w:tcPr>
            <w:tcW w:w="4680" w:type="dxa"/>
            <w:tcBorders>
              <w:top w:val="single" w:color="000000" w:sz="4" w:space="0"/>
              <w:left w:val="single" w:color="000000" w:sz="4" w:space="0"/>
              <w:bottom w:val="nil"/>
              <w:right w:val="nil"/>
            </w:tcBorders>
            <w:noWrap/>
            <w:vAlign w:val="bottom"/>
            <w:hideMark/>
          </w:tcPr>
          <w:p w:rsidRPr="0006020D" w:rsidR="008847CB" w:rsidP="00B33F21" w:rsidRDefault="008847CB">
            <w:pPr>
              <w:spacing w:after="0" w:line="23" w:lineRule="atLeast"/>
              <w:rPr>
                <w:rFonts w:asciiTheme="majorHAnsi" w:hAnsiTheme="majorHAnsi"/>
                <w:szCs w:val="18"/>
              </w:rPr>
            </w:pPr>
            <w:r w:rsidRPr="0006020D">
              <w:rPr>
                <w:rFonts w:asciiTheme="majorHAnsi" w:hAnsiTheme="majorHAnsi"/>
                <w:szCs w:val="18"/>
              </w:rPr>
              <w:t>Zorgpremies</w:t>
            </w:r>
          </w:p>
        </w:tc>
        <w:tc>
          <w:tcPr>
            <w:tcW w:w="1360" w:type="dxa"/>
            <w:tcBorders>
              <w:top w:val="single" w:color="000000" w:sz="4" w:space="0"/>
              <w:left w:val="nil"/>
              <w:bottom w:val="nil"/>
              <w:right w:val="single" w:color="000000" w:sz="4" w:space="0"/>
            </w:tcBorders>
            <w:noWrap/>
            <w:vAlign w:val="bottom"/>
            <w:hideMark/>
          </w:tcPr>
          <w:p w:rsidRPr="0006020D" w:rsidR="008847CB" w:rsidP="00B33F21" w:rsidRDefault="008847CB">
            <w:pPr>
              <w:spacing w:after="0" w:line="23" w:lineRule="atLeast"/>
              <w:jc w:val="center"/>
              <w:rPr>
                <w:rFonts w:asciiTheme="majorHAnsi" w:hAnsiTheme="majorHAnsi"/>
                <w:szCs w:val="18"/>
              </w:rPr>
            </w:pPr>
            <w:r w:rsidRPr="0006020D">
              <w:rPr>
                <w:rFonts w:asciiTheme="majorHAnsi" w:hAnsiTheme="majorHAnsi"/>
                <w:szCs w:val="18"/>
              </w:rPr>
              <w:t>4,8</w:t>
            </w:r>
          </w:p>
        </w:tc>
      </w:tr>
      <w:tr w:rsidRPr="0006020D" w:rsidR="008847CB" w:rsidTr="00B33F21">
        <w:trPr>
          <w:trHeight w:val="225"/>
        </w:trPr>
        <w:tc>
          <w:tcPr>
            <w:tcW w:w="4680" w:type="dxa"/>
            <w:tcBorders>
              <w:top w:val="single" w:color="000000" w:sz="4" w:space="0"/>
              <w:left w:val="single" w:color="000000" w:sz="4" w:space="0"/>
              <w:bottom w:val="nil"/>
              <w:right w:val="nil"/>
            </w:tcBorders>
            <w:noWrap/>
            <w:vAlign w:val="bottom"/>
            <w:hideMark/>
          </w:tcPr>
          <w:p w:rsidRPr="0006020D" w:rsidR="008847CB" w:rsidP="00B33F21" w:rsidRDefault="008847CB">
            <w:pPr>
              <w:spacing w:after="0" w:line="23" w:lineRule="atLeast"/>
              <w:rPr>
                <w:rFonts w:asciiTheme="majorHAnsi" w:hAnsiTheme="majorHAnsi"/>
                <w:szCs w:val="18"/>
              </w:rPr>
            </w:pPr>
            <w:r w:rsidRPr="0006020D">
              <w:rPr>
                <w:rFonts w:asciiTheme="majorHAnsi" w:hAnsiTheme="majorHAnsi"/>
                <w:szCs w:val="18"/>
              </w:rPr>
              <w:t>Uitboeken LIV/LKV</w:t>
            </w:r>
          </w:p>
        </w:tc>
        <w:tc>
          <w:tcPr>
            <w:tcW w:w="1360" w:type="dxa"/>
            <w:tcBorders>
              <w:top w:val="single" w:color="000000" w:sz="4" w:space="0"/>
              <w:left w:val="nil"/>
              <w:bottom w:val="nil"/>
              <w:right w:val="single" w:color="000000" w:sz="4" w:space="0"/>
            </w:tcBorders>
            <w:noWrap/>
            <w:vAlign w:val="bottom"/>
            <w:hideMark/>
          </w:tcPr>
          <w:p w:rsidRPr="0006020D" w:rsidR="008847CB" w:rsidP="00B33F21" w:rsidRDefault="008847CB">
            <w:pPr>
              <w:spacing w:after="0" w:line="23" w:lineRule="atLeast"/>
              <w:jc w:val="center"/>
              <w:rPr>
                <w:rFonts w:asciiTheme="majorHAnsi" w:hAnsiTheme="majorHAnsi"/>
                <w:szCs w:val="18"/>
              </w:rPr>
            </w:pPr>
            <w:r w:rsidRPr="0006020D">
              <w:rPr>
                <w:rFonts w:asciiTheme="majorHAnsi" w:hAnsiTheme="majorHAnsi"/>
                <w:szCs w:val="18"/>
              </w:rPr>
              <w:t>0,9</w:t>
            </w:r>
          </w:p>
        </w:tc>
      </w:tr>
      <w:tr w:rsidRPr="0006020D" w:rsidR="008847CB" w:rsidTr="00B33F21">
        <w:trPr>
          <w:trHeight w:val="225"/>
        </w:trPr>
        <w:tc>
          <w:tcPr>
            <w:tcW w:w="4680" w:type="dxa"/>
            <w:tcBorders>
              <w:top w:val="single" w:color="000000" w:sz="4" w:space="0"/>
              <w:left w:val="single" w:color="000000" w:sz="4" w:space="0"/>
              <w:bottom w:val="nil"/>
              <w:right w:val="nil"/>
            </w:tcBorders>
            <w:noWrap/>
            <w:vAlign w:val="bottom"/>
            <w:hideMark/>
          </w:tcPr>
          <w:p w:rsidRPr="0006020D" w:rsidR="008847CB" w:rsidP="00B33F21" w:rsidRDefault="008847CB">
            <w:pPr>
              <w:spacing w:after="0" w:line="23" w:lineRule="atLeast"/>
              <w:rPr>
                <w:rFonts w:asciiTheme="majorHAnsi" w:hAnsiTheme="majorHAnsi"/>
                <w:szCs w:val="18"/>
              </w:rPr>
            </w:pPr>
            <w:r w:rsidRPr="0006020D">
              <w:rPr>
                <w:rFonts w:asciiTheme="majorHAnsi" w:hAnsiTheme="majorHAnsi"/>
                <w:szCs w:val="18"/>
              </w:rPr>
              <w:t>Btw-sport</w:t>
            </w:r>
          </w:p>
        </w:tc>
        <w:tc>
          <w:tcPr>
            <w:tcW w:w="1360" w:type="dxa"/>
            <w:tcBorders>
              <w:top w:val="single" w:color="000000" w:sz="4" w:space="0"/>
              <w:left w:val="nil"/>
              <w:bottom w:val="nil"/>
              <w:right w:val="single" w:color="000000" w:sz="4" w:space="0"/>
            </w:tcBorders>
            <w:noWrap/>
            <w:vAlign w:val="bottom"/>
            <w:hideMark/>
          </w:tcPr>
          <w:p w:rsidRPr="0006020D" w:rsidR="008847CB" w:rsidP="00B33F21" w:rsidRDefault="008847CB">
            <w:pPr>
              <w:spacing w:after="0" w:line="23" w:lineRule="atLeast"/>
              <w:jc w:val="center"/>
              <w:rPr>
                <w:rFonts w:asciiTheme="majorHAnsi" w:hAnsiTheme="majorHAnsi"/>
                <w:szCs w:val="18"/>
              </w:rPr>
            </w:pPr>
            <w:r w:rsidRPr="0006020D">
              <w:rPr>
                <w:rFonts w:asciiTheme="majorHAnsi" w:hAnsiTheme="majorHAnsi"/>
                <w:szCs w:val="18"/>
              </w:rPr>
              <w:t>0,2</w:t>
            </w:r>
          </w:p>
        </w:tc>
      </w:tr>
      <w:tr w:rsidRPr="0006020D" w:rsidR="008847CB" w:rsidTr="00B33F21">
        <w:trPr>
          <w:trHeight w:val="285"/>
        </w:trPr>
        <w:tc>
          <w:tcPr>
            <w:tcW w:w="4680" w:type="dxa"/>
            <w:tcBorders>
              <w:top w:val="single" w:color="000000" w:sz="4" w:space="0"/>
              <w:left w:val="single" w:color="000000" w:sz="4" w:space="0"/>
              <w:bottom w:val="nil"/>
              <w:right w:val="nil"/>
            </w:tcBorders>
            <w:noWrap/>
            <w:vAlign w:val="bottom"/>
            <w:hideMark/>
          </w:tcPr>
          <w:p w:rsidRPr="0006020D" w:rsidR="008847CB" w:rsidP="00B33F21" w:rsidRDefault="008847CB">
            <w:pPr>
              <w:spacing w:after="0"/>
              <w:rPr>
                <w:rFonts w:asciiTheme="majorHAnsi" w:hAnsiTheme="majorHAnsi"/>
                <w:szCs w:val="18"/>
              </w:rPr>
            </w:pPr>
          </w:p>
        </w:tc>
        <w:tc>
          <w:tcPr>
            <w:tcW w:w="1360" w:type="dxa"/>
            <w:tcBorders>
              <w:top w:val="single" w:color="000000" w:sz="4" w:space="0"/>
              <w:left w:val="nil"/>
              <w:bottom w:val="nil"/>
              <w:right w:val="single" w:color="000000" w:sz="4" w:space="0"/>
            </w:tcBorders>
            <w:noWrap/>
            <w:vAlign w:val="bottom"/>
            <w:hideMark/>
          </w:tcPr>
          <w:p w:rsidRPr="0006020D" w:rsidR="008847CB" w:rsidP="00B33F21" w:rsidRDefault="008847CB">
            <w:pPr>
              <w:spacing w:after="0"/>
              <w:rPr>
                <w:rFonts w:asciiTheme="majorHAnsi" w:hAnsiTheme="majorHAnsi"/>
                <w:szCs w:val="18"/>
              </w:rPr>
            </w:pPr>
          </w:p>
        </w:tc>
      </w:tr>
      <w:tr w:rsidRPr="0006020D" w:rsidR="008847CB" w:rsidTr="00B33F21">
        <w:trPr>
          <w:trHeight w:val="225"/>
        </w:trPr>
        <w:tc>
          <w:tcPr>
            <w:tcW w:w="4680" w:type="dxa"/>
            <w:tcBorders>
              <w:top w:val="single" w:color="000000" w:sz="4" w:space="0"/>
              <w:left w:val="single" w:color="000000" w:sz="4" w:space="0"/>
              <w:bottom w:val="nil"/>
              <w:right w:val="nil"/>
            </w:tcBorders>
            <w:noWrap/>
            <w:vAlign w:val="bottom"/>
            <w:hideMark/>
          </w:tcPr>
          <w:p w:rsidRPr="0006020D" w:rsidR="008847CB" w:rsidP="00B33F21" w:rsidRDefault="008847CB">
            <w:pPr>
              <w:spacing w:after="0" w:line="23" w:lineRule="atLeast"/>
              <w:rPr>
                <w:rFonts w:asciiTheme="majorHAnsi" w:hAnsiTheme="majorHAnsi"/>
                <w:b/>
                <w:bCs/>
                <w:szCs w:val="18"/>
              </w:rPr>
            </w:pPr>
            <w:r w:rsidRPr="0006020D">
              <w:rPr>
                <w:rFonts w:asciiTheme="majorHAnsi" w:hAnsiTheme="majorHAnsi"/>
                <w:b/>
                <w:bCs/>
                <w:szCs w:val="18"/>
              </w:rPr>
              <w:t xml:space="preserve">Regeerakkoord </w:t>
            </w:r>
          </w:p>
        </w:tc>
        <w:tc>
          <w:tcPr>
            <w:tcW w:w="1360" w:type="dxa"/>
            <w:tcBorders>
              <w:top w:val="single" w:color="000000" w:sz="4" w:space="0"/>
              <w:left w:val="nil"/>
              <w:bottom w:val="nil"/>
              <w:right w:val="single" w:color="000000" w:sz="4" w:space="0"/>
            </w:tcBorders>
            <w:noWrap/>
            <w:vAlign w:val="bottom"/>
            <w:hideMark/>
          </w:tcPr>
          <w:p w:rsidRPr="0006020D" w:rsidR="008847CB" w:rsidP="00B33F21" w:rsidRDefault="008847CB">
            <w:pPr>
              <w:spacing w:after="0" w:line="23" w:lineRule="atLeast"/>
              <w:jc w:val="center"/>
              <w:rPr>
                <w:rFonts w:asciiTheme="majorHAnsi" w:hAnsiTheme="majorHAnsi"/>
                <w:b/>
                <w:bCs/>
                <w:szCs w:val="18"/>
              </w:rPr>
            </w:pPr>
            <w:r w:rsidRPr="0006020D">
              <w:rPr>
                <w:rFonts w:asciiTheme="majorHAnsi" w:hAnsiTheme="majorHAnsi"/>
                <w:b/>
                <w:bCs/>
                <w:szCs w:val="18"/>
              </w:rPr>
              <w:t>-6,5</w:t>
            </w:r>
          </w:p>
        </w:tc>
      </w:tr>
      <w:tr w:rsidRPr="0006020D" w:rsidR="008847CB" w:rsidTr="00B33F21">
        <w:trPr>
          <w:trHeight w:val="225"/>
        </w:trPr>
        <w:tc>
          <w:tcPr>
            <w:tcW w:w="4680" w:type="dxa"/>
            <w:tcBorders>
              <w:top w:val="single" w:color="000000" w:sz="4" w:space="0"/>
              <w:left w:val="single" w:color="000000" w:sz="4" w:space="0"/>
              <w:bottom w:val="nil"/>
              <w:right w:val="nil"/>
            </w:tcBorders>
            <w:noWrap/>
            <w:vAlign w:val="bottom"/>
            <w:hideMark/>
          </w:tcPr>
          <w:p w:rsidRPr="0006020D" w:rsidR="008847CB" w:rsidP="00B33F21" w:rsidRDefault="008847CB">
            <w:pPr>
              <w:spacing w:after="0" w:line="23" w:lineRule="atLeast"/>
              <w:rPr>
                <w:rFonts w:asciiTheme="majorHAnsi" w:hAnsiTheme="majorHAnsi"/>
                <w:szCs w:val="18"/>
              </w:rPr>
            </w:pPr>
            <w:r w:rsidRPr="0006020D">
              <w:rPr>
                <w:rFonts w:asciiTheme="majorHAnsi" w:hAnsiTheme="majorHAnsi"/>
                <w:szCs w:val="18"/>
              </w:rPr>
              <w:t>IB-pakket</w:t>
            </w:r>
          </w:p>
        </w:tc>
        <w:tc>
          <w:tcPr>
            <w:tcW w:w="1360" w:type="dxa"/>
            <w:tcBorders>
              <w:top w:val="single" w:color="000000" w:sz="4" w:space="0"/>
              <w:left w:val="nil"/>
              <w:bottom w:val="nil"/>
              <w:right w:val="single" w:color="000000" w:sz="4" w:space="0"/>
            </w:tcBorders>
            <w:noWrap/>
            <w:vAlign w:val="bottom"/>
            <w:hideMark/>
          </w:tcPr>
          <w:p w:rsidRPr="0006020D" w:rsidR="008847CB" w:rsidP="00B33F21" w:rsidRDefault="008847CB">
            <w:pPr>
              <w:spacing w:after="0" w:line="23" w:lineRule="atLeast"/>
              <w:jc w:val="center"/>
              <w:rPr>
                <w:rFonts w:asciiTheme="majorHAnsi" w:hAnsiTheme="majorHAnsi"/>
                <w:szCs w:val="18"/>
              </w:rPr>
            </w:pPr>
            <w:r w:rsidRPr="0006020D">
              <w:rPr>
                <w:rFonts w:asciiTheme="majorHAnsi" w:hAnsiTheme="majorHAnsi"/>
                <w:szCs w:val="18"/>
              </w:rPr>
              <w:t>-5,4</w:t>
            </w:r>
          </w:p>
        </w:tc>
      </w:tr>
      <w:tr w:rsidRPr="0006020D" w:rsidR="008847CB" w:rsidTr="00B33F21">
        <w:trPr>
          <w:trHeight w:val="225"/>
        </w:trPr>
        <w:tc>
          <w:tcPr>
            <w:tcW w:w="4680" w:type="dxa"/>
            <w:tcBorders>
              <w:top w:val="single" w:color="000000" w:sz="4" w:space="0"/>
              <w:left w:val="single" w:color="000000" w:sz="4" w:space="0"/>
              <w:bottom w:val="nil"/>
              <w:right w:val="nil"/>
            </w:tcBorders>
            <w:noWrap/>
            <w:vAlign w:val="bottom"/>
            <w:hideMark/>
          </w:tcPr>
          <w:p w:rsidRPr="0006020D" w:rsidR="008847CB" w:rsidP="00B33F21" w:rsidRDefault="008847CB">
            <w:pPr>
              <w:spacing w:after="0" w:line="23" w:lineRule="atLeast"/>
              <w:rPr>
                <w:rFonts w:asciiTheme="majorHAnsi" w:hAnsiTheme="majorHAnsi"/>
                <w:szCs w:val="18"/>
              </w:rPr>
            </w:pPr>
            <w:r w:rsidRPr="0006020D">
              <w:rPr>
                <w:rFonts w:asciiTheme="majorHAnsi" w:hAnsiTheme="majorHAnsi"/>
                <w:szCs w:val="18"/>
              </w:rPr>
              <w:t>w.v. box 1 maatregelen</w:t>
            </w:r>
          </w:p>
        </w:tc>
        <w:tc>
          <w:tcPr>
            <w:tcW w:w="1360" w:type="dxa"/>
            <w:tcBorders>
              <w:top w:val="single" w:color="000000" w:sz="4" w:space="0"/>
              <w:left w:val="nil"/>
              <w:bottom w:val="nil"/>
              <w:right w:val="single" w:color="000000" w:sz="4" w:space="0"/>
            </w:tcBorders>
            <w:noWrap/>
            <w:vAlign w:val="bottom"/>
            <w:hideMark/>
          </w:tcPr>
          <w:p w:rsidRPr="0006020D" w:rsidR="008847CB" w:rsidP="00B33F21" w:rsidRDefault="008847CB">
            <w:pPr>
              <w:spacing w:after="0" w:line="23" w:lineRule="atLeast"/>
              <w:jc w:val="center"/>
              <w:rPr>
                <w:rFonts w:asciiTheme="majorHAnsi" w:hAnsiTheme="majorHAnsi"/>
                <w:szCs w:val="18"/>
              </w:rPr>
            </w:pPr>
            <w:r w:rsidRPr="0006020D">
              <w:rPr>
                <w:rFonts w:asciiTheme="majorHAnsi" w:hAnsiTheme="majorHAnsi"/>
                <w:szCs w:val="18"/>
              </w:rPr>
              <w:t>-9,4</w:t>
            </w:r>
          </w:p>
        </w:tc>
      </w:tr>
      <w:tr w:rsidRPr="0006020D" w:rsidR="008847CB" w:rsidTr="00B33F21">
        <w:trPr>
          <w:trHeight w:val="225"/>
        </w:trPr>
        <w:tc>
          <w:tcPr>
            <w:tcW w:w="4680" w:type="dxa"/>
            <w:tcBorders>
              <w:top w:val="single" w:color="000000" w:sz="4" w:space="0"/>
              <w:left w:val="single" w:color="000000" w:sz="4" w:space="0"/>
              <w:bottom w:val="nil"/>
              <w:right w:val="nil"/>
            </w:tcBorders>
            <w:noWrap/>
            <w:vAlign w:val="bottom"/>
            <w:hideMark/>
          </w:tcPr>
          <w:p w:rsidRPr="0006020D" w:rsidR="008847CB" w:rsidP="00B33F21" w:rsidRDefault="008847CB">
            <w:pPr>
              <w:spacing w:after="0" w:line="23" w:lineRule="atLeast"/>
              <w:rPr>
                <w:rFonts w:asciiTheme="majorHAnsi" w:hAnsiTheme="majorHAnsi"/>
                <w:szCs w:val="18"/>
              </w:rPr>
            </w:pPr>
            <w:r w:rsidRPr="0006020D">
              <w:rPr>
                <w:rFonts w:asciiTheme="majorHAnsi" w:hAnsiTheme="majorHAnsi"/>
                <w:szCs w:val="18"/>
              </w:rPr>
              <w:t>w.v. vergroening burgers</w:t>
            </w:r>
          </w:p>
        </w:tc>
        <w:tc>
          <w:tcPr>
            <w:tcW w:w="1360" w:type="dxa"/>
            <w:tcBorders>
              <w:top w:val="single" w:color="000000" w:sz="4" w:space="0"/>
              <w:left w:val="nil"/>
              <w:bottom w:val="nil"/>
              <w:right w:val="single" w:color="000000" w:sz="4" w:space="0"/>
            </w:tcBorders>
            <w:noWrap/>
            <w:vAlign w:val="bottom"/>
            <w:hideMark/>
          </w:tcPr>
          <w:p w:rsidRPr="0006020D" w:rsidR="008847CB" w:rsidP="00B33F21" w:rsidRDefault="008847CB">
            <w:pPr>
              <w:spacing w:after="0" w:line="23" w:lineRule="atLeast"/>
              <w:jc w:val="center"/>
              <w:rPr>
                <w:rFonts w:asciiTheme="majorHAnsi" w:hAnsiTheme="majorHAnsi"/>
                <w:szCs w:val="18"/>
              </w:rPr>
            </w:pPr>
            <w:r w:rsidRPr="0006020D">
              <w:rPr>
                <w:rFonts w:asciiTheme="majorHAnsi" w:hAnsiTheme="majorHAnsi"/>
                <w:szCs w:val="18"/>
              </w:rPr>
              <w:t>1</w:t>
            </w:r>
          </w:p>
        </w:tc>
      </w:tr>
      <w:tr w:rsidRPr="0006020D" w:rsidR="008847CB" w:rsidTr="00B33F21">
        <w:trPr>
          <w:trHeight w:val="225"/>
        </w:trPr>
        <w:tc>
          <w:tcPr>
            <w:tcW w:w="4680" w:type="dxa"/>
            <w:tcBorders>
              <w:top w:val="single" w:color="000000" w:sz="4" w:space="0"/>
              <w:left w:val="single" w:color="000000" w:sz="4" w:space="0"/>
              <w:bottom w:val="nil"/>
              <w:right w:val="nil"/>
            </w:tcBorders>
            <w:noWrap/>
            <w:vAlign w:val="bottom"/>
            <w:hideMark/>
          </w:tcPr>
          <w:p w:rsidRPr="0006020D" w:rsidR="008847CB" w:rsidP="00B33F21" w:rsidRDefault="008847CB">
            <w:pPr>
              <w:spacing w:after="0" w:line="23" w:lineRule="atLeast"/>
              <w:rPr>
                <w:rFonts w:asciiTheme="majorHAnsi" w:hAnsiTheme="majorHAnsi"/>
                <w:szCs w:val="18"/>
              </w:rPr>
            </w:pPr>
            <w:r w:rsidRPr="0006020D">
              <w:rPr>
                <w:rFonts w:asciiTheme="majorHAnsi" w:hAnsiTheme="majorHAnsi"/>
                <w:szCs w:val="18"/>
              </w:rPr>
              <w:t>w.v. overige lasten</w:t>
            </w:r>
          </w:p>
        </w:tc>
        <w:tc>
          <w:tcPr>
            <w:tcW w:w="1360" w:type="dxa"/>
            <w:tcBorders>
              <w:top w:val="single" w:color="000000" w:sz="4" w:space="0"/>
              <w:left w:val="nil"/>
              <w:bottom w:val="nil"/>
              <w:right w:val="single" w:color="000000" w:sz="4" w:space="0"/>
            </w:tcBorders>
            <w:noWrap/>
            <w:vAlign w:val="bottom"/>
            <w:hideMark/>
          </w:tcPr>
          <w:p w:rsidRPr="0006020D" w:rsidR="008847CB" w:rsidP="00B33F21" w:rsidRDefault="008847CB">
            <w:pPr>
              <w:spacing w:after="0" w:line="23" w:lineRule="atLeast"/>
              <w:jc w:val="center"/>
              <w:rPr>
                <w:rFonts w:asciiTheme="majorHAnsi" w:hAnsiTheme="majorHAnsi"/>
                <w:szCs w:val="18"/>
              </w:rPr>
            </w:pPr>
            <w:r w:rsidRPr="0006020D">
              <w:rPr>
                <w:rFonts w:asciiTheme="majorHAnsi" w:hAnsiTheme="majorHAnsi"/>
                <w:szCs w:val="18"/>
              </w:rPr>
              <w:t>3</w:t>
            </w:r>
          </w:p>
        </w:tc>
      </w:tr>
      <w:tr w:rsidRPr="0006020D" w:rsidR="008847CB" w:rsidTr="00B33F21">
        <w:trPr>
          <w:trHeight w:val="225"/>
        </w:trPr>
        <w:tc>
          <w:tcPr>
            <w:tcW w:w="4680" w:type="dxa"/>
            <w:tcBorders>
              <w:top w:val="single" w:color="000000" w:sz="4" w:space="0"/>
              <w:left w:val="single" w:color="000000" w:sz="4" w:space="0"/>
              <w:bottom w:val="nil"/>
              <w:right w:val="nil"/>
            </w:tcBorders>
            <w:noWrap/>
            <w:vAlign w:val="bottom"/>
            <w:hideMark/>
          </w:tcPr>
          <w:p w:rsidRPr="0006020D" w:rsidR="008847CB" w:rsidP="00B33F21" w:rsidRDefault="008847CB">
            <w:pPr>
              <w:spacing w:after="0" w:line="23" w:lineRule="atLeast"/>
              <w:rPr>
                <w:rFonts w:asciiTheme="majorHAnsi" w:hAnsiTheme="majorHAnsi"/>
                <w:szCs w:val="18"/>
              </w:rPr>
            </w:pPr>
            <w:r w:rsidRPr="0006020D">
              <w:rPr>
                <w:rFonts w:asciiTheme="majorHAnsi" w:hAnsiTheme="majorHAnsi"/>
                <w:szCs w:val="18"/>
              </w:rPr>
              <w:t>Pakket bedrijfsleven</w:t>
            </w:r>
          </w:p>
        </w:tc>
        <w:tc>
          <w:tcPr>
            <w:tcW w:w="1360" w:type="dxa"/>
            <w:tcBorders>
              <w:top w:val="single" w:color="000000" w:sz="4" w:space="0"/>
              <w:left w:val="nil"/>
              <w:bottom w:val="nil"/>
              <w:right w:val="single" w:color="000000" w:sz="4" w:space="0"/>
            </w:tcBorders>
            <w:noWrap/>
            <w:vAlign w:val="bottom"/>
            <w:hideMark/>
          </w:tcPr>
          <w:p w:rsidRPr="0006020D" w:rsidR="008847CB" w:rsidP="00B33F21" w:rsidRDefault="008847CB">
            <w:pPr>
              <w:spacing w:after="0" w:line="23" w:lineRule="atLeast"/>
              <w:jc w:val="center"/>
              <w:rPr>
                <w:rFonts w:asciiTheme="majorHAnsi" w:hAnsiTheme="majorHAnsi"/>
                <w:szCs w:val="18"/>
              </w:rPr>
            </w:pPr>
            <w:r w:rsidRPr="0006020D">
              <w:rPr>
                <w:rFonts w:asciiTheme="majorHAnsi" w:hAnsiTheme="majorHAnsi"/>
                <w:szCs w:val="18"/>
              </w:rPr>
              <w:t>-2,2</w:t>
            </w:r>
          </w:p>
        </w:tc>
      </w:tr>
      <w:tr w:rsidRPr="0006020D" w:rsidR="008847CB" w:rsidTr="00B33F21">
        <w:trPr>
          <w:trHeight w:val="225"/>
        </w:trPr>
        <w:tc>
          <w:tcPr>
            <w:tcW w:w="4680" w:type="dxa"/>
            <w:tcBorders>
              <w:top w:val="single" w:color="000000" w:sz="4" w:space="0"/>
              <w:left w:val="single" w:color="000000" w:sz="4" w:space="0"/>
              <w:bottom w:val="nil"/>
              <w:right w:val="nil"/>
            </w:tcBorders>
            <w:noWrap/>
            <w:vAlign w:val="bottom"/>
            <w:hideMark/>
          </w:tcPr>
          <w:p w:rsidRPr="0006020D" w:rsidR="008847CB" w:rsidP="00B33F21" w:rsidRDefault="008847CB">
            <w:pPr>
              <w:spacing w:after="0" w:line="23" w:lineRule="atLeast"/>
              <w:rPr>
                <w:rFonts w:asciiTheme="majorHAnsi" w:hAnsiTheme="majorHAnsi"/>
                <w:szCs w:val="18"/>
              </w:rPr>
            </w:pPr>
            <w:r w:rsidRPr="0006020D">
              <w:rPr>
                <w:rFonts w:asciiTheme="majorHAnsi" w:hAnsiTheme="majorHAnsi"/>
                <w:szCs w:val="18"/>
              </w:rPr>
              <w:t>Milieupakket bedrijven</w:t>
            </w:r>
          </w:p>
        </w:tc>
        <w:tc>
          <w:tcPr>
            <w:tcW w:w="1360" w:type="dxa"/>
            <w:tcBorders>
              <w:top w:val="single" w:color="000000" w:sz="4" w:space="0"/>
              <w:left w:val="nil"/>
              <w:bottom w:val="nil"/>
              <w:right w:val="single" w:color="000000" w:sz="4" w:space="0"/>
            </w:tcBorders>
            <w:noWrap/>
            <w:vAlign w:val="bottom"/>
            <w:hideMark/>
          </w:tcPr>
          <w:p w:rsidRPr="0006020D" w:rsidR="008847CB" w:rsidP="00B33F21" w:rsidRDefault="008847CB">
            <w:pPr>
              <w:spacing w:after="0" w:line="23" w:lineRule="atLeast"/>
              <w:jc w:val="center"/>
              <w:rPr>
                <w:rFonts w:asciiTheme="majorHAnsi" w:hAnsiTheme="majorHAnsi"/>
                <w:szCs w:val="18"/>
              </w:rPr>
            </w:pPr>
            <w:r w:rsidRPr="0006020D">
              <w:rPr>
                <w:rFonts w:asciiTheme="majorHAnsi" w:hAnsiTheme="majorHAnsi"/>
                <w:szCs w:val="18"/>
              </w:rPr>
              <w:t>0,4</w:t>
            </w:r>
          </w:p>
        </w:tc>
      </w:tr>
      <w:tr w:rsidRPr="0006020D" w:rsidR="008847CB" w:rsidTr="00B33F21">
        <w:trPr>
          <w:trHeight w:val="225"/>
        </w:trPr>
        <w:tc>
          <w:tcPr>
            <w:tcW w:w="4680" w:type="dxa"/>
            <w:tcBorders>
              <w:top w:val="single" w:color="000000" w:sz="4" w:space="0"/>
              <w:left w:val="single" w:color="000000" w:sz="4" w:space="0"/>
              <w:bottom w:val="nil"/>
              <w:right w:val="nil"/>
            </w:tcBorders>
            <w:noWrap/>
            <w:vAlign w:val="bottom"/>
            <w:hideMark/>
          </w:tcPr>
          <w:p w:rsidRPr="0006020D" w:rsidR="008847CB" w:rsidP="00B33F21" w:rsidRDefault="008847CB">
            <w:pPr>
              <w:spacing w:after="0" w:line="23" w:lineRule="atLeast"/>
              <w:rPr>
                <w:rFonts w:asciiTheme="majorHAnsi" w:hAnsiTheme="majorHAnsi"/>
                <w:szCs w:val="18"/>
              </w:rPr>
            </w:pPr>
            <w:r w:rsidRPr="0006020D">
              <w:rPr>
                <w:rFonts w:asciiTheme="majorHAnsi" w:hAnsiTheme="majorHAnsi"/>
                <w:szCs w:val="18"/>
              </w:rPr>
              <w:t>Lastenmaatregelen in uitgavenpakketten</w:t>
            </w:r>
          </w:p>
        </w:tc>
        <w:tc>
          <w:tcPr>
            <w:tcW w:w="1360" w:type="dxa"/>
            <w:tcBorders>
              <w:top w:val="single" w:color="000000" w:sz="4" w:space="0"/>
              <w:left w:val="nil"/>
              <w:bottom w:val="nil"/>
              <w:right w:val="single" w:color="000000" w:sz="4" w:space="0"/>
            </w:tcBorders>
            <w:noWrap/>
            <w:vAlign w:val="bottom"/>
            <w:hideMark/>
          </w:tcPr>
          <w:p w:rsidRPr="0006020D" w:rsidR="008847CB" w:rsidP="00B33F21" w:rsidRDefault="008847CB">
            <w:pPr>
              <w:spacing w:after="0" w:line="23" w:lineRule="atLeast"/>
              <w:jc w:val="center"/>
              <w:rPr>
                <w:rFonts w:asciiTheme="majorHAnsi" w:hAnsiTheme="majorHAnsi"/>
                <w:szCs w:val="18"/>
              </w:rPr>
            </w:pPr>
            <w:r w:rsidRPr="0006020D">
              <w:rPr>
                <w:rFonts w:asciiTheme="majorHAnsi" w:hAnsiTheme="majorHAnsi"/>
                <w:szCs w:val="18"/>
              </w:rPr>
              <w:t>0,7</w:t>
            </w:r>
          </w:p>
        </w:tc>
      </w:tr>
      <w:tr w:rsidRPr="0006020D" w:rsidR="008847CB" w:rsidTr="00B33F21">
        <w:trPr>
          <w:trHeight w:val="285"/>
        </w:trPr>
        <w:tc>
          <w:tcPr>
            <w:tcW w:w="4680" w:type="dxa"/>
            <w:tcBorders>
              <w:top w:val="single" w:color="000000" w:sz="4" w:space="0"/>
              <w:left w:val="single" w:color="000000" w:sz="4" w:space="0"/>
              <w:bottom w:val="nil"/>
              <w:right w:val="nil"/>
            </w:tcBorders>
            <w:noWrap/>
            <w:vAlign w:val="bottom"/>
            <w:hideMark/>
          </w:tcPr>
          <w:p w:rsidRPr="0006020D" w:rsidR="008847CB" w:rsidP="00B33F21" w:rsidRDefault="008847CB">
            <w:pPr>
              <w:spacing w:after="0"/>
              <w:rPr>
                <w:rFonts w:asciiTheme="majorHAnsi" w:hAnsiTheme="majorHAnsi"/>
                <w:szCs w:val="18"/>
              </w:rPr>
            </w:pPr>
          </w:p>
        </w:tc>
        <w:tc>
          <w:tcPr>
            <w:tcW w:w="1360" w:type="dxa"/>
            <w:tcBorders>
              <w:top w:val="single" w:color="000000" w:sz="4" w:space="0"/>
              <w:left w:val="nil"/>
              <w:bottom w:val="nil"/>
              <w:right w:val="single" w:color="000000" w:sz="4" w:space="0"/>
            </w:tcBorders>
            <w:noWrap/>
            <w:vAlign w:val="bottom"/>
            <w:hideMark/>
          </w:tcPr>
          <w:p w:rsidRPr="0006020D" w:rsidR="008847CB" w:rsidP="00B33F21" w:rsidRDefault="008847CB">
            <w:pPr>
              <w:spacing w:after="0"/>
              <w:rPr>
                <w:rFonts w:asciiTheme="majorHAnsi" w:hAnsiTheme="majorHAnsi"/>
                <w:szCs w:val="18"/>
              </w:rPr>
            </w:pPr>
          </w:p>
        </w:tc>
      </w:tr>
      <w:tr w:rsidRPr="0006020D" w:rsidR="008847CB" w:rsidTr="00B33F21">
        <w:trPr>
          <w:trHeight w:val="420"/>
        </w:trPr>
        <w:tc>
          <w:tcPr>
            <w:tcW w:w="4680" w:type="dxa"/>
            <w:tcBorders>
              <w:top w:val="single" w:color="000000" w:sz="4" w:space="0"/>
              <w:left w:val="single" w:color="000000" w:sz="4" w:space="0"/>
              <w:bottom w:val="nil"/>
              <w:right w:val="nil"/>
            </w:tcBorders>
            <w:vAlign w:val="bottom"/>
            <w:hideMark/>
          </w:tcPr>
          <w:p w:rsidRPr="0006020D" w:rsidR="008847CB" w:rsidP="00B33F21" w:rsidRDefault="008847CB">
            <w:pPr>
              <w:spacing w:after="0" w:line="23" w:lineRule="atLeast"/>
              <w:rPr>
                <w:rFonts w:asciiTheme="majorHAnsi" w:hAnsiTheme="majorHAnsi"/>
                <w:b/>
                <w:bCs/>
                <w:szCs w:val="18"/>
              </w:rPr>
            </w:pPr>
            <w:r w:rsidRPr="0006020D">
              <w:rPr>
                <w:rFonts w:asciiTheme="majorHAnsi" w:hAnsiTheme="majorHAnsi"/>
                <w:b/>
                <w:bCs/>
                <w:szCs w:val="18"/>
              </w:rPr>
              <w:t>Doorwerking Regeerakkoord op zorgpremies en compensatie</w:t>
            </w:r>
          </w:p>
        </w:tc>
        <w:tc>
          <w:tcPr>
            <w:tcW w:w="1360" w:type="dxa"/>
            <w:tcBorders>
              <w:top w:val="single" w:color="000000" w:sz="4" w:space="0"/>
              <w:left w:val="nil"/>
              <w:bottom w:val="nil"/>
              <w:right w:val="single" w:color="000000" w:sz="4" w:space="0"/>
            </w:tcBorders>
            <w:noWrap/>
            <w:vAlign w:val="bottom"/>
            <w:hideMark/>
          </w:tcPr>
          <w:p w:rsidRPr="0006020D" w:rsidR="008847CB" w:rsidP="00B33F21" w:rsidRDefault="008847CB">
            <w:pPr>
              <w:spacing w:after="0" w:line="23" w:lineRule="atLeast"/>
              <w:jc w:val="center"/>
              <w:rPr>
                <w:rFonts w:asciiTheme="majorHAnsi" w:hAnsiTheme="majorHAnsi"/>
                <w:b/>
                <w:bCs/>
                <w:szCs w:val="18"/>
              </w:rPr>
            </w:pPr>
            <w:r w:rsidRPr="0006020D">
              <w:rPr>
                <w:rFonts w:asciiTheme="majorHAnsi" w:hAnsiTheme="majorHAnsi"/>
                <w:b/>
                <w:bCs/>
                <w:szCs w:val="18"/>
              </w:rPr>
              <w:t>0,8</w:t>
            </w:r>
          </w:p>
        </w:tc>
      </w:tr>
      <w:tr w:rsidRPr="0006020D" w:rsidR="008847CB" w:rsidTr="00B33F21">
        <w:trPr>
          <w:trHeight w:val="225"/>
        </w:trPr>
        <w:tc>
          <w:tcPr>
            <w:tcW w:w="4680" w:type="dxa"/>
            <w:tcBorders>
              <w:top w:val="single" w:color="000000" w:sz="4" w:space="0"/>
              <w:left w:val="single" w:color="000000" w:sz="4" w:space="0"/>
              <w:bottom w:val="nil"/>
              <w:right w:val="nil"/>
            </w:tcBorders>
            <w:noWrap/>
            <w:vAlign w:val="bottom"/>
            <w:hideMark/>
          </w:tcPr>
          <w:p w:rsidRPr="0006020D" w:rsidR="008847CB" w:rsidP="00B33F21" w:rsidRDefault="008847CB">
            <w:pPr>
              <w:spacing w:after="0" w:line="23" w:lineRule="atLeast"/>
              <w:rPr>
                <w:rFonts w:asciiTheme="majorHAnsi" w:hAnsiTheme="majorHAnsi"/>
                <w:szCs w:val="18"/>
              </w:rPr>
            </w:pPr>
            <w:r w:rsidRPr="0006020D">
              <w:rPr>
                <w:rFonts w:asciiTheme="majorHAnsi" w:hAnsiTheme="majorHAnsi"/>
                <w:szCs w:val="18"/>
              </w:rPr>
              <w:t>Zorgpremies</w:t>
            </w:r>
          </w:p>
        </w:tc>
        <w:tc>
          <w:tcPr>
            <w:tcW w:w="1360" w:type="dxa"/>
            <w:tcBorders>
              <w:top w:val="single" w:color="000000" w:sz="4" w:space="0"/>
              <w:left w:val="nil"/>
              <w:bottom w:val="nil"/>
              <w:right w:val="single" w:color="000000" w:sz="4" w:space="0"/>
            </w:tcBorders>
            <w:noWrap/>
            <w:vAlign w:val="bottom"/>
            <w:hideMark/>
          </w:tcPr>
          <w:p w:rsidRPr="0006020D" w:rsidR="008847CB" w:rsidP="00B33F21" w:rsidRDefault="008847CB">
            <w:pPr>
              <w:spacing w:after="0" w:line="23" w:lineRule="atLeast"/>
              <w:jc w:val="center"/>
              <w:rPr>
                <w:rFonts w:asciiTheme="majorHAnsi" w:hAnsiTheme="majorHAnsi"/>
                <w:szCs w:val="18"/>
              </w:rPr>
            </w:pPr>
            <w:r w:rsidRPr="0006020D">
              <w:rPr>
                <w:rFonts w:asciiTheme="majorHAnsi" w:hAnsiTheme="majorHAnsi"/>
                <w:szCs w:val="18"/>
              </w:rPr>
              <w:t>-0,9</w:t>
            </w:r>
          </w:p>
        </w:tc>
      </w:tr>
      <w:tr w:rsidRPr="0006020D" w:rsidR="008847CB" w:rsidTr="00B33F21">
        <w:trPr>
          <w:trHeight w:val="225"/>
        </w:trPr>
        <w:tc>
          <w:tcPr>
            <w:tcW w:w="4680" w:type="dxa"/>
            <w:tcBorders>
              <w:top w:val="single" w:color="000000" w:sz="4" w:space="0"/>
              <w:left w:val="single" w:color="000000" w:sz="4" w:space="0"/>
              <w:bottom w:val="nil"/>
              <w:right w:val="nil"/>
            </w:tcBorders>
            <w:noWrap/>
            <w:vAlign w:val="bottom"/>
            <w:hideMark/>
          </w:tcPr>
          <w:p w:rsidRPr="0006020D" w:rsidR="008847CB" w:rsidP="00B33F21" w:rsidRDefault="008847CB">
            <w:pPr>
              <w:spacing w:after="0" w:line="23" w:lineRule="atLeast"/>
              <w:rPr>
                <w:rFonts w:asciiTheme="majorHAnsi" w:hAnsiTheme="majorHAnsi"/>
                <w:szCs w:val="18"/>
              </w:rPr>
            </w:pPr>
            <w:r w:rsidRPr="0006020D">
              <w:rPr>
                <w:rFonts w:asciiTheme="majorHAnsi" w:hAnsiTheme="majorHAnsi"/>
                <w:szCs w:val="18"/>
              </w:rPr>
              <w:t>Compensatie zorgpremies</w:t>
            </w:r>
          </w:p>
        </w:tc>
        <w:tc>
          <w:tcPr>
            <w:tcW w:w="1360" w:type="dxa"/>
            <w:tcBorders>
              <w:top w:val="single" w:color="000000" w:sz="4" w:space="0"/>
              <w:left w:val="nil"/>
              <w:bottom w:val="nil"/>
              <w:right w:val="single" w:color="000000" w:sz="4" w:space="0"/>
            </w:tcBorders>
            <w:noWrap/>
            <w:vAlign w:val="bottom"/>
            <w:hideMark/>
          </w:tcPr>
          <w:p w:rsidRPr="0006020D" w:rsidR="008847CB" w:rsidP="00B33F21" w:rsidRDefault="008847CB">
            <w:pPr>
              <w:spacing w:after="0" w:line="23" w:lineRule="atLeast"/>
              <w:jc w:val="center"/>
              <w:rPr>
                <w:rFonts w:asciiTheme="majorHAnsi" w:hAnsiTheme="majorHAnsi"/>
                <w:szCs w:val="18"/>
              </w:rPr>
            </w:pPr>
            <w:r w:rsidRPr="0006020D">
              <w:rPr>
                <w:rFonts w:asciiTheme="majorHAnsi" w:hAnsiTheme="majorHAnsi"/>
                <w:szCs w:val="18"/>
              </w:rPr>
              <w:t>1,7</w:t>
            </w:r>
          </w:p>
        </w:tc>
      </w:tr>
      <w:tr w:rsidRPr="0006020D" w:rsidR="008847CB" w:rsidTr="00B33F21">
        <w:trPr>
          <w:trHeight w:val="285"/>
        </w:trPr>
        <w:tc>
          <w:tcPr>
            <w:tcW w:w="4680" w:type="dxa"/>
            <w:tcBorders>
              <w:top w:val="single" w:color="000000" w:sz="4" w:space="0"/>
              <w:left w:val="single" w:color="000000" w:sz="4" w:space="0"/>
              <w:bottom w:val="nil"/>
              <w:right w:val="nil"/>
            </w:tcBorders>
            <w:noWrap/>
            <w:vAlign w:val="bottom"/>
            <w:hideMark/>
          </w:tcPr>
          <w:p w:rsidRPr="0006020D" w:rsidR="008847CB" w:rsidP="00B33F21" w:rsidRDefault="008847CB">
            <w:pPr>
              <w:spacing w:after="0"/>
              <w:rPr>
                <w:rFonts w:asciiTheme="majorHAnsi" w:hAnsiTheme="majorHAnsi"/>
                <w:szCs w:val="18"/>
              </w:rPr>
            </w:pPr>
          </w:p>
        </w:tc>
        <w:tc>
          <w:tcPr>
            <w:tcW w:w="1360" w:type="dxa"/>
            <w:tcBorders>
              <w:top w:val="single" w:color="000000" w:sz="4" w:space="0"/>
              <w:left w:val="nil"/>
              <w:bottom w:val="nil"/>
              <w:right w:val="single" w:color="000000" w:sz="4" w:space="0"/>
            </w:tcBorders>
            <w:noWrap/>
            <w:vAlign w:val="bottom"/>
            <w:hideMark/>
          </w:tcPr>
          <w:p w:rsidRPr="0006020D" w:rsidR="008847CB" w:rsidP="00B33F21" w:rsidRDefault="008847CB">
            <w:pPr>
              <w:spacing w:after="0"/>
              <w:rPr>
                <w:rFonts w:asciiTheme="majorHAnsi" w:hAnsiTheme="majorHAnsi"/>
                <w:szCs w:val="18"/>
              </w:rPr>
            </w:pPr>
          </w:p>
        </w:tc>
      </w:tr>
      <w:tr w:rsidRPr="0006020D" w:rsidR="008847CB" w:rsidTr="00B33F21">
        <w:trPr>
          <w:trHeight w:val="225"/>
        </w:trPr>
        <w:tc>
          <w:tcPr>
            <w:tcW w:w="4680" w:type="dxa"/>
            <w:tcBorders>
              <w:top w:val="single" w:color="000000" w:sz="4" w:space="0"/>
              <w:left w:val="single" w:color="000000" w:sz="4" w:space="0"/>
              <w:bottom w:val="single" w:color="000000" w:sz="4" w:space="0"/>
              <w:right w:val="nil"/>
            </w:tcBorders>
            <w:noWrap/>
            <w:vAlign w:val="bottom"/>
            <w:hideMark/>
          </w:tcPr>
          <w:p w:rsidRPr="0006020D" w:rsidR="008847CB" w:rsidP="00B33F21" w:rsidRDefault="008847CB">
            <w:pPr>
              <w:spacing w:after="0" w:line="23" w:lineRule="atLeast"/>
              <w:rPr>
                <w:rFonts w:asciiTheme="majorHAnsi" w:hAnsiTheme="majorHAnsi"/>
                <w:b/>
                <w:bCs/>
                <w:szCs w:val="18"/>
              </w:rPr>
            </w:pPr>
            <w:r w:rsidRPr="0006020D">
              <w:rPr>
                <w:rFonts w:asciiTheme="majorHAnsi" w:hAnsiTheme="majorHAnsi"/>
                <w:b/>
                <w:bCs/>
                <w:szCs w:val="18"/>
              </w:rPr>
              <w:t>Totaal</w:t>
            </w:r>
          </w:p>
        </w:tc>
        <w:tc>
          <w:tcPr>
            <w:tcW w:w="1360" w:type="dxa"/>
            <w:tcBorders>
              <w:top w:val="single" w:color="000000" w:sz="4" w:space="0"/>
              <w:left w:val="nil"/>
              <w:bottom w:val="single" w:color="000000" w:sz="4" w:space="0"/>
              <w:right w:val="single" w:color="000000" w:sz="4" w:space="0"/>
            </w:tcBorders>
            <w:noWrap/>
            <w:vAlign w:val="bottom"/>
            <w:hideMark/>
          </w:tcPr>
          <w:p w:rsidRPr="0006020D" w:rsidR="008847CB" w:rsidP="00B33F21" w:rsidRDefault="008847CB">
            <w:pPr>
              <w:spacing w:after="0" w:line="23" w:lineRule="atLeast"/>
              <w:jc w:val="center"/>
              <w:rPr>
                <w:rFonts w:asciiTheme="majorHAnsi" w:hAnsiTheme="majorHAnsi"/>
                <w:b/>
                <w:bCs/>
                <w:szCs w:val="18"/>
              </w:rPr>
            </w:pPr>
            <w:r w:rsidRPr="0006020D">
              <w:rPr>
                <w:rFonts w:asciiTheme="majorHAnsi" w:hAnsiTheme="majorHAnsi"/>
                <w:b/>
                <w:bCs/>
                <w:szCs w:val="18"/>
              </w:rPr>
              <w:t>3,4</w:t>
            </w:r>
          </w:p>
        </w:tc>
      </w:tr>
      <w:tr w:rsidRPr="0006020D" w:rsidR="008847CB" w:rsidTr="00B33F21">
        <w:trPr>
          <w:trHeight w:val="225"/>
        </w:trPr>
        <w:tc>
          <w:tcPr>
            <w:tcW w:w="4680" w:type="dxa"/>
            <w:tcBorders>
              <w:top w:val="single" w:color="000000" w:sz="4" w:space="0"/>
              <w:left w:val="single" w:color="000000" w:sz="4" w:space="0"/>
              <w:bottom w:val="single" w:color="000000" w:sz="4" w:space="0"/>
              <w:right w:val="nil"/>
            </w:tcBorders>
            <w:noWrap/>
            <w:vAlign w:val="bottom"/>
            <w:hideMark/>
          </w:tcPr>
          <w:p w:rsidRPr="0006020D" w:rsidR="008847CB" w:rsidP="00B33F21" w:rsidRDefault="008847CB">
            <w:pPr>
              <w:spacing w:after="0" w:line="23" w:lineRule="atLeast"/>
              <w:rPr>
                <w:rFonts w:asciiTheme="majorHAnsi" w:hAnsiTheme="majorHAnsi"/>
                <w:bCs/>
                <w:i/>
                <w:szCs w:val="18"/>
              </w:rPr>
            </w:pPr>
            <w:r w:rsidRPr="0006020D">
              <w:rPr>
                <w:rFonts w:asciiTheme="majorHAnsi" w:hAnsiTheme="majorHAnsi"/>
                <w:bCs/>
                <w:i/>
                <w:szCs w:val="18"/>
              </w:rPr>
              <w:t>w.v. burgers</w:t>
            </w:r>
          </w:p>
        </w:tc>
        <w:tc>
          <w:tcPr>
            <w:tcW w:w="1360" w:type="dxa"/>
            <w:tcBorders>
              <w:top w:val="single" w:color="000000" w:sz="4" w:space="0"/>
              <w:left w:val="nil"/>
              <w:bottom w:val="single" w:color="000000" w:sz="4" w:space="0"/>
              <w:right w:val="single" w:color="000000" w:sz="4" w:space="0"/>
            </w:tcBorders>
            <w:noWrap/>
            <w:vAlign w:val="bottom"/>
            <w:hideMark/>
          </w:tcPr>
          <w:p w:rsidRPr="0006020D" w:rsidR="008847CB" w:rsidP="00B33F21" w:rsidRDefault="008847CB">
            <w:pPr>
              <w:spacing w:after="0" w:line="23" w:lineRule="atLeast"/>
              <w:jc w:val="center"/>
              <w:rPr>
                <w:rFonts w:asciiTheme="majorHAnsi" w:hAnsiTheme="majorHAnsi"/>
                <w:bCs/>
                <w:i/>
                <w:szCs w:val="18"/>
              </w:rPr>
            </w:pPr>
            <w:r w:rsidRPr="0006020D">
              <w:rPr>
                <w:rFonts w:asciiTheme="majorHAnsi" w:hAnsiTheme="majorHAnsi"/>
                <w:bCs/>
                <w:i/>
                <w:szCs w:val="18"/>
              </w:rPr>
              <w:t>0,0</w:t>
            </w:r>
          </w:p>
        </w:tc>
      </w:tr>
      <w:tr w:rsidRPr="0006020D" w:rsidR="008847CB" w:rsidTr="00B33F21">
        <w:trPr>
          <w:trHeight w:val="225"/>
        </w:trPr>
        <w:tc>
          <w:tcPr>
            <w:tcW w:w="4680" w:type="dxa"/>
            <w:tcBorders>
              <w:top w:val="single" w:color="000000" w:sz="4" w:space="0"/>
              <w:left w:val="single" w:color="000000" w:sz="4" w:space="0"/>
              <w:bottom w:val="single" w:color="auto" w:sz="8" w:space="0"/>
              <w:right w:val="nil"/>
            </w:tcBorders>
            <w:noWrap/>
            <w:vAlign w:val="bottom"/>
            <w:hideMark/>
          </w:tcPr>
          <w:p w:rsidRPr="0006020D" w:rsidR="008847CB" w:rsidP="00B33F21" w:rsidRDefault="008847CB">
            <w:pPr>
              <w:spacing w:after="0" w:line="23" w:lineRule="atLeast"/>
              <w:rPr>
                <w:rFonts w:asciiTheme="majorHAnsi" w:hAnsiTheme="majorHAnsi"/>
                <w:bCs/>
                <w:i/>
                <w:szCs w:val="18"/>
              </w:rPr>
            </w:pPr>
            <w:r w:rsidRPr="0006020D">
              <w:rPr>
                <w:rFonts w:asciiTheme="majorHAnsi" w:hAnsiTheme="majorHAnsi"/>
                <w:bCs/>
                <w:i/>
                <w:szCs w:val="18"/>
              </w:rPr>
              <w:t>w.v. bedrijven</w:t>
            </w:r>
          </w:p>
        </w:tc>
        <w:tc>
          <w:tcPr>
            <w:tcW w:w="1360" w:type="dxa"/>
            <w:tcBorders>
              <w:top w:val="single" w:color="000000" w:sz="4" w:space="0"/>
              <w:left w:val="nil"/>
              <w:bottom w:val="single" w:color="auto" w:sz="8" w:space="0"/>
              <w:right w:val="single" w:color="000000" w:sz="4" w:space="0"/>
            </w:tcBorders>
            <w:noWrap/>
            <w:vAlign w:val="bottom"/>
            <w:hideMark/>
          </w:tcPr>
          <w:p w:rsidRPr="0006020D" w:rsidR="008847CB" w:rsidP="00B33F21" w:rsidRDefault="008847CB">
            <w:pPr>
              <w:spacing w:after="0" w:line="23" w:lineRule="atLeast"/>
              <w:jc w:val="center"/>
              <w:rPr>
                <w:rFonts w:asciiTheme="majorHAnsi" w:hAnsiTheme="majorHAnsi"/>
                <w:bCs/>
                <w:i/>
                <w:szCs w:val="18"/>
              </w:rPr>
            </w:pPr>
            <w:r w:rsidRPr="0006020D">
              <w:rPr>
                <w:rFonts w:asciiTheme="majorHAnsi" w:hAnsiTheme="majorHAnsi"/>
                <w:bCs/>
                <w:i/>
                <w:szCs w:val="18"/>
              </w:rPr>
              <w:t>3,4</w:t>
            </w:r>
          </w:p>
        </w:tc>
      </w:tr>
    </w:tbl>
    <w:p w:rsidRPr="0006020D" w:rsidR="008847CB" w:rsidP="008847CB" w:rsidRDefault="008847CB">
      <w:pPr>
        <w:spacing w:after="0"/>
        <w:rPr>
          <w:rFonts w:asciiTheme="majorHAnsi" w:hAnsiTheme="majorHAnsi"/>
          <w:szCs w:val="18"/>
        </w:rPr>
      </w:pPr>
    </w:p>
    <w:p w:rsidRPr="0006020D" w:rsidR="008847CB" w:rsidP="008847CB" w:rsidRDefault="008847CB">
      <w:pPr>
        <w:pStyle w:val="Lijstalinea"/>
        <w:spacing w:line="276" w:lineRule="auto"/>
        <w:ind w:left="360"/>
        <w:contextualSpacing/>
        <w:rPr>
          <w:rFonts w:asciiTheme="majorHAnsi" w:hAnsiTheme="majorHAnsi"/>
          <w:i/>
          <w:sz w:val="18"/>
          <w:szCs w:val="18"/>
        </w:rPr>
      </w:pPr>
    </w:p>
    <w:p w:rsidRPr="0006020D" w:rsidR="008847CB" w:rsidP="008847CB" w:rsidRDefault="008847CB">
      <w:pPr>
        <w:pStyle w:val="Lijstalinea"/>
        <w:numPr>
          <w:ilvl w:val="0"/>
          <w:numId w:val="1"/>
        </w:numPr>
        <w:spacing w:line="276" w:lineRule="auto"/>
        <w:contextualSpacing/>
        <w:rPr>
          <w:rFonts w:asciiTheme="majorHAnsi" w:hAnsiTheme="majorHAnsi"/>
          <w:i/>
          <w:sz w:val="18"/>
          <w:szCs w:val="18"/>
        </w:rPr>
      </w:pPr>
      <w:r w:rsidRPr="0006020D">
        <w:rPr>
          <w:rFonts w:asciiTheme="majorHAnsi" w:hAnsiTheme="majorHAnsi"/>
          <w:i/>
          <w:sz w:val="18"/>
          <w:szCs w:val="18"/>
        </w:rPr>
        <w:t>Hoe is de lastenverzwaring als gevolg van het beperken van het aftrekpercentage tot het tarief eerste schijf verdeeld over de verschillende aftrekposten?</w:t>
      </w:r>
    </w:p>
    <w:p w:rsidRPr="0006020D" w:rsidR="008847CB" w:rsidP="008847CB" w:rsidRDefault="008847CB">
      <w:pPr>
        <w:contextualSpacing/>
        <w:rPr>
          <w:rFonts w:asciiTheme="majorHAnsi" w:hAnsiTheme="majorHAnsi"/>
          <w:i/>
          <w:szCs w:val="18"/>
        </w:rPr>
      </w:pPr>
    </w:p>
    <w:p w:rsidRPr="0006020D" w:rsidR="008847CB" w:rsidP="008847CB" w:rsidRDefault="008847CB">
      <w:pPr>
        <w:contextualSpacing/>
        <w:rPr>
          <w:rFonts w:asciiTheme="majorHAnsi" w:hAnsiTheme="majorHAnsi"/>
          <w:szCs w:val="18"/>
        </w:rPr>
      </w:pPr>
      <w:r w:rsidRPr="0006020D">
        <w:rPr>
          <w:rFonts w:asciiTheme="majorHAnsi" w:hAnsiTheme="majorHAnsi"/>
          <w:szCs w:val="18"/>
        </w:rPr>
        <w:t>Het antwoord op deze vraag volgt bij de brief later deze week naar aanleiding van het wetgevingsoverleg over het pakket Belastingplan 2018 op 6 november jongstleden.</w:t>
      </w:r>
    </w:p>
    <w:p w:rsidRPr="0006020D" w:rsidR="008847CB" w:rsidP="008847CB" w:rsidRDefault="008847CB">
      <w:pPr>
        <w:contextualSpacing/>
        <w:rPr>
          <w:rFonts w:asciiTheme="majorHAnsi" w:hAnsiTheme="majorHAnsi"/>
          <w:szCs w:val="18"/>
        </w:rPr>
      </w:pPr>
    </w:p>
    <w:p w:rsidRPr="002F2652" w:rsidR="00A17C6E" w:rsidRDefault="00A17C6E">
      <w:pPr>
        <w:rPr>
          <w:rFonts w:asciiTheme="majorHAnsi" w:hAnsiTheme="majorHAnsi"/>
          <w:szCs w:val="18"/>
        </w:rPr>
      </w:pPr>
    </w:p>
    <w:sectPr w:rsidRPr="002F2652" w:rsidR="00A17C6E"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7CB" w:rsidRDefault="008847CB" w:rsidP="008847CB">
      <w:pPr>
        <w:spacing w:after="0" w:line="240" w:lineRule="auto"/>
      </w:pPr>
      <w:r>
        <w:separator/>
      </w:r>
    </w:p>
  </w:endnote>
  <w:endnote w:type="continuationSeparator" w:id="0">
    <w:p w:rsidR="008847CB" w:rsidRDefault="008847CB" w:rsidP="008847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7CB" w:rsidRDefault="008847CB" w:rsidP="008847CB">
      <w:pPr>
        <w:spacing w:after="0" w:line="240" w:lineRule="auto"/>
      </w:pPr>
      <w:r>
        <w:separator/>
      </w:r>
    </w:p>
  </w:footnote>
  <w:footnote w:type="continuationSeparator" w:id="0">
    <w:p w:rsidR="008847CB" w:rsidRDefault="008847CB" w:rsidP="008847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F3E2D"/>
    <w:multiLevelType w:val="hybridMultilevel"/>
    <w:tmpl w:val="F88E1648"/>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24BF757F"/>
    <w:multiLevelType w:val="hybridMultilevel"/>
    <w:tmpl w:val="D31A1068"/>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nsid w:val="49EB10CC"/>
    <w:multiLevelType w:val="hybridMultilevel"/>
    <w:tmpl w:val="1D5EF454"/>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5C167643"/>
    <w:multiLevelType w:val="hybridMultilevel"/>
    <w:tmpl w:val="95CC5834"/>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7A026745"/>
    <w:multiLevelType w:val="hybridMultilevel"/>
    <w:tmpl w:val="D8E682AA"/>
    <w:lvl w:ilvl="0" w:tplc="04130011">
      <w:start w:val="1"/>
      <w:numFmt w:val="decimal"/>
      <w:lvlText w:val="%1)"/>
      <w:lvlJc w:val="left"/>
      <w:pPr>
        <w:ind w:left="36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8847CB"/>
    <w:rsid w:val="002E6EEE"/>
    <w:rsid w:val="002F2652"/>
    <w:rsid w:val="00347A22"/>
    <w:rsid w:val="0041392D"/>
    <w:rsid w:val="00494C1A"/>
    <w:rsid w:val="006B5866"/>
    <w:rsid w:val="006E1530"/>
    <w:rsid w:val="006F6D2D"/>
    <w:rsid w:val="00756389"/>
    <w:rsid w:val="00811825"/>
    <w:rsid w:val="008847CB"/>
    <w:rsid w:val="00905545"/>
    <w:rsid w:val="009929FC"/>
    <w:rsid w:val="00A17C6E"/>
    <w:rsid w:val="00D83BA3"/>
    <w:rsid w:val="00EC63D6"/>
    <w:rsid w:val="00F22CD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847CB"/>
    <w:rPr>
      <w:rFonts w:ascii="Verdana" w:hAnsi="Verdana"/>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8847CB"/>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8847CB"/>
    <w:rPr>
      <w:rFonts w:ascii="Verdana" w:hAnsi="Verdana"/>
      <w:sz w:val="18"/>
    </w:rPr>
  </w:style>
  <w:style w:type="paragraph" w:styleId="Voettekst">
    <w:name w:val="footer"/>
    <w:basedOn w:val="Standaard"/>
    <w:link w:val="VoettekstChar"/>
    <w:uiPriority w:val="99"/>
    <w:semiHidden/>
    <w:unhideWhenUsed/>
    <w:rsid w:val="008847C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8847CB"/>
    <w:rPr>
      <w:rFonts w:ascii="Verdana" w:hAnsi="Verdana"/>
      <w:sz w:val="18"/>
    </w:rPr>
  </w:style>
  <w:style w:type="paragraph" w:styleId="Lijstalinea">
    <w:name w:val="List Paragraph"/>
    <w:basedOn w:val="Standaard"/>
    <w:uiPriority w:val="34"/>
    <w:qFormat/>
    <w:rsid w:val="008847CB"/>
    <w:pPr>
      <w:spacing w:after="0" w:line="240" w:lineRule="auto"/>
      <w:ind w:left="720"/>
    </w:pPr>
    <w:rPr>
      <w:rFonts w:asciiTheme="minorHAnsi" w:hAnsiTheme="minorHAnsi"/>
      <w:sz w:val="22"/>
    </w:rPr>
  </w:style>
  <w:style w:type="paragraph" w:styleId="Ballontekst">
    <w:name w:val="Balloon Text"/>
    <w:basedOn w:val="Standaard"/>
    <w:link w:val="BallontekstChar"/>
    <w:uiPriority w:val="99"/>
    <w:semiHidden/>
    <w:unhideWhenUsed/>
    <w:rsid w:val="008847C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847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958</ap:Words>
  <ap:Characters>5275</ap:Characters>
  <ap:DocSecurity>0</ap:DocSecurity>
  <ap:Lines>43</ap:Lines>
  <ap:Paragraphs>12</ap:Paragraphs>
  <ap:ScaleCrop>false</ap:ScaleCrop>
  <ap:LinksUpToDate>false</ap:LinksUpToDate>
  <ap:CharactersWithSpaces>6221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2017-11-13T16:56:00.0000000Z</dcterms:created>
  <dcterms:modified xsi:type="dcterms:W3CDTF">2017-11-13T16:56:00.0000000Z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0x010100CC3F0A6C0FFEFB458E8C5BE4A21C0B9A</vt:lpwstr>
  </property>
</Properties>
</file>