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0D1" w:rsidP="007210D1" w:rsidRDefault="00A75F3F">
      <w:pPr>
        <w:ind w:left="851"/>
      </w:pPr>
      <w:r>
        <w:t>Dierenwelzijn en de rol van de dierenarts</w:t>
      </w:r>
    </w:p>
    <w:p w:rsidR="00A75F3F" w:rsidP="007210D1" w:rsidRDefault="00A75F3F">
      <w:pPr>
        <w:ind w:left="851"/>
      </w:pPr>
    </w:p>
    <w:p w:rsidR="00A75F3F" w:rsidP="007210D1" w:rsidRDefault="00A75F3F">
      <w:pPr>
        <w:ind w:left="851"/>
      </w:pPr>
      <w:r>
        <w:t>Voorbereiding rondetafelgesprek van 22 november 2017 bij de vaste commissie voor Economische Zaken van de Tweede Kamer</w:t>
      </w:r>
    </w:p>
    <w:p w:rsidR="00A75F3F" w:rsidP="007210D1" w:rsidRDefault="00A75F3F">
      <w:pPr>
        <w:ind w:left="851"/>
      </w:pPr>
    </w:p>
    <w:p w:rsidR="00A75F3F" w:rsidP="00A75F3F" w:rsidRDefault="00A75F3F">
      <w:pPr>
        <w:pStyle w:val="Lijstalinea"/>
        <w:numPr>
          <w:ilvl w:val="0"/>
          <w:numId w:val="3"/>
        </w:numPr>
      </w:pPr>
      <w:r>
        <w:t>Wettelijk kader</w:t>
      </w:r>
    </w:p>
    <w:p w:rsidR="007F4F61" w:rsidP="007F4F61" w:rsidRDefault="007F4F61">
      <w:pPr>
        <w:pStyle w:val="Lijstalinea"/>
        <w:ind w:left="1571"/>
      </w:pPr>
    </w:p>
    <w:p w:rsidR="00417D01" w:rsidP="00A75F3F" w:rsidRDefault="00C24E25">
      <w:pPr>
        <w:ind w:left="851"/>
      </w:pPr>
      <w:r>
        <w:t xml:space="preserve">De verplichtingen m.b.t. dierenwelzijn bij het slachten zijn vervat in verordening (EG) nr. 1099/2009 van de Raad. </w:t>
      </w:r>
    </w:p>
    <w:p w:rsidR="00C24E25" w:rsidP="00A75F3F" w:rsidRDefault="00C24E25">
      <w:pPr>
        <w:ind w:left="851"/>
      </w:pPr>
    </w:p>
    <w:p w:rsidR="00A75F3F" w:rsidP="00A75F3F" w:rsidRDefault="00A75F3F">
      <w:pPr>
        <w:ind w:left="851"/>
      </w:pPr>
      <w:r>
        <w:t>Het wettelijk kader voor de officiële controles in slachthuizen is gebaseerd op verordening  (EG) nr. 854/2004 van het Europees Parlement en de Raad, die onderdeel uitmaakt van wat men noemt het “Hygiënepakket”.</w:t>
      </w:r>
    </w:p>
    <w:p w:rsidR="00A75F3F" w:rsidP="00A75F3F" w:rsidRDefault="00A75F3F">
      <w:pPr>
        <w:ind w:left="851"/>
      </w:pPr>
    </w:p>
    <w:p w:rsidR="00A75F3F" w:rsidP="00A75F3F" w:rsidRDefault="00A75F3F">
      <w:pPr>
        <w:ind w:left="851"/>
      </w:pPr>
      <w:r>
        <w:t>Bovenvermelde verordening  wordt ingetrokken op 14 december 2019 en vervangen door verordening  (EU) 2017/625 van het Europees Parlement en de Raad.</w:t>
      </w:r>
      <w:r w:rsidR="007F4F61">
        <w:t xml:space="preserve"> </w:t>
      </w:r>
      <w:r>
        <w:t xml:space="preserve"> Artikel 18 van deze verordening  bepaalt de specifieke voorschriften voor de productie van voor menselijke consumptie bestemde producten van dierlijke oorsprong</w:t>
      </w:r>
      <w:r w:rsidR="007F4F61">
        <w:t xml:space="preserve">, met name ook de productie van vlees. </w:t>
      </w:r>
    </w:p>
    <w:p w:rsidR="00C24E25" w:rsidP="00A75F3F" w:rsidRDefault="00C24E25">
      <w:pPr>
        <w:ind w:left="851"/>
      </w:pPr>
    </w:p>
    <w:p w:rsidR="00C24E25" w:rsidP="00C24E25" w:rsidRDefault="00C24E25">
      <w:pPr>
        <w:pStyle w:val="Lijstalinea"/>
        <w:numPr>
          <w:ilvl w:val="0"/>
          <w:numId w:val="3"/>
        </w:numPr>
      </w:pPr>
      <w:r>
        <w:t>Ruimte voor vooruitgang</w:t>
      </w:r>
    </w:p>
    <w:p w:rsidR="007210D1" w:rsidP="007210D1" w:rsidRDefault="007210D1">
      <w:pPr>
        <w:ind w:left="851"/>
      </w:pPr>
    </w:p>
    <w:p w:rsidR="007210D1" w:rsidP="007210D1" w:rsidRDefault="00C24E25">
      <w:pPr>
        <w:ind w:left="851"/>
      </w:pPr>
      <w:r>
        <w:t xml:space="preserve">In het voorjaar van 2017 voerde ik in opdracht van de </w:t>
      </w:r>
      <w:r w:rsidR="00A167D9">
        <w:t>Vlaamse</w:t>
      </w:r>
      <w:r>
        <w:t xml:space="preserve"> Regering een onderzoek naar de praktijk van ritueel </w:t>
      </w:r>
      <w:r w:rsidR="00060F96">
        <w:t xml:space="preserve">slachten in Vlaanderen, waarbij ook aandacht werd besteed aan de gangbare slachtpraktijk. </w:t>
      </w:r>
      <w:r w:rsidR="007210D1">
        <w:t>In ons onderzoek werd vastgesteld dat er algemene verbeteringen mogelijk en noodzakelijk zijn op het vlak van dierenw</w:t>
      </w:r>
      <w:r w:rsidR="00060F96">
        <w:t>elzijn tijdens het slachtproce</w:t>
      </w:r>
      <w:r w:rsidR="004D2DED">
        <w:t>s. Ik citeer uit de conclusies:</w:t>
      </w:r>
    </w:p>
    <w:p w:rsidR="007210D1" w:rsidP="007210D1" w:rsidRDefault="007210D1">
      <w:pPr>
        <w:ind w:left="851"/>
      </w:pPr>
    </w:p>
    <w:p w:rsidR="007210D1" w:rsidP="007210D1" w:rsidRDefault="007210D1">
      <w:pPr>
        <w:pStyle w:val="Lijstalinea"/>
        <w:numPr>
          <w:ilvl w:val="0"/>
          <w:numId w:val="1"/>
        </w:numPr>
        <w:ind w:left="1418" w:hanging="567"/>
      </w:pPr>
      <w:r>
        <w:t>De registratie van problemen op vlak van dierenwelzijn (ook bij bedwelmd slachten) moet worden verbeterd.  Momenteel kan de sector geen duidelijk beeld geven van de fouten</w:t>
      </w:r>
      <w:r>
        <w:softHyphen/>
        <w:t>marge bij bedwelmd slachten (3-5 %) omdat er geen adequate registratie is van het falen van de traditionele methodes.</w:t>
      </w:r>
    </w:p>
    <w:p w:rsidR="007210D1" w:rsidP="007210D1" w:rsidRDefault="007210D1">
      <w:pPr>
        <w:pStyle w:val="Lijstalinea"/>
        <w:ind w:left="1418"/>
      </w:pPr>
    </w:p>
    <w:p w:rsidR="007210D1" w:rsidP="007210D1" w:rsidRDefault="007210D1">
      <w:pPr>
        <w:pStyle w:val="Lijstalinea"/>
        <w:numPr>
          <w:ilvl w:val="0"/>
          <w:numId w:val="1"/>
        </w:numPr>
        <w:ind w:left="1418" w:hanging="567"/>
      </w:pPr>
      <w:r>
        <w:t>Er is meer aandacht nodig voor standaardwerkwijzen, met name bij de release van dieren na bedwelming en kelen om te voorkomen dat dieren die het bewustzijn nog niet verloren hebben, opgetakeld worden.</w:t>
      </w:r>
    </w:p>
    <w:p w:rsidR="007210D1" w:rsidP="007210D1" w:rsidRDefault="007210D1">
      <w:pPr>
        <w:pStyle w:val="Lijstalinea"/>
      </w:pPr>
    </w:p>
    <w:p w:rsidR="007210D1" w:rsidP="007210D1" w:rsidRDefault="007210D1">
      <w:pPr>
        <w:pStyle w:val="Lijstalinea"/>
        <w:ind w:left="1418"/>
      </w:pPr>
    </w:p>
    <w:p w:rsidR="007210D1" w:rsidP="00B24912" w:rsidRDefault="007210D1">
      <w:pPr>
        <w:pStyle w:val="Lijstalinea"/>
        <w:numPr>
          <w:ilvl w:val="0"/>
          <w:numId w:val="1"/>
        </w:numPr>
        <w:ind w:left="1416" w:hanging="567"/>
      </w:pPr>
      <w:r>
        <w:t>De “</w:t>
      </w:r>
      <w:proofErr w:type="spellStart"/>
      <w:r>
        <w:t>animal</w:t>
      </w:r>
      <w:proofErr w:type="spellEnd"/>
      <w:r>
        <w:t xml:space="preserve"> </w:t>
      </w:r>
      <w:proofErr w:type="spellStart"/>
      <w:r>
        <w:t>wellfare</w:t>
      </w:r>
      <w:proofErr w:type="spellEnd"/>
      <w:r>
        <w:t xml:space="preserve"> </w:t>
      </w:r>
      <w:proofErr w:type="spellStart"/>
      <w:r>
        <w:t>officer</w:t>
      </w:r>
      <w:proofErr w:type="spellEnd"/>
      <w:r>
        <w:t>” is een gekwalificeerd werknemer die toeziet op het respecteren van de regels voor dierenwelzijn tijdens het slachtproces.</w:t>
      </w:r>
      <w:r>
        <w:br/>
      </w:r>
      <w:r>
        <w:lastRenderedPageBreak/>
        <w:t xml:space="preserve">Indien er problemen zijn, moet deze persoon ingrijpen in de bedrijfsvoering, wat een grote impact kan hebben op de economie van het bedrijf.  Voor een werknemer binnen een bedrijf is dit een moeilijk positie. </w:t>
      </w:r>
      <w:r>
        <w:br/>
        <w:t>Het lijkt ons aangewezen om na te gaan hoe de invulling van deze functie kan versterkt worden (onafhankelijkheid, injunctierecht in productie</w:t>
      </w:r>
      <w:r>
        <w:softHyphen/>
        <w:t>proces, …).</w:t>
      </w:r>
    </w:p>
    <w:p w:rsidR="007210D1" w:rsidP="007210D1" w:rsidRDefault="007210D1">
      <w:pPr>
        <w:pStyle w:val="Lijstalinea"/>
        <w:ind w:left="1416"/>
      </w:pPr>
    </w:p>
    <w:p w:rsidR="004D2DED" w:rsidP="007210D1" w:rsidRDefault="007210D1">
      <w:pPr>
        <w:pStyle w:val="Lijstalinea"/>
        <w:numPr>
          <w:ilvl w:val="2"/>
          <w:numId w:val="1"/>
        </w:numPr>
      </w:pPr>
      <w:r>
        <w:t>De opleiding voor het behalen van het vakbekwaamheidsattest van het personeel dat met levende dieren omgaat in het slachthuis kan verder worden uitgebouwd, met bijzondere aandacht voor de verschillende aspecten van dierenwelzijn.</w:t>
      </w:r>
    </w:p>
    <w:p w:rsidR="004D2DED" w:rsidP="004D2DED" w:rsidRDefault="004D2DED"/>
    <w:p w:rsidR="00401F7E" w:rsidP="00401F7E" w:rsidRDefault="00401F7E">
      <w:r>
        <w:t xml:space="preserve">Het volledige rapport is beschikbaar op </w:t>
      </w:r>
      <w:hyperlink w:history="1" r:id="rId5">
        <w:r w:rsidRPr="00312286">
          <w:rPr>
            <w:rStyle w:val="Hyperlink"/>
          </w:rPr>
          <w:t>https://www.lne.be/sites/default/files/atoms/files/Rapport%20Ritueel%20slachten.pdf</w:t>
        </w:r>
      </w:hyperlink>
      <w:r>
        <w:t xml:space="preserve"> </w:t>
      </w:r>
    </w:p>
    <w:p w:rsidR="00401F7E" w:rsidP="00401F7E" w:rsidRDefault="00401F7E"/>
    <w:p w:rsidR="000F0FE1" w:rsidP="004D2DED" w:rsidRDefault="004D2DED">
      <w:r>
        <w:t xml:space="preserve">Sindsdien waren er in Vlaanderen de filmbeelden uit de slachthuizen van Tielt en Izegem die grote verontwaardiging veroorzaakten in de publieke opinie. In deze gevallen werd de rol van de toezichthouder (het Federaal Agentschap voor de Veiligheid van de Voedselketen, tegenhanger van de NVWA) in vraag gesteld. Een bijkomende complicerende factor </w:t>
      </w:r>
      <w:r w:rsidR="00401F7E">
        <w:t xml:space="preserve">in België  </w:t>
      </w:r>
      <w:r>
        <w:t xml:space="preserve">is de bevoegdheidsverdeling tussen de Federale en de Vlaamse overheden: de federale overheid is bevoegd voor voedselveiligheid, de Vlaamse overheid is bevoegd voor dierenwelzijn. </w:t>
      </w:r>
    </w:p>
    <w:p w:rsidR="00401F7E" w:rsidP="004D2DED" w:rsidRDefault="00401F7E"/>
    <w:p w:rsidR="00401F7E" w:rsidP="004D2DED" w:rsidRDefault="00401F7E">
      <w:r>
        <w:t xml:space="preserve">Ook in andere EU Lid Staten waren er </w:t>
      </w:r>
      <w:r w:rsidR="0035596A">
        <w:t xml:space="preserve">eveneens incidenten met dierenwelzijn in slachthuizen. Het was de aanleiding voor het Franse parlement om een onderzoekscommissie op te richten. Het interessante rapport is beschikbaar op </w:t>
      </w:r>
      <w:hyperlink w:history="1" r:id="rId6">
        <w:r w:rsidR="0035596A">
          <w:rPr>
            <w:rStyle w:val="Hyperlink"/>
            <w:lang w:val="fr-BE"/>
          </w:rPr>
          <w:t>http://www2.assemblee-nationale.fr/14/autres-commissions/commissions-d-enquete/conditions-d-abattage-des-animaux-de-boucherie-dans-les-abattoirs-francais/(block)/30403</w:t>
        </w:r>
      </w:hyperlink>
    </w:p>
    <w:p w:rsidR="00B273F9" w:rsidP="004D2DED" w:rsidRDefault="00B273F9"/>
    <w:p w:rsidR="00B273F9" w:rsidP="00B273F9" w:rsidRDefault="00B273F9">
      <w:pPr>
        <w:pStyle w:val="Lijstalinea"/>
        <w:numPr>
          <w:ilvl w:val="0"/>
          <w:numId w:val="3"/>
        </w:numPr>
      </w:pPr>
      <w:r>
        <w:t>Rol van overheid versus bedrijfsleven</w:t>
      </w:r>
    </w:p>
    <w:p w:rsidR="00B273F9" w:rsidP="00B273F9" w:rsidRDefault="00B273F9"/>
    <w:p w:rsidR="00B273F9" w:rsidP="00B273F9" w:rsidRDefault="00B273F9">
      <w:r>
        <w:t xml:space="preserve">Bij incidenten in slachthuizen wordt vrijwel steeds met een beschuldigende vinger gewezen naar de toezichthoudende overheid. </w:t>
      </w:r>
      <w:r w:rsidR="00401F7E">
        <w:t>Alhoewel d</w:t>
      </w:r>
      <w:r>
        <w:t xml:space="preserve">e  toezichthouder </w:t>
      </w:r>
      <w:r w:rsidR="00401F7E">
        <w:t>een belangrijke rol speelt in de controle en de handhaving, kan enkel het bedrijf zelf de garanties bieden dat de regelgeving op elk moment gerespecteerd wordt. Je kan het vergelijken met het bouwen van personenwagens, het is niet de overheid die garant staat dat de remmen werken maar het bedrijf zelf. Het bedrijf is er verantwoordelijk en aansprakelijk voor.</w:t>
      </w:r>
    </w:p>
    <w:p w:rsidR="00401F7E" w:rsidP="00B273F9" w:rsidRDefault="00401F7E"/>
    <w:p w:rsidR="00401F7E" w:rsidP="00B273F9" w:rsidRDefault="00401F7E">
      <w:r>
        <w:t xml:space="preserve">Hetzelfde geldt voor het maximaal respecteren van de regels op het vlak van dierenwelzijn in de voedselketen. </w:t>
      </w:r>
      <w:r w:rsidR="0035596A">
        <w:t xml:space="preserve">Het respect voor dierenwelzijn moet een essentieel onderdeel zijn van de bedrijfscultuur van slachthuizen en dat begint dus in de bestuurskamer. Bestuur en management van slachthuizen moeten dierenwelzijn hoog in prioriteiten plaatsen. </w:t>
      </w:r>
    </w:p>
    <w:p w:rsidR="0035596A" w:rsidP="00B273F9" w:rsidRDefault="0035596A"/>
    <w:p w:rsidR="0035596A" w:rsidP="0035596A" w:rsidRDefault="0035596A">
      <w:pPr>
        <w:pStyle w:val="Lijstalinea"/>
        <w:numPr>
          <w:ilvl w:val="0"/>
          <w:numId w:val="3"/>
        </w:numPr>
      </w:pPr>
      <w:r>
        <w:lastRenderedPageBreak/>
        <w:t>De rol van de dierenarts</w:t>
      </w:r>
    </w:p>
    <w:p w:rsidR="0035596A" w:rsidP="0035596A" w:rsidRDefault="0035596A"/>
    <w:p w:rsidR="0035596A" w:rsidP="0035596A" w:rsidRDefault="00747CE0">
      <w:r>
        <w:t>Dierenartsen kunnen</w:t>
      </w:r>
      <w:r w:rsidR="0035596A">
        <w:t xml:space="preserve"> vanuit hun vakgebied en expertise een belangrijke rol spelen in het uitbouwen van intern dierenwelzijnsbeleid van bedrijven en in het uitbouwen van een efficiënt en effectief toezichtbeleid.  Bij de overheid is die rol goed uitgebouwd (elke EU Lid Staat beschikt over veterinaire diensten</w:t>
      </w:r>
      <w:r>
        <w:t xml:space="preserve">, in het OIE werd een wereldwijd netwerk van veterinaire expertise uitgebouwd). In het bedrijfsleven moet veterinaire expertise meer aan bod komen bij het uittekenen van de bedrijfsstrategie, op bestuursniveau. </w:t>
      </w:r>
    </w:p>
    <w:p w:rsidR="00747CE0" w:rsidP="0035596A" w:rsidRDefault="00747CE0"/>
    <w:p w:rsidR="00747CE0" w:rsidP="0035596A" w:rsidRDefault="00747CE0">
      <w:r>
        <w:t xml:space="preserve">Men kan zich afvragen of dierenwelzijn een voldoende prominente plaats inneemt in het curriculum van dierenartsen. De opleiding tot dierenarts is historisch gezien een eerder technische opleiding. Dierenwelzijn had daar steeds een plaats in, vraag is of die niet meer moet benadrukt worden. </w:t>
      </w:r>
    </w:p>
    <w:p w:rsidR="00747CE0" w:rsidP="0035596A" w:rsidRDefault="00747CE0"/>
    <w:p w:rsidR="00747CE0" w:rsidP="0035596A" w:rsidRDefault="00747CE0">
      <w:r>
        <w:t xml:space="preserve">Ik informeerde bij de faculteit diergeneeskunde van de Ugent naar de plaats van dierenwelzijn in het curriculum. Het resultaat is bemoedigend. Bij een recente vernieuwing van het curriculum kreeg dieren welzijn een meer prominente plaats en werd ingebed in de technische vakken. </w:t>
      </w:r>
    </w:p>
    <w:p w:rsidR="00775EF1" w:rsidP="0035596A" w:rsidRDefault="00775EF1"/>
    <w:p w:rsidR="00775EF1" w:rsidP="0035596A" w:rsidRDefault="00775EF1">
      <w:r>
        <w:t>Piet Vanthemsche</w:t>
      </w:r>
    </w:p>
    <w:p w:rsidR="00775EF1" w:rsidP="0035596A" w:rsidRDefault="00775EF1">
      <w:r>
        <w:t>6/11/2017</w:t>
      </w:r>
      <w:bookmarkStart w:name="_GoBack" w:id="0"/>
      <w:bookmarkEnd w:id="0"/>
    </w:p>
    <w:sectPr w:rsidR="00775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21499"/>
    <w:multiLevelType w:val="hybridMultilevel"/>
    <w:tmpl w:val="B2CE0C34"/>
    <w:lvl w:ilvl="0" w:tplc="0813000F">
      <w:start w:val="1"/>
      <w:numFmt w:val="decimal"/>
      <w:lvlText w:val="%1."/>
      <w:lvlJc w:val="left"/>
      <w:pPr>
        <w:ind w:left="1571" w:hanging="360"/>
      </w:pPr>
    </w:lvl>
    <w:lvl w:ilvl="1" w:tplc="08130019" w:tentative="1">
      <w:start w:val="1"/>
      <w:numFmt w:val="lowerLetter"/>
      <w:lvlText w:val="%2."/>
      <w:lvlJc w:val="left"/>
      <w:pPr>
        <w:ind w:left="2291" w:hanging="360"/>
      </w:pPr>
    </w:lvl>
    <w:lvl w:ilvl="2" w:tplc="0813001B" w:tentative="1">
      <w:start w:val="1"/>
      <w:numFmt w:val="lowerRoman"/>
      <w:lvlText w:val="%3."/>
      <w:lvlJc w:val="right"/>
      <w:pPr>
        <w:ind w:left="3011" w:hanging="180"/>
      </w:pPr>
    </w:lvl>
    <w:lvl w:ilvl="3" w:tplc="0813000F" w:tentative="1">
      <w:start w:val="1"/>
      <w:numFmt w:val="decimal"/>
      <w:lvlText w:val="%4."/>
      <w:lvlJc w:val="left"/>
      <w:pPr>
        <w:ind w:left="3731" w:hanging="360"/>
      </w:pPr>
    </w:lvl>
    <w:lvl w:ilvl="4" w:tplc="08130019" w:tentative="1">
      <w:start w:val="1"/>
      <w:numFmt w:val="lowerLetter"/>
      <w:lvlText w:val="%5."/>
      <w:lvlJc w:val="left"/>
      <w:pPr>
        <w:ind w:left="4451" w:hanging="360"/>
      </w:pPr>
    </w:lvl>
    <w:lvl w:ilvl="5" w:tplc="0813001B" w:tentative="1">
      <w:start w:val="1"/>
      <w:numFmt w:val="lowerRoman"/>
      <w:lvlText w:val="%6."/>
      <w:lvlJc w:val="right"/>
      <w:pPr>
        <w:ind w:left="5171" w:hanging="180"/>
      </w:pPr>
    </w:lvl>
    <w:lvl w:ilvl="6" w:tplc="0813000F" w:tentative="1">
      <w:start w:val="1"/>
      <w:numFmt w:val="decimal"/>
      <w:lvlText w:val="%7."/>
      <w:lvlJc w:val="left"/>
      <w:pPr>
        <w:ind w:left="5891" w:hanging="360"/>
      </w:pPr>
    </w:lvl>
    <w:lvl w:ilvl="7" w:tplc="08130019" w:tentative="1">
      <w:start w:val="1"/>
      <w:numFmt w:val="lowerLetter"/>
      <w:lvlText w:val="%8."/>
      <w:lvlJc w:val="left"/>
      <w:pPr>
        <w:ind w:left="6611" w:hanging="360"/>
      </w:pPr>
    </w:lvl>
    <w:lvl w:ilvl="8" w:tplc="0813001B" w:tentative="1">
      <w:start w:val="1"/>
      <w:numFmt w:val="lowerRoman"/>
      <w:lvlText w:val="%9."/>
      <w:lvlJc w:val="right"/>
      <w:pPr>
        <w:ind w:left="7331" w:hanging="180"/>
      </w:pPr>
    </w:lvl>
  </w:abstractNum>
  <w:abstractNum w:abstractNumId="1" w15:restartNumberingAfterBreak="0">
    <w:nsid w:val="3D3269AD"/>
    <w:multiLevelType w:val="hybridMultilevel"/>
    <w:tmpl w:val="CAA81B20"/>
    <w:lvl w:ilvl="0" w:tplc="08130001">
      <w:start w:val="1"/>
      <w:numFmt w:val="bullet"/>
      <w:lvlText w:val=""/>
      <w:lvlJc w:val="left"/>
      <w:pPr>
        <w:ind w:left="-229" w:hanging="360"/>
      </w:pPr>
      <w:rPr>
        <w:rFonts w:ascii="Symbol" w:hAnsi="Symbol" w:hint="default"/>
      </w:rPr>
    </w:lvl>
    <w:lvl w:ilvl="1" w:tplc="08130003">
      <w:start w:val="1"/>
      <w:numFmt w:val="bullet"/>
      <w:lvlText w:val="o"/>
      <w:lvlJc w:val="left"/>
      <w:pPr>
        <w:ind w:left="491" w:hanging="360"/>
      </w:pPr>
      <w:rPr>
        <w:rFonts w:ascii="Courier New" w:hAnsi="Courier New" w:cs="Courier New" w:hint="default"/>
      </w:rPr>
    </w:lvl>
    <w:lvl w:ilvl="2" w:tplc="08130005">
      <w:start w:val="1"/>
      <w:numFmt w:val="bullet"/>
      <w:lvlText w:val=""/>
      <w:lvlJc w:val="left"/>
      <w:pPr>
        <w:ind w:left="1211" w:hanging="360"/>
      </w:pPr>
      <w:rPr>
        <w:rFonts w:ascii="Wingdings" w:hAnsi="Wingdings" w:hint="default"/>
      </w:rPr>
    </w:lvl>
    <w:lvl w:ilvl="3" w:tplc="08130001">
      <w:start w:val="1"/>
      <w:numFmt w:val="bullet"/>
      <w:lvlText w:val=""/>
      <w:lvlJc w:val="left"/>
      <w:pPr>
        <w:ind w:left="1931" w:hanging="360"/>
      </w:pPr>
      <w:rPr>
        <w:rFonts w:ascii="Symbol" w:hAnsi="Symbol" w:hint="default"/>
      </w:rPr>
    </w:lvl>
    <w:lvl w:ilvl="4" w:tplc="08130003">
      <w:start w:val="1"/>
      <w:numFmt w:val="bullet"/>
      <w:lvlText w:val="o"/>
      <w:lvlJc w:val="left"/>
      <w:pPr>
        <w:ind w:left="2651" w:hanging="360"/>
      </w:pPr>
      <w:rPr>
        <w:rFonts w:ascii="Courier New" w:hAnsi="Courier New" w:cs="Courier New" w:hint="default"/>
      </w:rPr>
    </w:lvl>
    <w:lvl w:ilvl="5" w:tplc="08130005">
      <w:start w:val="1"/>
      <w:numFmt w:val="bullet"/>
      <w:lvlText w:val=""/>
      <w:lvlJc w:val="left"/>
      <w:pPr>
        <w:ind w:left="3371" w:hanging="360"/>
      </w:pPr>
      <w:rPr>
        <w:rFonts w:ascii="Wingdings" w:hAnsi="Wingdings" w:hint="default"/>
      </w:rPr>
    </w:lvl>
    <w:lvl w:ilvl="6" w:tplc="08130001">
      <w:start w:val="1"/>
      <w:numFmt w:val="bullet"/>
      <w:lvlText w:val=""/>
      <w:lvlJc w:val="left"/>
      <w:pPr>
        <w:ind w:left="4091" w:hanging="360"/>
      </w:pPr>
      <w:rPr>
        <w:rFonts w:ascii="Symbol" w:hAnsi="Symbol" w:hint="default"/>
      </w:rPr>
    </w:lvl>
    <w:lvl w:ilvl="7" w:tplc="08130003">
      <w:start w:val="1"/>
      <w:numFmt w:val="bullet"/>
      <w:lvlText w:val="o"/>
      <w:lvlJc w:val="left"/>
      <w:pPr>
        <w:ind w:left="4811" w:hanging="360"/>
      </w:pPr>
      <w:rPr>
        <w:rFonts w:ascii="Courier New" w:hAnsi="Courier New" w:cs="Courier New" w:hint="default"/>
      </w:rPr>
    </w:lvl>
    <w:lvl w:ilvl="8" w:tplc="08130005">
      <w:start w:val="1"/>
      <w:numFmt w:val="bullet"/>
      <w:lvlText w:val=""/>
      <w:lvlJc w:val="left"/>
      <w:pPr>
        <w:ind w:left="5531"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0D1"/>
    <w:rsid w:val="00060F96"/>
    <w:rsid w:val="000F0FE1"/>
    <w:rsid w:val="0035596A"/>
    <w:rsid w:val="00401F7E"/>
    <w:rsid w:val="00417D01"/>
    <w:rsid w:val="004D2DED"/>
    <w:rsid w:val="007210D1"/>
    <w:rsid w:val="00747CE0"/>
    <w:rsid w:val="00775EF1"/>
    <w:rsid w:val="007F4F61"/>
    <w:rsid w:val="00A167D9"/>
    <w:rsid w:val="00A75F3F"/>
    <w:rsid w:val="00B273F9"/>
    <w:rsid w:val="00C24E2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C3A38"/>
  <w15:chartTrackingRefBased/>
  <w15:docId w15:val="{597708B6-D806-4EEF-9159-CB0B87F4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210D1"/>
    <w:pPr>
      <w:spacing w:after="0" w:line="312" w:lineRule="auto"/>
      <w:ind w:left="567"/>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LijstalineaChar">
    <w:name w:val="Lijstalinea Char"/>
    <w:basedOn w:val="Standaardalinea-lettertype"/>
    <w:link w:val="Lijstalinea"/>
    <w:uiPriority w:val="34"/>
    <w:locked/>
    <w:rsid w:val="007210D1"/>
  </w:style>
  <w:style w:type="paragraph" w:styleId="Lijstalinea">
    <w:name w:val="List Paragraph"/>
    <w:basedOn w:val="Standaard"/>
    <w:link w:val="LijstalineaChar"/>
    <w:uiPriority w:val="34"/>
    <w:qFormat/>
    <w:rsid w:val="007210D1"/>
    <w:pPr>
      <w:ind w:left="720"/>
      <w:contextualSpacing/>
    </w:pPr>
  </w:style>
  <w:style w:type="character" w:styleId="Hyperlink">
    <w:name w:val="Hyperlink"/>
    <w:basedOn w:val="Standaardalinea-lettertype"/>
    <w:uiPriority w:val="99"/>
    <w:unhideWhenUsed/>
    <w:rsid w:val="00B273F9"/>
    <w:rPr>
      <w:color w:val="0563C1" w:themeColor="hyperlink"/>
      <w:u w:val="single"/>
    </w:rPr>
  </w:style>
  <w:style w:type="character" w:styleId="Onopgelostemelding">
    <w:name w:val="Unresolved Mention"/>
    <w:basedOn w:val="Standaardalinea-lettertype"/>
    <w:uiPriority w:val="99"/>
    <w:semiHidden/>
    <w:unhideWhenUsed/>
    <w:rsid w:val="00B273F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92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2.assemblee-nationale.fr/14/autres-commissions/commissions-d-enquete/conditions-d-abattage-des-animaux-de-boucherie-dans-les-abattoirs-francais/(block)/30403" TargetMode="External" Id="rId6" /><Relationship Type="http://schemas.openxmlformats.org/officeDocument/2006/relationships/hyperlink" Target="https://www.lne.be/sites/default/files/atoms/files/Rapport%20Ritueel%20slachten.pdf"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908</ap:Words>
  <ap:Characters>4997</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2017-10-30T11:04:00.0000000Z</dcterms:created>
  <dcterms:modified xsi:type="dcterms:W3CDTF">2017-11-06T12:03:00.0000000Z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0x010100CC3F0A6C0FFEFB458E8C5BE4A21C0B9A</vt:lpwstr>
  </property>
</Properties>
</file>