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W15.17.0234/IV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13 september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B3CD7" w:rsidRDefault="00A833B6">
              <w:r>
                <w:t>Bij Kabinetsmissive van 20 juli 2017, no.2017001241, heeft Uwe Majesteit, op voordracht van de Minister van Economische Zaken, mede namens de Minister van Veiligheid en Justitie, bij de Afdeling advisering van de Raad van State ter overweging aanhangig gemaakt het voorstel van wet houdende regels omtrent de bescherming van bedrijfsgeheimen ter uitvoering van Richtlijn 2016/943/EU van het Europees Parlement en de Raad van 8 juni 2016 betreffende de bescherming van niet-openbaar gemaakte knowhow en bedrijfsinformatie (bedrijfsgeheimen) tegen het onrechtmatig verkrijgen, gebruiken en openbaar maken daarvan (PbEU 2016, L157) (Wet bescherming bedrijfsgeheimen),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568472649"/>
              </w:sdtPr>
              <w:sdtEndPr/>
              <w:sdtContent>
                <w:p w:rsidRPr="007833B9" w:rsidR="007833B9" w:rsidP="007833B9" w:rsidRDefault="00A833B6">
                  <w:r w:rsidRPr="007833B9">
                    <w:t>Het wetsvoorstel strekt tot implementatie van richtlijn 2016/943/EU die regels bevat tot het beschermen van bedrijfsgeheimen.</w:t>
                  </w:r>
                  <w:r w:rsidRPr="007833B9">
                    <w:rPr>
                      <w:vertAlign w:val="superscript"/>
                    </w:rPr>
                    <w:footnoteReference w:id="1"/>
                  </w:r>
                  <w:r w:rsidRPr="007833B9">
                    <w:t xml:space="preserve"> Het grootste deel van de richtlijn wordt geïmplementeerd in een nieuwe wet, de Wet bescherming bedrijfsgeheimen. De procesrechtelijke aspecten worden geregeld in het Wetboek van Burgerlijke Rechtsvordering. </w:t>
                  </w:r>
                </w:p>
                <w:p w:rsidRPr="007833B9" w:rsidR="007833B9" w:rsidP="007833B9" w:rsidRDefault="00F97461"/>
                <w:p w:rsidRPr="007833B9" w:rsidR="007833B9" w:rsidP="007833B9" w:rsidRDefault="00A833B6">
                  <w:r w:rsidRPr="007833B9">
                    <w:t xml:space="preserve">De Afdeling advisering van de Raad van State adviseert het voorstel van wet aan de Tweede Kamer der Staten-Generaal te zenden, maar wijst op het volgende. </w:t>
                  </w:r>
                </w:p>
                <w:p w:rsidRPr="007833B9" w:rsidR="007833B9" w:rsidP="007833B9" w:rsidRDefault="00F97461"/>
                <w:p w:rsidR="00A833B6" w:rsidRDefault="00A833B6">
                  <w:r>
                    <w:t>1.</w:t>
                  </w:r>
                  <w:r>
                    <w:tab/>
                  </w:r>
                  <w:r w:rsidRPr="007833B9">
                    <w:t>Volgens de memorie van toelichting is het wetsvoorstel voorgelegd aan de Raad voor de rechtspraak voor een uitvoeringstoets.</w:t>
                  </w:r>
                  <w:r w:rsidRPr="007833B9">
                    <w:rPr>
                      <w:vertAlign w:val="superscript"/>
                    </w:rPr>
                    <w:footnoteReference w:id="2"/>
                  </w:r>
                  <w:r w:rsidRPr="007833B9">
                    <w:t xml:space="preserve"> </w:t>
                  </w:r>
                  <w:r w:rsidR="00410102">
                    <w:t xml:space="preserve">Deze toets is pas recent verschenen en is </w:t>
                  </w:r>
                  <w:r w:rsidRPr="007833B9">
                    <w:t xml:space="preserve">inhoudelijk niet verwerkt in het </w:t>
                  </w:r>
                  <w:r>
                    <w:t>wets</w:t>
                  </w:r>
                  <w:r w:rsidRPr="007833B9">
                    <w:t>voorstel dat voor advies bij de Afdeling aanhangig is.</w:t>
                  </w:r>
                  <w:r w:rsidRPr="007833B9">
                    <w:rPr>
                      <w:vertAlign w:val="superscript"/>
                    </w:rPr>
                    <w:footnoteReference w:id="3"/>
                  </w:r>
                  <w:r w:rsidRPr="007833B9">
                    <w:t xml:space="preserve"> </w:t>
                  </w:r>
                  <w:r w:rsidR="00410102">
                    <w:t xml:space="preserve">De Afdeling benadrukt nogmaals dat </w:t>
                  </w:r>
                  <w:r>
                    <w:t>haar</w:t>
                  </w:r>
                  <w:r w:rsidR="00410102">
                    <w:t xml:space="preserve"> rol als adviseur in laatste instantie vergt dat andere adviezen of toetsen beschikbaar en verwerkt zijn op het moment dat een voorstel bij de Afdeling aanhangig wordt gemaakt. Met betrekking tot de uitvoeringstoets van de Raad voor de rechtspraak</w:t>
                  </w:r>
                  <w:r w:rsidRPr="00210648">
                    <w:rPr>
                      <w:bCs/>
                    </w:rPr>
                    <w:t xml:space="preserve"> adviseert</w:t>
                  </w:r>
                  <w:r w:rsidR="00410102">
                    <w:rPr>
                      <w:bCs/>
                    </w:rPr>
                    <w:t xml:space="preserve"> de Afdeling</w:t>
                  </w:r>
                  <w:r w:rsidRPr="00210648">
                    <w:rPr>
                      <w:bCs/>
                    </w:rPr>
                    <w:t xml:space="preserve"> dit alsnog te wegen. </w:t>
                  </w:r>
                  <w:r>
                    <w:rPr>
                      <w:bCs/>
                    </w:rPr>
                    <w:t>Indien</w:t>
                  </w:r>
                  <w:r w:rsidRPr="00210648">
                    <w:rPr>
                      <w:bCs/>
                    </w:rPr>
                    <w:t xml:space="preserve"> het advies leid</w:t>
                  </w:r>
                  <w:r>
                    <w:rPr>
                      <w:bCs/>
                    </w:rPr>
                    <w:t>t</w:t>
                  </w:r>
                  <w:r w:rsidRPr="00210648">
                    <w:rPr>
                      <w:bCs/>
                    </w:rPr>
                    <w:t xml:space="preserve"> tot wijzigingen op belangrijke onderdelen, dan adviseert de Afdeling het wetsvoorstel opnieuw voor advies voor te leggen aan de Afdeling als laatste adviseur</w:t>
                  </w:r>
                  <w:r w:rsidRPr="00210648">
                    <w:t>.</w:t>
                  </w:r>
                  <w:r>
                    <w:br w:type="page"/>
                  </w:r>
                </w:p>
                <w:p w:rsidR="00891BB0" w:rsidP="00891BB0" w:rsidRDefault="00F97461"/>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A833B6">
              <w:r>
                <w:t>2.</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B3CD7" w:rsidRDefault="00A833B6">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p w:rsidRPr="00831363" w:rsidR="0037367E" w:rsidRDefault="0037367E">
          <w:pPr>
            <w:sectPr w:rsidRPr="00831363" w:rsidR="0037367E" w:rsidSect="00DF1A75">
              <w:headerReference w:type="even" r:id="rId11"/>
              <w:headerReference w:type="default" r:id="rId12"/>
              <w:footerReference w:type="first" r:id="rId13"/>
              <w:pgSz w:w="11906" w:h="16838" w:code="9"/>
              <w:pgMar w:top="2523" w:right="1418" w:bottom="1418" w:left="1985" w:header="1418" w:footer="567" w:gutter="0"/>
              <w:paperSrc w:first="262" w:other="262"/>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W15.17.0234</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sdt>
              <w:sdtPr>
                <w:alias w:val="VrijeTekst3"/>
                <w:tag w:val="VrijeTekst3"/>
                <w:id w:val="1092902489"/>
              </w:sdtPr>
              <w:sdtEndPr/>
              <w:sdtContent>
                <w:p w:rsidRPr="007833B9" w:rsidR="007833B9" w:rsidP="007833B9" w:rsidRDefault="00A833B6">
                  <w:pPr>
                    <w:numPr>
                      <w:ilvl w:val="0"/>
                      <w:numId w:val="1"/>
                    </w:numPr>
                  </w:pPr>
                  <w:r>
                    <w:t xml:space="preserve">In artikel </w:t>
                  </w:r>
                  <w:r w:rsidRPr="007833B9">
                    <w:t xml:space="preserve">1 “voordeel hebben” wijzigen in: voordeel heeft of hebben. </w:t>
                  </w:r>
                </w:p>
                <w:p w:rsidRPr="007833B9" w:rsidR="007833B9" w:rsidP="007833B9" w:rsidRDefault="00A833B6">
                  <w:pPr>
                    <w:numPr>
                      <w:ilvl w:val="0"/>
                      <w:numId w:val="1"/>
                    </w:numPr>
                  </w:pPr>
                  <w:r w:rsidRPr="007833B9">
                    <w:t xml:space="preserve">In artikel 4, onderdeel c, na “overeenkomstig” invoegen: het recht van de Europese Unie of (Conform artikel 5, onderdeel c, van de richtlijn).  </w:t>
                  </w:r>
                </w:p>
                <w:p w:rsidRPr="007833B9" w:rsidR="007833B9" w:rsidP="007833B9" w:rsidRDefault="00A833B6">
                  <w:pPr>
                    <w:numPr>
                      <w:ilvl w:val="0"/>
                      <w:numId w:val="1"/>
                    </w:numPr>
                  </w:pPr>
                  <w:r w:rsidRPr="007833B9">
                    <w:t xml:space="preserve">In artikel 5, tweede lid, specificeren welke artikelen of beslagtitels uit Rv toepasselijk zijn en de regeling zo nodig uitbreiden tot onroerende zaken (Vgl. aanwijzing 79 van de Aanwijzingen voor de regelgeving). </w:t>
                  </w:r>
                </w:p>
                <w:p w:rsidRPr="007833B9" w:rsidR="007833B9" w:rsidP="007833B9" w:rsidRDefault="00A833B6">
                  <w:pPr>
                    <w:numPr>
                      <w:ilvl w:val="0"/>
                      <w:numId w:val="1"/>
                    </w:numPr>
                  </w:pPr>
                  <w:r w:rsidRPr="007833B9">
                    <w:t xml:space="preserve">In artikel 7, tweede lid, “onderdeel a,” wijzigen in: onderdeel a en b, (Conform artikel 13, eerste lid, laatste alinea, van de richtlijn).  </w:t>
                  </w:r>
                </w:p>
                <w:p w:rsidRPr="007833B9" w:rsidR="007833B9" w:rsidP="007833B9" w:rsidRDefault="00A833B6">
                  <w:pPr>
                    <w:numPr>
                      <w:ilvl w:val="0"/>
                      <w:numId w:val="1"/>
                    </w:numPr>
                  </w:pPr>
                  <w:r w:rsidRPr="007833B9">
                    <w:t xml:space="preserve">In artikel 7, vijfde lid, “mag niet meer bedragen” wijzigen in: bedraagt niet meer. </w:t>
                  </w:r>
                </w:p>
                <w:p w:rsidRPr="007833B9" w:rsidR="007833B9" w:rsidP="007833B9" w:rsidRDefault="00A833B6">
                  <w:pPr>
                    <w:numPr>
                      <w:ilvl w:val="0"/>
                      <w:numId w:val="1"/>
                    </w:numPr>
                  </w:pPr>
                  <w:r w:rsidRPr="007833B9">
                    <w:t xml:space="preserve">Aan artikel 8 toevoegen: op basis van elementen, waaronder tenminste het bedrag aan royalty’s of vergoedingen dat verschuldigd zou zijn geweest indien de inbreukmaker toestemming had gevraagd om het betrokken bedrijfsgeheim te gebruiken (Conform artikel 14, tweede lid, laatste volzin, van de richtlijn).  </w:t>
                  </w:r>
                </w:p>
                <w:p w:rsidR="00E70C71" w:rsidP="007833B9" w:rsidRDefault="00A833B6">
                  <w:pPr>
                    <w:numPr>
                      <w:ilvl w:val="0"/>
                      <w:numId w:val="1"/>
                    </w:numPr>
                  </w:pPr>
                  <w:r w:rsidRPr="007833B9">
                    <w:t xml:space="preserve">In artikel 1019ib, tweede lid, Rv “De in het eerste lid bedoelde verplichting” wijzigen in: Het in het eerste lid bedoelde verbod en “verplichting” wijzigen in: verbod (Conform artikel 1019ib Rv, eerste en tweede lid, laatste zin). </w:t>
                  </w:r>
                </w:p>
              </w:sdtContent>
            </w:sdt>
          </w:sdtContent>
        </w:sdt>
        <w:p w:rsidR="00C50D4F" w:rsidP="005841EA" w:rsidRDefault="00F9746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A833B6" w:rsidP="001410FD">
      <w:r>
        <w:separator/>
      </w:r>
    </w:p>
  </w:endnote>
  <w:endnote w:type="continuationSeparator" w:id="0">
    <w:p w:rsidR="00225B7E" w:rsidRDefault="00A833B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75985FE4" wp14:editId="71A3B78B">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A833B6" w:rsidP="001410FD">
      <w:r>
        <w:separator/>
      </w:r>
    </w:p>
  </w:footnote>
  <w:footnote w:type="continuationSeparator" w:id="0">
    <w:p w:rsidR="00225B7E" w:rsidRDefault="00A833B6" w:rsidP="001410FD">
      <w:r>
        <w:continuationSeparator/>
      </w:r>
    </w:p>
  </w:footnote>
  <w:footnote w:id="1">
    <w:p w:rsidR="007833B9" w:rsidRDefault="00A833B6" w:rsidP="007833B9">
      <w:pPr>
        <w:pStyle w:val="Voetnoottekst"/>
      </w:pPr>
      <w:r>
        <w:rPr>
          <w:rStyle w:val="Voetnootmarkering"/>
        </w:rPr>
        <w:footnoteRef/>
      </w:r>
      <w:r>
        <w:t xml:space="preserve"> </w:t>
      </w:r>
      <w:r>
        <w:tab/>
        <w:t xml:space="preserve">Richtlijn 2016/943/EU </w:t>
      </w:r>
      <w:r w:rsidRPr="00B36C09">
        <w:t xml:space="preserve">van het Europees Parlement en de Raad van 8 juni 2016 betreffende de </w:t>
      </w:r>
      <w:r>
        <w:tab/>
      </w:r>
      <w:r w:rsidRPr="00B36C09">
        <w:t xml:space="preserve">bescherming van niet-openbaar gemaakte knowhow en bedrijfsinformatie (bedrijfsgeheimen) tegen  </w:t>
      </w:r>
      <w:r>
        <w:tab/>
      </w:r>
      <w:r w:rsidRPr="00B36C09">
        <w:t>het onrechtmatig  verkrijgen, gebruiken  en openbaar  maken daarvan (PbEU 2016, L157)</w:t>
      </w:r>
      <w:r>
        <w:t>.</w:t>
      </w:r>
    </w:p>
  </w:footnote>
  <w:footnote w:id="2">
    <w:p w:rsidR="007833B9" w:rsidRDefault="00A833B6" w:rsidP="007833B9">
      <w:pPr>
        <w:pStyle w:val="Voetnoottekst"/>
      </w:pPr>
      <w:r>
        <w:rPr>
          <w:rStyle w:val="Voetnootmarkering"/>
        </w:rPr>
        <w:footnoteRef/>
      </w:r>
      <w:r>
        <w:t xml:space="preserve"> </w:t>
      </w:r>
      <w:r>
        <w:tab/>
        <w:t>Par</w:t>
      </w:r>
      <w:r w:rsidR="00410102">
        <w:t>agraaf</w:t>
      </w:r>
      <w:r>
        <w:t xml:space="preserve"> 4 van de memorie van toelichting: Consultatie en advies.  </w:t>
      </w:r>
    </w:p>
  </w:footnote>
  <w:footnote w:id="3">
    <w:p w:rsidR="007833B9" w:rsidRDefault="00A833B6" w:rsidP="007833B9">
      <w:pPr>
        <w:pStyle w:val="Voetnoottekst"/>
      </w:pPr>
      <w:r>
        <w:rPr>
          <w:rStyle w:val="Voetnootmarkering"/>
        </w:rPr>
        <w:footnoteRef/>
      </w:r>
      <w:r>
        <w:t xml:space="preserve"> </w:t>
      </w:r>
      <w:r>
        <w:tab/>
        <w:t xml:space="preserve">Advies van 7 september 2017.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E3551">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97461">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9746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0102"/>
    <w:rsid w:val="00411DBC"/>
    <w:rsid w:val="00554D49"/>
    <w:rsid w:val="005841EA"/>
    <w:rsid w:val="005E41CC"/>
    <w:rsid w:val="00635836"/>
    <w:rsid w:val="00636D17"/>
    <w:rsid w:val="00687984"/>
    <w:rsid w:val="006C5E3C"/>
    <w:rsid w:val="006D53BA"/>
    <w:rsid w:val="007009C5"/>
    <w:rsid w:val="00743072"/>
    <w:rsid w:val="00796479"/>
    <w:rsid w:val="007B3CD7"/>
    <w:rsid w:val="008108EA"/>
    <w:rsid w:val="00831363"/>
    <w:rsid w:val="00883369"/>
    <w:rsid w:val="008C5EDD"/>
    <w:rsid w:val="008E3551"/>
    <w:rsid w:val="00907421"/>
    <w:rsid w:val="00977969"/>
    <w:rsid w:val="009E537C"/>
    <w:rsid w:val="009E72D2"/>
    <w:rsid w:val="00A316AD"/>
    <w:rsid w:val="00A31DA9"/>
    <w:rsid w:val="00A833B6"/>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DF1A75"/>
    <w:rsid w:val="00E4090A"/>
    <w:rsid w:val="00F374C1"/>
    <w:rsid w:val="00F974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7833B9"/>
    <w:rPr>
      <w:vertAlign w:val="superscript"/>
    </w:rPr>
  </w:style>
  <w:style w:type="paragraph" w:styleId="Lijstalinea">
    <w:name w:val="List Paragraph"/>
    <w:basedOn w:val="Standaard"/>
    <w:uiPriority w:val="34"/>
    <w:qFormat/>
    <w:rsid w:val="007833B9"/>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7833B9"/>
    <w:rPr>
      <w:vertAlign w:val="superscript"/>
    </w:rPr>
  </w:style>
  <w:style w:type="paragraph" w:styleId="Lijstalinea">
    <w:name w:val="List Paragraph"/>
    <w:basedOn w:val="Standaard"/>
    <w:uiPriority w:val="34"/>
    <w:qFormat/>
    <w:rsid w:val="007833B9"/>
    <w:pPr>
      <w:ind w:left="720"/>
      <w:contextualSpacing/>
    </w:p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546</ap:Words>
  <ap:Characters>3139</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2017-11-08T13:05:00.0000000Z</lastPrinted>
  <dcterms:created xsi:type="dcterms:W3CDTF">2017-11-13T13:00:00.0000000Z</dcterms:created>
  <dcterms:modified xsi:type="dcterms:W3CDTF">2017-11-13T13:00:00.0000000Z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0x010100CC3F0A6C0FFEFB458E8C5BE4A21C0B9A</vt:lpwstr>
  </property>
</Properties>
</file>