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B71BA" w:rsidR="00391035" w:rsidP="00391035" w:rsidRDefault="00391035">
      <w:pPr>
        <w:rPr>
          <w:rFonts w:asciiTheme="minorHAnsi" w:hAnsiTheme="minorHAnsi"/>
          <w:b/>
          <w:sz w:val="22"/>
          <w:szCs w:val="22"/>
        </w:rPr>
      </w:pPr>
      <w:r w:rsidRPr="00FB71BA">
        <w:rPr>
          <w:rFonts w:asciiTheme="minorHAnsi" w:hAnsiTheme="minorHAnsi"/>
          <w:b/>
          <w:sz w:val="22"/>
          <w:szCs w:val="22"/>
        </w:rPr>
        <w:t>Lijst met EU-voorstellen op het terrein van de commissie EU</w:t>
      </w:r>
    </w:p>
    <w:p w:rsidRPr="00FB71BA" w:rsidR="00391035" w:rsidP="00391035" w:rsidRDefault="00391035">
      <w:pPr>
        <w:rPr>
          <w:rFonts w:asciiTheme="minorHAnsi" w:hAnsiTheme="minorHAnsi"/>
          <w:sz w:val="22"/>
          <w:szCs w:val="22"/>
          <w:u w:val="single"/>
        </w:rPr>
      </w:pPr>
    </w:p>
    <w:p w:rsidRPr="00FB71BA" w:rsidR="00391035" w:rsidP="00391035" w:rsidRDefault="00391035">
      <w:pPr>
        <w:rPr>
          <w:rFonts w:asciiTheme="minorHAnsi" w:hAnsiTheme="minorHAnsi"/>
          <w:sz w:val="22"/>
          <w:szCs w:val="22"/>
          <w:u w:val="single"/>
        </w:rPr>
      </w:pPr>
      <w:r w:rsidRPr="00FB71BA">
        <w:rPr>
          <w:rFonts w:asciiTheme="minorHAnsi" w:hAnsiTheme="minorHAnsi"/>
          <w:sz w:val="22"/>
          <w:szCs w:val="22"/>
          <w:u w:val="single"/>
        </w:rPr>
        <w:t>Integraal overzicht met nieuw gepubliceerde EU-voorstellen week 43-45 (20 oktober – 10 november 2017) d.d. 10 november 2017</w:t>
      </w:r>
    </w:p>
    <w:p w:rsidRPr="00FB71BA" w:rsidR="00391035" w:rsidP="00391035" w:rsidRDefault="00391035">
      <w:pPr>
        <w:rPr>
          <w:rFonts w:asciiTheme="minorHAnsi" w:hAnsiTheme="minorHAnsi"/>
          <w:sz w:val="22"/>
          <w:szCs w:val="22"/>
        </w:rPr>
      </w:pPr>
    </w:p>
    <w:p w:rsidRPr="00FB71BA" w:rsidR="00391035" w:rsidP="00391035" w:rsidRDefault="00391035">
      <w:pPr>
        <w:rPr>
          <w:rFonts w:asciiTheme="minorHAnsi" w:hAnsiTheme="minorHAnsi"/>
          <w:sz w:val="22"/>
          <w:szCs w:val="22"/>
        </w:rPr>
      </w:pPr>
      <w:r w:rsidRPr="00FB71BA">
        <w:rPr>
          <w:rFonts w:asciiTheme="minorHAnsi" w:hAnsiTheme="minorHAnsi"/>
          <w:color w:val="000000"/>
          <w:sz w:val="22"/>
          <w:szCs w:val="22"/>
        </w:rPr>
        <w:t>Rood gemarkeerd</w:t>
      </w:r>
      <w:r w:rsidRPr="00FB71BA">
        <w:rPr>
          <w:rFonts w:asciiTheme="minorHAnsi" w:hAnsiTheme="minorHAnsi"/>
          <w:sz w:val="22"/>
          <w:szCs w:val="22"/>
        </w:rPr>
        <w:t xml:space="preserve"> betekent dat het desbetreffende EU-voorstel een apart behandeltraject doorloopt. De bijzonderheden worden in dat geval in het veld “Opmerking” vermeld.</w:t>
      </w:r>
    </w:p>
    <w:p w:rsidRPr="00FB71BA" w:rsidR="00391035" w:rsidP="00391035" w:rsidRDefault="00391035">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374"/>
        <w:gridCol w:w="4759"/>
        <w:gridCol w:w="720"/>
        <w:gridCol w:w="1160"/>
        <w:gridCol w:w="4459"/>
      </w:tblGrid>
      <w:tr w:rsidRPr="00FB71BA" w:rsidR="008452E6" w:rsidTr="008452E6">
        <w:trPr>
          <w:trHeight w:val="1550"/>
        </w:trPr>
        <w:tc>
          <w:tcPr>
            <w:tcW w:w="980" w:type="dxa"/>
            <w:shd w:val="clear" w:color="auto" w:fill="auto"/>
            <w:textDirection w:val="btLr"/>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Publicatie-</w:t>
            </w:r>
          </w:p>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datum</w:t>
            </w:r>
          </w:p>
        </w:tc>
        <w:tc>
          <w:tcPr>
            <w:tcW w:w="1203" w:type="dxa"/>
            <w:shd w:val="clear" w:color="auto" w:fill="auto"/>
            <w:textDirection w:val="btLr"/>
            <w:vAlign w:val="bottom"/>
            <w:hideMark/>
          </w:tcPr>
          <w:p w:rsidRPr="00FB71BA" w:rsidR="00391035" w:rsidP="000269D6" w:rsidRDefault="00391035">
            <w:pPr>
              <w:jc w:val="center"/>
              <w:rPr>
                <w:rFonts w:asciiTheme="minorHAnsi" w:hAnsiTheme="minorHAnsi"/>
                <w:b/>
                <w:bCs/>
                <w:color w:val="000000"/>
                <w:sz w:val="22"/>
                <w:szCs w:val="22"/>
              </w:rPr>
            </w:pPr>
            <w:proofErr w:type="gramStart"/>
            <w:r w:rsidRPr="00FB71BA">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Soort</w:t>
            </w:r>
          </w:p>
        </w:tc>
        <w:tc>
          <w:tcPr>
            <w:tcW w:w="4744" w:type="dxa"/>
            <w:shd w:val="clear" w:color="auto" w:fill="auto"/>
            <w:textDirection w:val="btLr"/>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Titel</w:t>
            </w:r>
          </w:p>
        </w:tc>
        <w:tc>
          <w:tcPr>
            <w:tcW w:w="720" w:type="dxa"/>
            <w:shd w:val="clear" w:color="auto" w:fill="auto"/>
            <w:textDirection w:val="btLr"/>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COM-nummer</w:t>
            </w:r>
          </w:p>
        </w:tc>
        <w:tc>
          <w:tcPr>
            <w:tcW w:w="1156" w:type="dxa"/>
            <w:textDirection w:val="btLr"/>
          </w:tcPr>
          <w:p w:rsidRPr="00FB71BA" w:rsidR="00391035" w:rsidP="000269D6" w:rsidRDefault="00391035">
            <w:pPr>
              <w:jc w:val="center"/>
              <w:rPr>
                <w:rFonts w:asciiTheme="minorHAnsi" w:hAnsiTheme="minorHAnsi"/>
                <w:b/>
                <w:bCs/>
                <w:color w:val="000000"/>
                <w:sz w:val="22"/>
                <w:szCs w:val="22"/>
              </w:rPr>
            </w:pPr>
          </w:p>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Deadline</w:t>
            </w:r>
          </w:p>
          <w:p w:rsidRPr="00FB71BA" w:rsidR="00391035" w:rsidP="000269D6" w:rsidRDefault="00391035">
            <w:pPr>
              <w:jc w:val="center"/>
              <w:rPr>
                <w:rFonts w:asciiTheme="minorHAnsi" w:hAnsiTheme="minorHAnsi"/>
                <w:b/>
                <w:bCs/>
                <w:color w:val="000000"/>
                <w:sz w:val="22"/>
                <w:szCs w:val="22"/>
              </w:rPr>
            </w:pPr>
            <w:proofErr w:type="spellStart"/>
            <w:r w:rsidRPr="00FB71BA">
              <w:rPr>
                <w:rFonts w:asciiTheme="minorHAnsi" w:hAnsiTheme="minorHAnsi"/>
                <w:b/>
                <w:bCs/>
                <w:color w:val="000000"/>
                <w:sz w:val="22"/>
                <w:szCs w:val="22"/>
              </w:rPr>
              <w:t>Sub.toets</w:t>
            </w:r>
            <w:proofErr w:type="spellEnd"/>
          </w:p>
        </w:tc>
        <w:tc>
          <w:tcPr>
            <w:tcW w:w="4478" w:type="dxa"/>
            <w:shd w:val="clear" w:color="auto" w:fill="auto"/>
            <w:textDirection w:val="btLr"/>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Opmerking</w:t>
            </w:r>
          </w:p>
        </w:tc>
      </w:tr>
      <w:tr w:rsidRPr="00FB71BA" w:rsidR="00DA38D6" w:rsidTr="000269D6">
        <w:trPr>
          <w:trHeight w:val="300"/>
        </w:trPr>
        <w:tc>
          <w:tcPr>
            <w:tcW w:w="980" w:type="dxa"/>
            <w:tcBorders>
              <w:bottom w:val="single" w:color="auto" w:sz="4" w:space="0"/>
            </w:tcBorders>
            <w:shd w:val="clear" w:color="000000" w:fill="538DD5"/>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B71BA" w:rsidR="00391035" w:rsidP="000269D6" w:rsidRDefault="00391035">
            <w:pP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4819" w:type="dxa"/>
            <w:tcBorders>
              <w:bottom w:val="single" w:color="auto" w:sz="4" w:space="0"/>
            </w:tcBorders>
            <w:shd w:val="clear" w:color="000000" w:fill="538DD5"/>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B71BA" w:rsidR="00391035" w:rsidP="000269D6" w:rsidRDefault="00391035">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164" w:type="dxa"/>
            <w:tcBorders>
              <w:bottom w:val="single" w:color="auto" w:sz="4" w:space="0"/>
            </w:tcBorders>
            <w:shd w:val="clear" w:color="000000" w:fill="538DD5"/>
          </w:tcPr>
          <w:p w:rsidRPr="00FB71BA" w:rsidR="00391035" w:rsidP="000269D6" w:rsidRDefault="00391035">
            <w:pPr>
              <w:rPr>
                <w:rFonts w:asciiTheme="minorHAnsi" w:hAnsiTheme="minorHAnsi"/>
                <w:b/>
                <w:bCs/>
                <w:color w:val="000000"/>
                <w:sz w:val="22"/>
                <w:szCs w:val="22"/>
              </w:rPr>
            </w:pPr>
          </w:p>
        </w:tc>
        <w:tc>
          <w:tcPr>
            <w:tcW w:w="4515" w:type="dxa"/>
            <w:tcBorders>
              <w:bottom w:val="single" w:color="auto" w:sz="4" w:space="0"/>
            </w:tcBorders>
            <w:shd w:val="clear" w:color="000000" w:fill="538DD5"/>
            <w:hideMark/>
          </w:tcPr>
          <w:p w:rsidRPr="00FB71BA" w:rsidR="00391035" w:rsidP="000269D6" w:rsidRDefault="00391035">
            <w:pPr>
              <w:rPr>
                <w:rFonts w:asciiTheme="minorHAnsi" w:hAnsiTheme="minorHAnsi"/>
                <w:b/>
                <w:bCs/>
                <w:color w:val="000000"/>
                <w:sz w:val="22"/>
                <w:szCs w:val="22"/>
              </w:rPr>
            </w:pPr>
            <w:r w:rsidRPr="00FB71BA">
              <w:rPr>
                <w:rFonts w:asciiTheme="minorHAnsi" w:hAnsiTheme="minorHAnsi"/>
                <w:b/>
                <w:bCs/>
                <w:color w:val="000000"/>
                <w:sz w:val="22"/>
                <w:szCs w:val="22"/>
              </w:rPr>
              <w:t> </w:t>
            </w:r>
          </w:p>
        </w:tc>
      </w:tr>
      <w:tr w:rsidRPr="00FB71BA" w:rsidR="00260657" w:rsidTr="000269D6">
        <w:trPr>
          <w:trHeight w:val="2218"/>
        </w:trPr>
        <w:tc>
          <w:tcPr>
            <w:tcW w:w="980"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24-okt-17</w:t>
            </w:r>
          </w:p>
        </w:tc>
        <w:tc>
          <w:tcPr>
            <w:tcW w:w="1203"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254" w:type="dxa"/>
            <w:shd w:val="clear" w:color="auto" w:fill="auto"/>
            <w:noWrap/>
          </w:tcPr>
          <w:p w:rsidRPr="00FB71BA" w:rsidR="00391035" w:rsidP="00391035" w:rsidRDefault="00391035">
            <w:pPr>
              <w:rPr>
                <w:rFonts w:asciiTheme="minorHAnsi" w:hAnsiTheme="minorHAnsi"/>
                <w:color w:val="000000"/>
                <w:sz w:val="22"/>
                <w:szCs w:val="22"/>
              </w:rPr>
            </w:pPr>
            <w:r w:rsidRPr="00FB71BA">
              <w:rPr>
                <w:rFonts w:asciiTheme="minorHAnsi" w:hAnsiTheme="minorHAnsi"/>
                <w:color w:val="000000"/>
                <w:sz w:val="22"/>
                <w:szCs w:val="22"/>
              </w:rPr>
              <w:t xml:space="preserve">Mededeling </w:t>
            </w:r>
          </w:p>
        </w:tc>
        <w:tc>
          <w:tcPr>
            <w:tcW w:w="4819" w:type="dxa"/>
            <w:shd w:val="clear" w:color="auto" w:fill="auto"/>
          </w:tcPr>
          <w:p w:rsidRPr="00FB71BA" w:rsidR="00391035" w:rsidP="000269D6" w:rsidRDefault="00391035">
            <w:pPr>
              <w:rPr>
                <w:rFonts w:asciiTheme="minorHAnsi" w:hAnsiTheme="minorHAnsi" w:eastAsiaTheme="minorHAnsi"/>
                <w:color w:val="000000"/>
                <w:sz w:val="22"/>
                <w:szCs w:val="22"/>
              </w:rPr>
            </w:pPr>
            <w:r w:rsidRPr="00FB71BA">
              <w:rPr>
                <w:rFonts w:asciiTheme="minorHAnsi" w:hAnsiTheme="minorHAnsi" w:eastAsiaTheme="minorHAnsi"/>
                <w:color w:val="000000"/>
                <w:sz w:val="22"/>
                <w:szCs w:val="22"/>
              </w:rPr>
              <w:t xml:space="preserve">MEDEDELING VAN DE COMMISSIE AAN HET EUROPEES PARLEMENT, DE RAAD, HET EUROPEES ECONOMISCH EN SOCIAAL COMITÉ, HET COMITÉ VAN DE REGIO'S EN DE EUROPESE INVESTERINGSBANK Een nieuw en sterker strategisch partnerschap met de </w:t>
            </w:r>
            <w:proofErr w:type="spellStart"/>
            <w:r w:rsidRPr="00FB71BA">
              <w:rPr>
                <w:rFonts w:asciiTheme="minorHAnsi" w:hAnsiTheme="minorHAnsi" w:eastAsiaTheme="minorHAnsi"/>
                <w:color w:val="000000"/>
                <w:sz w:val="22"/>
                <w:szCs w:val="22"/>
              </w:rPr>
              <w:t>ultraperifere</w:t>
            </w:r>
            <w:proofErr w:type="spellEnd"/>
            <w:r w:rsidRPr="00FB71BA">
              <w:rPr>
                <w:rFonts w:asciiTheme="minorHAnsi" w:hAnsiTheme="minorHAnsi" w:eastAsiaTheme="minorHAnsi"/>
                <w:color w:val="000000"/>
                <w:sz w:val="22"/>
                <w:szCs w:val="22"/>
              </w:rPr>
              <w:t xml:space="preserve"> gebieden van de EU</w:t>
            </w:r>
          </w:p>
        </w:tc>
        <w:tc>
          <w:tcPr>
            <w:tcW w:w="720" w:type="dxa"/>
            <w:shd w:val="clear" w:color="auto" w:fill="auto"/>
            <w:noWrap/>
          </w:tcPr>
          <w:p w:rsidRPr="00FB71BA" w:rsidR="00391035" w:rsidP="000269D6" w:rsidRDefault="00500CE0">
            <w:pPr>
              <w:jc w:val="center"/>
              <w:rPr>
                <w:rFonts w:asciiTheme="minorHAnsi" w:hAnsiTheme="minorHAnsi"/>
                <w:color w:val="0000FF"/>
                <w:sz w:val="22"/>
                <w:szCs w:val="22"/>
                <w:u w:val="single"/>
                <w:lang w:val="en-GB"/>
              </w:rPr>
            </w:pPr>
            <w:hyperlink w:history="1" w:anchor="dossier-COM20170623" r:id="rId8">
              <w:r w:rsidRPr="00FB71BA" w:rsidR="00391035">
                <w:rPr>
                  <w:rStyle w:val="Hyperlink"/>
                  <w:rFonts w:asciiTheme="minorHAnsi" w:hAnsiTheme="minorHAnsi"/>
                  <w:sz w:val="22"/>
                  <w:szCs w:val="22"/>
                  <w:lang w:val="en-GB"/>
                </w:rPr>
                <w:t>623</w:t>
              </w:r>
            </w:hyperlink>
          </w:p>
        </w:tc>
        <w:tc>
          <w:tcPr>
            <w:tcW w:w="1164" w:type="dxa"/>
            <w:shd w:val="clear" w:color="auto" w:fill="auto"/>
          </w:tcPr>
          <w:p w:rsidRPr="00FB71BA" w:rsidR="00391035" w:rsidP="000269D6" w:rsidRDefault="00391035">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p>
        </w:tc>
        <w:tc>
          <w:tcPr>
            <w:tcW w:w="4515" w:type="dxa"/>
            <w:shd w:val="clear" w:color="auto" w:fill="auto"/>
          </w:tcPr>
          <w:p w:rsidRPr="00FB71BA" w:rsidR="00345BAA" w:rsidP="00345BAA" w:rsidRDefault="00391035">
            <w:pPr>
              <w:rPr>
                <w:rFonts w:asciiTheme="minorHAnsi" w:hAnsiTheme="minorHAnsi"/>
                <w:color w:val="000000"/>
                <w:sz w:val="22"/>
                <w:szCs w:val="22"/>
              </w:rPr>
            </w:pPr>
            <w:r w:rsidRPr="00FB71BA">
              <w:rPr>
                <w:rFonts w:asciiTheme="minorHAnsi" w:hAnsiTheme="minorHAnsi"/>
                <w:color w:val="000000"/>
                <w:sz w:val="22"/>
                <w:szCs w:val="22"/>
                <w:u w:val="single"/>
              </w:rPr>
              <w:t>Behandelvoorstel</w:t>
            </w:r>
            <w:r w:rsidRPr="00FB71BA">
              <w:rPr>
                <w:rFonts w:asciiTheme="minorHAnsi" w:hAnsiTheme="minorHAnsi"/>
                <w:color w:val="000000"/>
                <w:sz w:val="22"/>
                <w:szCs w:val="22"/>
              </w:rPr>
              <w:t xml:space="preserve">: </w:t>
            </w:r>
            <w:r w:rsidR="00500CE0">
              <w:rPr>
                <w:rFonts w:asciiTheme="minorHAnsi" w:hAnsiTheme="minorHAnsi"/>
                <w:color w:val="000000"/>
                <w:sz w:val="22"/>
                <w:szCs w:val="22"/>
              </w:rPr>
              <w:t xml:space="preserve">voor </w:t>
            </w:r>
            <w:bookmarkStart w:name="_GoBack" w:id="0"/>
            <w:bookmarkEnd w:id="0"/>
            <w:r w:rsidR="00984091">
              <w:rPr>
                <w:rFonts w:asciiTheme="minorHAnsi" w:hAnsiTheme="minorHAnsi"/>
                <w:color w:val="000000"/>
                <w:sz w:val="22"/>
                <w:szCs w:val="22"/>
              </w:rPr>
              <w:t xml:space="preserve">kennisgeving aannemen. </w:t>
            </w:r>
          </w:p>
          <w:p w:rsidRPr="00FB71BA" w:rsidR="00391035" w:rsidP="000269D6" w:rsidRDefault="00391035">
            <w:pPr>
              <w:rPr>
                <w:rFonts w:asciiTheme="minorHAnsi" w:hAnsiTheme="minorHAnsi"/>
                <w:color w:val="000000"/>
                <w:sz w:val="22"/>
                <w:szCs w:val="22"/>
              </w:rPr>
            </w:pPr>
          </w:p>
          <w:p w:rsidRPr="00FB71BA" w:rsidR="00391035" w:rsidP="000269D6" w:rsidRDefault="00391035">
            <w:pPr>
              <w:rPr>
                <w:rFonts w:asciiTheme="minorHAnsi" w:hAnsiTheme="minorHAnsi"/>
                <w:color w:val="000000"/>
                <w:sz w:val="22"/>
                <w:szCs w:val="22"/>
              </w:rPr>
            </w:pPr>
          </w:p>
          <w:p w:rsidRPr="00FB71BA" w:rsidR="00391035" w:rsidP="000269D6" w:rsidRDefault="00391035">
            <w:pPr>
              <w:rPr>
                <w:rFonts w:asciiTheme="minorHAnsi" w:hAnsiTheme="minorHAnsi"/>
                <w:color w:val="000000"/>
                <w:sz w:val="22"/>
                <w:szCs w:val="22"/>
                <w:highlight w:val="yellow"/>
              </w:rPr>
            </w:pPr>
          </w:p>
        </w:tc>
      </w:tr>
      <w:tr w:rsidRPr="00FB71BA" w:rsidR="00260657" w:rsidTr="000269D6">
        <w:trPr>
          <w:trHeight w:val="2268"/>
        </w:trPr>
        <w:tc>
          <w:tcPr>
            <w:tcW w:w="980" w:type="dxa"/>
            <w:shd w:val="clear" w:color="auto" w:fill="auto"/>
            <w:noWrap/>
          </w:tcPr>
          <w:p w:rsidRPr="00FB71BA" w:rsidR="00391035" w:rsidP="00391035" w:rsidRDefault="00391035">
            <w:pPr>
              <w:jc w:val="center"/>
              <w:rPr>
                <w:rFonts w:asciiTheme="minorHAnsi" w:hAnsiTheme="minorHAnsi"/>
                <w:color w:val="000000"/>
                <w:sz w:val="22"/>
                <w:szCs w:val="22"/>
              </w:rPr>
            </w:pPr>
            <w:r w:rsidRPr="00FB71BA">
              <w:rPr>
                <w:rFonts w:asciiTheme="minorHAnsi" w:hAnsiTheme="minorHAnsi"/>
                <w:color w:val="000000"/>
                <w:sz w:val="22"/>
                <w:szCs w:val="22"/>
              </w:rPr>
              <w:t>24-okt-17</w:t>
            </w:r>
          </w:p>
        </w:tc>
        <w:tc>
          <w:tcPr>
            <w:tcW w:w="1203"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254" w:type="dxa"/>
            <w:shd w:val="clear" w:color="auto" w:fill="auto"/>
            <w:noWrap/>
          </w:tcPr>
          <w:p w:rsidRPr="00FB71BA" w:rsidR="00391035" w:rsidP="000269D6" w:rsidRDefault="00391035">
            <w:pPr>
              <w:rPr>
                <w:rFonts w:asciiTheme="minorHAnsi" w:hAnsiTheme="minorHAnsi"/>
                <w:color w:val="000000"/>
                <w:sz w:val="22"/>
                <w:szCs w:val="22"/>
              </w:rPr>
            </w:pPr>
            <w:r w:rsidRPr="00FB71BA">
              <w:rPr>
                <w:rFonts w:asciiTheme="minorHAnsi" w:hAnsiTheme="minorHAnsi"/>
                <w:color w:val="000000"/>
                <w:sz w:val="22"/>
                <w:szCs w:val="22"/>
              </w:rPr>
              <w:t xml:space="preserve">Mededeling </w:t>
            </w:r>
          </w:p>
        </w:tc>
        <w:tc>
          <w:tcPr>
            <w:tcW w:w="4819" w:type="dxa"/>
            <w:shd w:val="clear" w:color="auto" w:fill="auto"/>
          </w:tcPr>
          <w:p w:rsidRPr="00FB71BA" w:rsidR="00345BAA" w:rsidP="00345BAA" w:rsidRDefault="00345BAA">
            <w:pPr>
              <w:rPr>
                <w:rFonts w:asciiTheme="minorHAnsi" w:hAnsiTheme="minorHAnsi"/>
                <w:color w:val="000000"/>
                <w:sz w:val="22"/>
                <w:szCs w:val="22"/>
                <w:lang w:val="en-GB"/>
              </w:rPr>
            </w:pPr>
            <w:r w:rsidRPr="00FB71BA">
              <w:rPr>
                <w:rFonts w:asciiTheme="minorHAnsi" w:hAnsiTheme="minorHAnsi"/>
                <w:color w:val="000000"/>
                <w:sz w:val="22"/>
                <w:szCs w:val="22"/>
                <w:lang w:val="en-GB"/>
              </w:rPr>
              <w:t>MEDEDELING VAN DE COMMISSIE AAN HET EUROPEES PARLEMENT, DE</w:t>
            </w:r>
          </w:p>
          <w:p w:rsidRPr="00FB71BA" w:rsidR="00345BAA" w:rsidP="00345BAA" w:rsidRDefault="00345BAA">
            <w:pPr>
              <w:rPr>
                <w:rFonts w:asciiTheme="minorHAnsi" w:hAnsiTheme="minorHAnsi"/>
                <w:color w:val="000000"/>
                <w:sz w:val="22"/>
                <w:szCs w:val="22"/>
                <w:lang w:val="en-GB"/>
              </w:rPr>
            </w:pPr>
            <w:r w:rsidRPr="00FB71BA">
              <w:rPr>
                <w:rFonts w:asciiTheme="minorHAnsi" w:hAnsiTheme="minorHAnsi"/>
                <w:color w:val="000000"/>
                <w:sz w:val="22"/>
                <w:szCs w:val="22"/>
                <w:lang w:val="en-GB"/>
              </w:rPr>
              <w:t>RAAD, HET EUROPEES ECONOMISCH EN SOCIAAL COMITÉ EN HET COMITÉ</w:t>
            </w:r>
          </w:p>
          <w:p w:rsidRPr="00FB71BA" w:rsidR="00345BAA" w:rsidP="00345BAA" w:rsidRDefault="00345BAA">
            <w:pPr>
              <w:rPr>
                <w:rFonts w:asciiTheme="minorHAnsi" w:hAnsiTheme="minorHAnsi"/>
                <w:color w:val="000000"/>
                <w:sz w:val="22"/>
                <w:szCs w:val="22"/>
                <w:lang w:val="en-GB"/>
              </w:rPr>
            </w:pPr>
            <w:r w:rsidRPr="00FB71BA">
              <w:rPr>
                <w:rFonts w:asciiTheme="minorHAnsi" w:hAnsiTheme="minorHAnsi"/>
                <w:color w:val="000000"/>
                <w:sz w:val="22"/>
                <w:szCs w:val="22"/>
                <w:lang w:val="en-GB"/>
              </w:rPr>
              <w:t>VAN DE REGIO'S</w:t>
            </w:r>
          </w:p>
          <w:p w:rsidRPr="00FB71BA" w:rsidR="00345BAA" w:rsidP="00345BAA" w:rsidRDefault="00345BAA">
            <w:pPr>
              <w:rPr>
                <w:rFonts w:asciiTheme="minorHAnsi" w:hAnsiTheme="minorHAnsi"/>
                <w:color w:val="000000"/>
                <w:sz w:val="22"/>
                <w:szCs w:val="22"/>
              </w:rPr>
            </w:pPr>
            <w:r w:rsidRPr="00FB71BA">
              <w:rPr>
                <w:rFonts w:asciiTheme="minorHAnsi" w:hAnsiTheme="minorHAnsi"/>
                <w:color w:val="000000"/>
                <w:sz w:val="22"/>
                <w:szCs w:val="22"/>
              </w:rPr>
              <w:t>Voltooiing van de agenda voor betere regelgeving: betere oplossingen voor betere resultaten</w:t>
            </w:r>
          </w:p>
        </w:tc>
        <w:tc>
          <w:tcPr>
            <w:tcW w:w="720" w:type="dxa"/>
            <w:shd w:val="clear" w:color="auto" w:fill="auto"/>
            <w:noWrap/>
          </w:tcPr>
          <w:p w:rsidRPr="00FB71BA" w:rsidR="00391035" w:rsidP="000269D6" w:rsidRDefault="00500CE0">
            <w:pPr>
              <w:jc w:val="center"/>
              <w:rPr>
                <w:rFonts w:asciiTheme="minorHAnsi" w:hAnsiTheme="minorHAnsi"/>
                <w:color w:val="0000FF"/>
                <w:sz w:val="22"/>
                <w:szCs w:val="22"/>
                <w:u w:val="single"/>
              </w:rPr>
            </w:pPr>
            <w:hyperlink w:history="1" r:id="rId9">
              <w:r w:rsidRPr="00FB71BA" w:rsidR="00391035">
                <w:rPr>
                  <w:rStyle w:val="Hyperlink"/>
                  <w:rFonts w:asciiTheme="minorHAnsi" w:hAnsiTheme="minorHAnsi"/>
                  <w:sz w:val="22"/>
                  <w:szCs w:val="22"/>
                </w:rPr>
                <w:t>651</w:t>
              </w:r>
            </w:hyperlink>
          </w:p>
        </w:tc>
        <w:tc>
          <w:tcPr>
            <w:tcW w:w="1164" w:type="dxa"/>
            <w:shd w:val="clear" w:color="auto" w:fill="auto"/>
          </w:tcPr>
          <w:p w:rsidRPr="00FB71BA" w:rsidR="00391035" w:rsidP="000269D6" w:rsidRDefault="00391035">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p>
        </w:tc>
        <w:tc>
          <w:tcPr>
            <w:tcW w:w="4515" w:type="dxa"/>
            <w:shd w:val="clear" w:color="auto" w:fill="auto"/>
          </w:tcPr>
          <w:p w:rsidRPr="00FB71BA" w:rsidR="00391035" w:rsidP="00345BAA" w:rsidRDefault="00391035">
            <w:pPr>
              <w:rPr>
                <w:rFonts w:asciiTheme="minorHAnsi" w:hAnsiTheme="minorHAnsi"/>
                <w:color w:val="000000"/>
                <w:sz w:val="22"/>
                <w:szCs w:val="22"/>
              </w:rPr>
            </w:pPr>
            <w:r w:rsidRPr="00FB71BA">
              <w:rPr>
                <w:rFonts w:asciiTheme="minorHAnsi" w:hAnsiTheme="minorHAnsi"/>
                <w:color w:val="000000"/>
                <w:sz w:val="22"/>
                <w:szCs w:val="22"/>
                <w:u w:val="single"/>
              </w:rPr>
              <w:t>Behandelvoorstel</w:t>
            </w:r>
            <w:r w:rsidRPr="00FB71BA">
              <w:rPr>
                <w:rFonts w:asciiTheme="minorHAnsi" w:hAnsiTheme="minorHAnsi"/>
                <w:color w:val="000000"/>
                <w:sz w:val="22"/>
                <w:szCs w:val="22"/>
              </w:rPr>
              <w:t xml:space="preserve">: </w:t>
            </w:r>
            <w:r w:rsidRPr="00FB71BA" w:rsidR="00345BAA">
              <w:rPr>
                <w:rFonts w:asciiTheme="minorHAnsi" w:hAnsiTheme="minorHAnsi"/>
                <w:color w:val="000000"/>
                <w:sz w:val="22"/>
                <w:szCs w:val="22"/>
              </w:rPr>
              <w:t xml:space="preserve">het kabinet verzoeken om een appreciatie </w:t>
            </w:r>
            <w:r w:rsidR="00984091">
              <w:rPr>
                <w:rFonts w:asciiTheme="minorHAnsi" w:hAnsiTheme="minorHAnsi"/>
                <w:color w:val="000000"/>
                <w:sz w:val="22"/>
                <w:szCs w:val="22"/>
              </w:rPr>
              <w:t xml:space="preserve">(bijvoorbeeld in de vorm van een BNC-fiche). </w:t>
            </w:r>
          </w:p>
          <w:p w:rsidRPr="00FB71BA" w:rsidR="00345BAA" w:rsidP="00345BAA" w:rsidRDefault="00345BAA">
            <w:pPr>
              <w:rPr>
                <w:rFonts w:asciiTheme="minorHAnsi" w:hAnsiTheme="minorHAnsi"/>
                <w:color w:val="000000"/>
                <w:sz w:val="22"/>
                <w:szCs w:val="22"/>
              </w:rPr>
            </w:pPr>
          </w:p>
          <w:p w:rsidRPr="00FB71BA" w:rsidR="00345BAA" w:rsidP="00345BAA" w:rsidRDefault="00345BAA">
            <w:pPr>
              <w:rPr>
                <w:rFonts w:asciiTheme="minorHAnsi" w:hAnsiTheme="minorHAnsi"/>
                <w:color w:val="FF0000"/>
                <w:sz w:val="22"/>
                <w:szCs w:val="22"/>
              </w:rPr>
            </w:pPr>
          </w:p>
        </w:tc>
      </w:tr>
      <w:tr w:rsidRPr="00FB71BA" w:rsidR="00391035" w:rsidTr="000269D6">
        <w:trPr>
          <w:trHeight w:val="1842"/>
        </w:trPr>
        <w:tc>
          <w:tcPr>
            <w:tcW w:w="980"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lastRenderedPageBreak/>
              <w:t>26-okt-17</w:t>
            </w:r>
          </w:p>
        </w:tc>
        <w:tc>
          <w:tcPr>
            <w:tcW w:w="1203"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254" w:type="dxa"/>
            <w:shd w:val="clear" w:color="auto" w:fill="auto"/>
            <w:noWrap/>
          </w:tcPr>
          <w:p w:rsidRPr="00FB71BA" w:rsidR="00391035" w:rsidP="000269D6" w:rsidRDefault="00391035">
            <w:pPr>
              <w:rPr>
                <w:rFonts w:asciiTheme="minorHAnsi" w:hAnsiTheme="minorHAnsi"/>
                <w:color w:val="000000"/>
                <w:sz w:val="22"/>
                <w:szCs w:val="22"/>
              </w:rPr>
            </w:pPr>
            <w:r w:rsidRPr="00FB71BA">
              <w:rPr>
                <w:rFonts w:asciiTheme="minorHAnsi" w:hAnsiTheme="minorHAnsi"/>
                <w:color w:val="000000"/>
                <w:sz w:val="22"/>
                <w:szCs w:val="22"/>
              </w:rPr>
              <w:t xml:space="preserve">Verslag </w:t>
            </w:r>
          </w:p>
        </w:tc>
        <w:tc>
          <w:tcPr>
            <w:tcW w:w="4819" w:type="dxa"/>
            <w:shd w:val="clear" w:color="auto" w:fill="auto"/>
          </w:tcPr>
          <w:p w:rsidRPr="00FB71BA" w:rsidR="00391035" w:rsidP="00391035" w:rsidRDefault="00391035">
            <w:pPr>
              <w:rPr>
                <w:rFonts w:asciiTheme="minorHAnsi" w:hAnsiTheme="minorHAnsi"/>
                <w:color w:val="000000"/>
                <w:sz w:val="22"/>
                <w:szCs w:val="22"/>
              </w:rPr>
            </w:pPr>
            <w:r w:rsidRPr="00FB71BA">
              <w:rPr>
                <w:rFonts w:asciiTheme="minorHAnsi" w:hAnsiTheme="minorHAnsi"/>
                <w:color w:val="000000"/>
                <w:sz w:val="22"/>
                <w:szCs w:val="22"/>
              </w:rPr>
              <w:t>VERSLAG VAN DE COMMISSIE AAN HET EUROPEES PARLEMENT EN DE RAAD over de bepalingen die door het tot aanstelling bevoegde gezag van elke instelling werden vastgesteld om uitvoering te geven aan het statuut</w:t>
            </w:r>
          </w:p>
        </w:tc>
        <w:tc>
          <w:tcPr>
            <w:tcW w:w="720" w:type="dxa"/>
            <w:shd w:val="clear" w:color="auto" w:fill="auto"/>
            <w:noWrap/>
          </w:tcPr>
          <w:p w:rsidRPr="00FB71BA" w:rsidR="00391035" w:rsidP="000269D6" w:rsidRDefault="00500CE0">
            <w:pPr>
              <w:jc w:val="center"/>
              <w:rPr>
                <w:rFonts w:asciiTheme="minorHAnsi" w:hAnsiTheme="minorHAnsi" w:eastAsiaTheme="minorHAnsi"/>
                <w:color w:val="0000FF"/>
                <w:sz w:val="22"/>
                <w:szCs w:val="22"/>
                <w:u w:val="single"/>
              </w:rPr>
            </w:pPr>
            <w:hyperlink w:history="1" r:id="rId10">
              <w:r w:rsidRPr="00FB71BA" w:rsidR="00391035">
                <w:rPr>
                  <w:rStyle w:val="Hyperlink"/>
                  <w:rFonts w:asciiTheme="minorHAnsi" w:hAnsiTheme="minorHAnsi"/>
                  <w:sz w:val="22"/>
                  <w:szCs w:val="22"/>
                </w:rPr>
                <w:t>632</w:t>
              </w:r>
            </w:hyperlink>
          </w:p>
        </w:tc>
        <w:tc>
          <w:tcPr>
            <w:tcW w:w="1164" w:type="dxa"/>
            <w:shd w:val="clear" w:color="auto" w:fill="auto"/>
          </w:tcPr>
          <w:p w:rsidRPr="00FB71BA" w:rsidR="00391035" w:rsidP="000269D6" w:rsidRDefault="00916F9C">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r w:rsidRPr="00FB71BA">
              <w:rPr>
                <w:rFonts w:asciiTheme="minorHAnsi" w:hAnsiTheme="minorHAnsi"/>
                <w:color w:val="000000"/>
                <w:sz w:val="22"/>
                <w:szCs w:val="22"/>
                <w:lang w:val="en-GB"/>
              </w:rPr>
              <w:t xml:space="preserve"> </w:t>
            </w:r>
          </w:p>
        </w:tc>
        <w:tc>
          <w:tcPr>
            <w:tcW w:w="4515" w:type="dxa"/>
            <w:shd w:val="clear" w:color="auto" w:fill="auto"/>
          </w:tcPr>
          <w:p w:rsidRPr="00FB71BA" w:rsidR="00391035" w:rsidP="000269D6" w:rsidRDefault="008452E6">
            <w:pPr>
              <w:rPr>
                <w:rFonts w:asciiTheme="minorHAnsi" w:hAnsiTheme="minorHAnsi"/>
                <w:color w:val="000000"/>
                <w:sz w:val="22"/>
                <w:szCs w:val="22"/>
                <w:u w:val="single"/>
              </w:rPr>
            </w:pPr>
            <w:r w:rsidRPr="00FB71BA">
              <w:rPr>
                <w:rFonts w:asciiTheme="minorHAnsi" w:hAnsiTheme="minorHAnsi"/>
                <w:color w:val="000000"/>
                <w:sz w:val="22"/>
                <w:szCs w:val="22"/>
                <w:u w:val="single"/>
              </w:rPr>
              <w:t>Behandelvoorstel</w:t>
            </w:r>
            <w:r w:rsidRPr="00FB71BA">
              <w:rPr>
                <w:rFonts w:asciiTheme="minorHAnsi" w:hAnsiTheme="minorHAnsi"/>
                <w:color w:val="000000"/>
                <w:sz w:val="22"/>
                <w:szCs w:val="22"/>
              </w:rPr>
              <w:t xml:space="preserve">: voor kennisgeving aannemen. </w:t>
            </w:r>
          </w:p>
        </w:tc>
      </w:tr>
      <w:tr w:rsidRPr="00FB71BA" w:rsidR="00391035" w:rsidTr="008452E6">
        <w:trPr>
          <w:trHeight w:val="1842"/>
        </w:trPr>
        <w:tc>
          <w:tcPr>
            <w:tcW w:w="980"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6-nov-17</w:t>
            </w:r>
          </w:p>
        </w:tc>
        <w:tc>
          <w:tcPr>
            <w:tcW w:w="1203"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374" w:type="dxa"/>
            <w:shd w:val="clear" w:color="auto" w:fill="auto"/>
            <w:noWrap/>
          </w:tcPr>
          <w:p w:rsidRPr="00FB71BA" w:rsidR="00391035" w:rsidP="000269D6" w:rsidRDefault="00391035">
            <w:pPr>
              <w:rPr>
                <w:rFonts w:asciiTheme="minorHAnsi" w:hAnsiTheme="minorHAnsi"/>
                <w:color w:val="000000"/>
                <w:sz w:val="22"/>
                <w:szCs w:val="22"/>
              </w:rPr>
            </w:pPr>
            <w:r w:rsidRPr="00FB71BA">
              <w:rPr>
                <w:rFonts w:asciiTheme="minorHAnsi" w:hAnsiTheme="minorHAnsi"/>
                <w:color w:val="000000"/>
                <w:sz w:val="22"/>
                <w:szCs w:val="22"/>
              </w:rPr>
              <w:t>Raadpleging</w:t>
            </w:r>
          </w:p>
        </w:tc>
        <w:tc>
          <w:tcPr>
            <w:tcW w:w="4744" w:type="dxa"/>
            <w:shd w:val="clear" w:color="auto" w:fill="auto"/>
          </w:tcPr>
          <w:p w:rsidRPr="00FB71BA" w:rsidR="00391035" w:rsidP="00391035" w:rsidRDefault="00391035">
            <w:pPr>
              <w:rPr>
                <w:rFonts w:asciiTheme="minorHAnsi" w:hAnsiTheme="minorHAnsi"/>
                <w:color w:val="000000"/>
                <w:sz w:val="22"/>
                <w:szCs w:val="22"/>
              </w:rPr>
            </w:pPr>
            <w:r w:rsidRPr="00FB71BA">
              <w:rPr>
                <w:rFonts w:asciiTheme="minorHAnsi" w:hAnsiTheme="minorHAnsi"/>
                <w:color w:val="000000"/>
                <w:sz w:val="22"/>
                <w:szCs w:val="22"/>
              </w:rPr>
              <w:t xml:space="preserve">Public </w:t>
            </w:r>
            <w:proofErr w:type="spellStart"/>
            <w:r w:rsidRPr="00FB71BA">
              <w:rPr>
                <w:rFonts w:asciiTheme="minorHAnsi" w:hAnsiTheme="minorHAnsi"/>
                <w:color w:val="000000"/>
                <w:sz w:val="22"/>
                <w:szCs w:val="22"/>
              </w:rPr>
              <w:t>consultation</w:t>
            </w:r>
            <w:proofErr w:type="spellEnd"/>
            <w:r w:rsidRPr="00FB71BA">
              <w:rPr>
                <w:rFonts w:asciiTheme="minorHAnsi" w:hAnsiTheme="minorHAnsi"/>
                <w:color w:val="000000"/>
                <w:sz w:val="22"/>
                <w:szCs w:val="22"/>
              </w:rPr>
              <w:t xml:space="preserve"> on </w:t>
            </w:r>
            <w:proofErr w:type="spellStart"/>
            <w:r w:rsidRPr="00FB71BA">
              <w:rPr>
                <w:rFonts w:asciiTheme="minorHAnsi" w:hAnsiTheme="minorHAnsi"/>
                <w:color w:val="000000"/>
                <w:sz w:val="22"/>
                <w:szCs w:val="22"/>
              </w:rPr>
              <w:t>the</w:t>
            </w:r>
            <w:proofErr w:type="spellEnd"/>
            <w:r w:rsidRPr="00FB71BA">
              <w:rPr>
                <w:rFonts w:asciiTheme="minorHAnsi" w:hAnsiTheme="minorHAnsi"/>
                <w:color w:val="000000"/>
                <w:sz w:val="22"/>
                <w:szCs w:val="22"/>
              </w:rPr>
              <w:t xml:space="preserve"> </w:t>
            </w:r>
            <w:proofErr w:type="spellStart"/>
            <w:r w:rsidRPr="00FB71BA">
              <w:rPr>
                <w:rFonts w:asciiTheme="minorHAnsi" w:hAnsiTheme="minorHAnsi"/>
                <w:color w:val="000000"/>
                <w:sz w:val="22"/>
                <w:szCs w:val="22"/>
              </w:rPr>
              <w:t>Thematic</w:t>
            </w:r>
            <w:proofErr w:type="spellEnd"/>
            <w:r w:rsidRPr="00FB71BA">
              <w:rPr>
                <w:rFonts w:asciiTheme="minorHAnsi" w:hAnsiTheme="minorHAnsi"/>
                <w:color w:val="000000"/>
                <w:sz w:val="22"/>
                <w:szCs w:val="22"/>
              </w:rPr>
              <w:t xml:space="preserve"> Evaluation of Instrument </w:t>
            </w:r>
            <w:proofErr w:type="spellStart"/>
            <w:r w:rsidRPr="00FB71BA">
              <w:rPr>
                <w:rFonts w:asciiTheme="minorHAnsi" w:hAnsiTheme="minorHAnsi"/>
                <w:color w:val="000000"/>
                <w:sz w:val="22"/>
                <w:szCs w:val="22"/>
              </w:rPr>
              <w:t>for</w:t>
            </w:r>
            <w:proofErr w:type="spellEnd"/>
            <w:r w:rsidRPr="00FB71BA">
              <w:rPr>
                <w:rFonts w:asciiTheme="minorHAnsi" w:hAnsiTheme="minorHAnsi"/>
                <w:color w:val="000000"/>
                <w:sz w:val="22"/>
                <w:szCs w:val="22"/>
              </w:rPr>
              <w:t xml:space="preserve"> Pre-</w:t>
            </w:r>
            <w:proofErr w:type="spellStart"/>
            <w:r w:rsidRPr="00FB71BA">
              <w:rPr>
                <w:rFonts w:asciiTheme="minorHAnsi" w:hAnsiTheme="minorHAnsi"/>
                <w:color w:val="000000"/>
                <w:sz w:val="22"/>
                <w:szCs w:val="22"/>
              </w:rPr>
              <w:t>accession</w:t>
            </w:r>
            <w:proofErr w:type="spellEnd"/>
            <w:r w:rsidRPr="00FB71BA">
              <w:rPr>
                <w:rFonts w:asciiTheme="minorHAnsi" w:hAnsiTheme="minorHAnsi"/>
                <w:color w:val="000000"/>
                <w:sz w:val="22"/>
                <w:szCs w:val="22"/>
              </w:rPr>
              <w:t xml:space="preserve"> Assistance </w:t>
            </w:r>
            <w:proofErr w:type="spellStart"/>
            <w:r w:rsidRPr="00FB71BA">
              <w:rPr>
                <w:rFonts w:asciiTheme="minorHAnsi" w:hAnsiTheme="minorHAnsi"/>
                <w:color w:val="000000"/>
                <w:sz w:val="22"/>
                <w:szCs w:val="22"/>
              </w:rPr>
              <w:t>and</w:t>
            </w:r>
            <w:proofErr w:type="spellEnd"/>
            <w:r w:rsidRPr="00FB71BA">
              <w:rPr>
                <w:rFonts w:asciiTheme="minorHAnsi" w:hAnsiTheme="minorHAnsi"/>
                <w:color w:val="000000"/>
                <w:sz w:val="22"/>
                <w:szCs w:val="22"/>
              </w:rPr>
              <w:t xml:space="preserve"> Eu</w:t>
            </w:r>
            <w:r w:rsidRPr="00FB71BA" w:rsidR="00260657">
              <w:rPr>
                <w:rFonts w:asciiTheme="minorHAnsi" w:hAnsiTheme="minorHAnsi"/>
                <w:color w:val="000000"/>
                <w:sz w:val="22"/>
                <w:szCs w:val="22"/>
              </w:rPr>
              <w:t xml:space="preserve">ropean </w:t>
            </w:r>
            <w:proofErr w:type="spellStart"/>
            <w:r w:rsidRPr="00FB71BA" w:rsidR="00260657">
              <w:rPr>
                <w:rFonts w:asciiTheme="minorHAnsi" w:hAnsiTheme="minorHAnsi"/>
                <w:color w:val="000000"/>
                <w:sz w:val="22"/>
                <w:szCs w:val="22"/>
              </w:rPr>
              <w:t>Neighbourhood</w:t>
            </w:r>
            <w:proofErr w:type="spellEnd"/>
            <w:r w:rsidRPr="00FB71BA" w:rsidR="00260657">
              <w:rPr>
                <w:rFonts w:asciiTheme="minorHAnsi" w:hAnsiTheme="minorHAnsi"/>
                <w:color w:val="000000"/>
                <w:sz w:val="22"/>
                <w:szCs w:val="22"/>
              </w:rPr>
              <w:t xml:space="preserve"> Instrument </w:t>
            </w:r>
            <w:r w:rsidRPr="00FB71BA">
              <w:rPr>
                <w:rFonts w:asciiTheme="minorHAnsi" w:hAnsiTheme="minorHAnsi"/>
                <w:color w:val="000000"/>
                <w:sz w:val="22"/>
                <w:szCs w:val="22"/>
              </w:rPr>
              <w:t xml:space="preserve">support </w:t>
            </w:r>
            <w:proofErr w:type="spellStart"/>
            <w:r w:rsidRPr="00FB71BA">
              <w:rPr>
                <w:rFonts w:asciiTheme="minorHAnsi" w:hAnsiTheme="minorHAnsi"/>
                <w:color w:val="000000"/>
                <w:sz w:val="22"/>
                <w:szCs w:val="22"/>
              </w:rPr>
              <w:t>to</w:t>
            </w:r>
            <w:proofErr w:type="spellEnd"/>
            <w:r w:rsidRPr="00FB71BA">
              <w:rPr>
                <w:rFonts w:asciiTheme="minorHAnsi" w:hAnsiTheme="minorHAnsi"/>
                <w:color w:val="000000"/>
                <w:sz w:val="22"/>
                <w:szCs w:val="22"/>
              </w:rPr>
              <w:t xml:space="preserve"> Public Administration Reform</w:t>
            </w:r>
          </w:p>
        </w:tc>
        <w:tc>
          <w:tcPr>
            <w:tcW w:w="720" w:type="dxa"/>
            <w:shd w:val="clear" w:color="auto" w:fill="auto"/>
            <w:noWrap/>
          </w:tcPr>
          <w:p w:rsidRPr="00FB71BA" w:rsidR="00391035" w:rsidP="000269D6" w:rsidRDefault="00391035">
            <w:pPr>
              <w:jc w:val="center"/>
              <w:rPr>
                <w:rFonts w:asciiTheme="minorHAnsi" w:hAnsiTheme="minorHAnsi"/>
                <w:color w:val="0000FF"/>
                <w:sz w:val="22"/>
                <w:szCs w:val="22"/>
                <w:u w:val="single"/>
              </w:rPr>
            </w:pPr>
            <w:hyperlink w:history="1" r:id="rId11">
              <w:r w:rsidRPr="00FB71BA">
                <w:rPr>
                  <w:rStyle w:val="Hyperlink"/>
                  <w:rFonts w:asciiTheme="minorHAnsi" w:hAnsiTheme="minorHAnsi"/>
                  <w:sz w:val="22"/>
                  <w:szCs w:val="22"/>
                </w:rPr>
                <w:t>OR</w:t>
              </w:r>
            </w:hyperlink>
          </w:p>
        </w:tc>
        <w:tc>
          <w:tcPr>
            <w:tcW w:w="1156" w:type="dxa"/>
            <w:shd w:val="clear" w:color="auto" w:fill="auto"/>
          </w:tcPr>
          <w:p w:rsidRPr="00FB71BA" w:rsidR="00391035" w:rsidP="000269D6" w:rsidRDefault="00916F9C">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r w:rsidRPr="00FB71BA">
              <w:rPr>
                <w:rFonts w:asciiTheme="minorHAnsi" w:hAnsiTheme="minorHAnsi"/>
                <w:color w:val="000000"/>
                <w:sz w:val="22"/>
                <w:szCs w:val="22"/>
                <w:lang w:val="en-GB"/>
              </w:rPr>
              <w:t xml:space="preserve">  </w:t>
            </w:r>
          </w:p>
        </w:tc>
        <w:tc>
          <w:tcPr>
            <w:tcW w:w="4478" w:type="dxa"/>
            <w:shd w:val="clear" w:color="auto" w:fill="auto"/>
          </w:tcPr>
          <w:p w:rsidRPr="00FB71BA" w:rsidR="00260657" w:rsidP="00260657" w:rsidRDefault="008452E6">
            <w:pPr>
              <w:pStyle w:val="Voetnoottekst"/>
              <w:autoSpaceDE w:val="0"/>
              <w:autoSpaceDN w:val="0"/>
              <w:rPr>
                <w:rFonts w:asciiTheme="minorHAnsi" w:hAnsiTheme="minorHAnsi"/>
                <w:sz w:val="22"/>
                <w:szCs w:val="22"/>
              </w:rPr>
            </w:pPr>
            <w:r w:rsidRPr="00FB71BA">
              <w:rPr>
                <w:rFonts w:asciiTheme="minorHAnsi" w:hAnsiTheme="minorHAnsi"/>
                <w:color w:val="000000"/>
                <w:sz w:val="22"/>
                <w:szCs w:val="22"/>
                <w:u w:val="single"/>
              </w:rPr>
              <w:t>Behandelvoorstel</w:t>
            </w:r>
            <w:r w:rsidRPr="00FB71BA" w:rsidR="00260657">
              <w:rPr>
                <w:rFonts w:asciiTheme="minorHAnsi" w:hAnsiTheme="minorHAnsi"/>
                <w:color w:val="000000"/>
                <w:sz w:val="22"/>
                <w:szCs w:val="22"/>
                <w:u w:val="single"/>
              </w:rPr>
              <w:t>:</w:t>
            </w:r>
            <w:r w:rsidRPr="00FB71BA" w:rsidR="00260657">
              <w:rPr>
                <w:rFonts w:asciiTheme="minorHAnsi" w:hAnsiTheme="minorHAnsi"/>
                <w:color w:val="000000"/>
                <w:sz w:val="22"/>
                <w:szCs w:val="22"/>
              </w:rPr>
              <w:t xml:space="preserve"> het </w:t>
            </w:r>
            <w:r w:rsidRPr="00FB71BA" w:rsidR="00260657">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sidR="00260657">
              <w:rPr>
                <w:rFonts w:asciiTheme="minorHAnsi" w:hAnsiTheme="minorHAnsi"/>
                <w:sz w:val="22"/>
                <w:szCs w:val="22"/>
              </w:rPr>
              <w:t>teneinde</w:t>
            </w:r>
            <w:proofErr w:type="gramEnd"/>
            <w:r w:rsidRPr="00FB71BA" w:rsidR="00260657">
              <w:rPr>
                <w:rFonts w:asciiTheme="minorHAnsi" w:hAnsiTheme="minorHAnsi"/>
                <w:sz w:val="22"/>
                <w:szCs w:val="22"/>
              </w:rPr>
              <w:t xml:space="preserve"> desgewenst hierover met de bewindspersoon in gesprek te treden.</w:t>
            </w:r>
          </w:p>
          <w:p w:rsidRPr="00FB71BA" w:rsidR="00260657" w:rsidP="00260657" w:rsidRDefault="00260657">
            <w:pPr>
              <w:pStyle w:val="Voetnoottekst"/>
              <w:autoSpaceDE w:val="0"/>
              <w:autoSpaceDN w:val="0"/>
              <w:rPr>
                <w:rFonts w:asciiTheme="minorHAnsi" w:hAnsiTheme="minorHAnsi"/>
                <w:sz w:val="22"/>
                <w:szCs w:val="22"/>
              </w:rPr>
            </w:pPr>
          </w:p>
          <w:p w:rsidRPr="00FB71BA" w:rsidR="00260657" w:rsidP="00260657" w:rsidRDefault="00260657">
            <w:pPr>
              <w:pStyle w:val="Voetnoottekst"/>
              <w:autoSpaceDE w:val="0"/>
              <w:autoSpaceDN w:val="0"/>
              <w:rPr>
                <w:rFonts w:asciiTheme="minorHAnsi" w:hAnsiTheme="minorHAnsi"/>
                <w:sz w:val="22"/>
                <w:szCs w:val="22"/>
              </w:rPr>
            </w:pPr>
            <w:r w:rsidRPr="00FB71BA">
              <w:rPr>
                <w:rFonts w:asciiTheme="minorHAnsi" w:hAnsiTheme="minorHAnsi"/>
                <w:sz w:val="22"/>
                <w:szCs w:val="22"/>
              </w:rPr>
              <w:t>Noot: desgewenst als burger, lid, fractie of in commissieverband (via schriftelijke inbreng in de vorm van een politieke dialoog) meedoen aan de openbare raadpleging.</w:t>
            </w:r>
          </w:p>
          <w:p w:rsidRPr="00FB71BA" w:rsidR="00260657" w:rsidP="00260657" w:rsidRDefault="00260657">
            <w:pPr>
              <w:rPr>
                <w:rFonts w:asciiTheme="minorHAnsi" w:hAnsiTheme="minorHAnsi"/>
                <w:color w:val="000000"/>
                <w:sz w:val="22"/>
                <w:szCs w:val="22"/>
                <w:u w:val="single"/>
              </w:rPr>
            </w:pPr>
          </w:p>
        </w:tc>
      </w:tr>
      <w:tr w:rsidRPr="00FB71BA" w:rsidR="00391035" w:rsidTr="008452E6">
        <w:trPr>
          <w:trHeight w:val="1842"/>
        </w:trPr>
        <w:tc>
          <w:tcPr>
            <w:tcW w:w="980"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6-nov-17</w:t>
            </w:r>
          </w:p>
        </w:tc>
        <w:tc>
          <w:tcPr>
            <w:tcW w:w="1203" w:type="dxa"/>
            <w:shd w:val="clear" w:color="auto" w:fill="auto"/>
            <w:noWrap/>
          </w:tcPr>
          <w:p w:rsidRPr="00FB71BA" w:rsidR="00391035" w:rsidP="000269D6" w:rsidRDefault="00391035">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374" w:type="dxa"/>
            <w:shd w:val="clear" w:color="auto" w:fill="auto"/>
            <w:noWrap/>
          </w:tcPr>
          <w:p w:rsidRPr="00FB71BA" w:rsidR="00391035" w:rsidP="000269D6" w:rsidRDefault="00391035">
            <w:pPr>
              <w:rPr>
                <w:rFonts w:asciiTheme="minorHAnsi" w:hAnsiTheme="minorHAnsi"/>
                <w:color w:val="000000"/>
                <w:sz w:val="22"/>
                <w:szCs w:val="22"/>
              </w:rPr>
            </w:pPr>
            <w:r w:rsidRPr="00FB71BA">
              <w:rPr>
                <w:rFonts w:asciiTheme="minorHAnsi" w:hAnsiTheme="minorHAnsi"/>
                <w:color w:val="000000"/>
                <w:sz w:val="22"/>
                <w:szCs w:val="22"/>
              </w:rPr>
              <w:t xml:space="preserve">Besluit </w:t>
            </w:r>
          </w:p>
        </w:tc>
        <w:tc>
          <w:tcPr>
            <w:tcW w:w="4744" w:type="dxa"/>
            <w:shd w:val="clear" w:color="auto" w:fill="auto"/>
          </w:tcPr>
          <w:p w:rsidRPr="00FB71BA" w:rsidR="00391035" w:rsidP="00391035" w:rsidRDefault="00391035">
            <w:pPr>
              <w:rPr>
                <w:rFonts w:asciiTheme="minorHAnsi" w:hAnsiTheme="minorHAnsi"/>
                <w:color w:val="000000"/>
                <w:sz w:val="22"/>
                <w:szCs w:val="22"/>
              </w:rPr>
            </w:pPr>
            <w:r w:rsidRPr="00FB71BA">
              <w:rPr>
                <w:rFonts w:asciiTheme="minorHAnsi" w:hAnsiTheme="minorHAnsi"/>
                <w:color w:val="000000"/>
                <w:sz w:val="22"/>
                <w:szCs w:val="22"/>
              </w:rPr>
              <w:t>het Voorstel voor een BESLUIT VAN DE RAAD betreffende het namens de Europese Unie in het Gemengd Comité van de EER in te nemen standpunt over een wijziging van het reglement van orde van het Gemengd Comité van de EER</w:t>
            </w:r>
          </w:p>
        </w:tc>
        <w:tc>
          <w:tcPr>
            <w:tcW w:w="720" w:type="dxa"/>
            <w:shd w:val="clear" w:color="auto" w:fill="auto"/>
            <w:noWrap/>
          </w:tcPr>
          <w:p w:rsidRPr="00FB71BA" w:rsidR="00391035" w:rsidP="000269D6" w:rsidRDefault="00500CE0">
            <w:pPr>
              <w:jc w:val="center"/>
              <w:rPr>
                <w:rFonts w:asciiTheme="minorHAnsi" w:hAnsiTheme="minorHAnsi"/>
                <w:color w:val="0000FF"/>
                <w:sz w:val="22"/>
                <w:szCs w:val="22"/>
                <w:u w:val="single"/>
              </w:rPr>
            </w:pPr>
            <w:hyperlink w:history="1" r:id="rId12">
              <w:r w:rsidRPr="00FB71BA" w:rsidR="00F05799">
                <w:rPr>
                  <w:rStyle w:val="Hyperlink"/>
                  <w:rFonts w:asciiTheme="minorHAnsi" w:hAnsiTheme="minorHAnsi"/>
                  <w:sz w:val="22"/>
                  <w:szCs w:val="22"/>
                </w:rPr>
                <w:t>638</w:t>
              </w:r>
            </w:hyperlink>
          </w:p>
        </w:tc>
        <w:tc>
          <w:tcPr>
            <w:tcW w:w="1156" w:type="dxa"/>
            <w:shd w:val="clear" w:color="auto" w:fill="auto"/>
          </w:tcPr>
          <w:p w:rsidRPr="00FB71BA" w:rsidR="00391035" w:rsidP="000269D6" w:rsidRDefault="00916F9C">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r w:rsidRPr="00FB71BA">
              <w:rPr>
                <w:rFonts w:asciiTheme="minorHAnsi" w:hAnsiTheme="minorHAnsi"/>
                <w:color w:val="000000"/>
                <w:sz w:val="22"/>
                <w:szCs w:val="22"/>
                <w:lang w:val="en-GB"/>
              </w:rPr>
              <w:t xml:space="preserve">  </w:t>
            </w:r>
          </w:p>
        </w:tc>
        <w:tc>
          <w:tcPr>
            <w:tcW w:w="4478" w:type="dxa"/>
            <w:shd w:val="clear" w:color="auto" w:fill="auto"/>
          </w:tcPr>
          <w:p w:rsidRPr="00FB71BA" w:rsidR="00391035" w:rsidP="000269D6" w:rsidRDefault="00916F9C">
            <w:pPr>
              <w:rPr>
                <w:rFonts w:asciiTheme="minorHAnsi" w:hAnsiTheme="minorHAnsi"/>
                <w:color w:val="000000"/>
                <w:sz w:val="22"/>
                <w:szCs w:val="22"/>
              </w:rPr>
            </w:pPr>
            <w:r w:rsidRPr="00FB71BA">
              <w:rPr>
                <w:rFonts w:asciiTheme="minorHAnsi" w:hAnsiTheme="minorHAnsi"/>
                <w:color w:val="000000"/>
                <w:sz w:val="22"/>
                <w:szCs w:val="22"/>
                <w:u w:val="single"/>
              </w:rPr>
              <w:t>Behandelvoorstel</w:t>
            </w:r>
            <w:r w:rsidRPr="00FB71BA">
              <w:rPr>
                <w:rFonts w:asciiTheme="minorHAnsi" w:hAnsiTheme="minorHAnsi"/>
                <w:color w:val="000000"/>
                <w:sz w:val="22"/>
                <w:szCs w:val="22"/>
              </w:rPr>
              <w:t>: voor kennisgeving aannemen.</w:t>
            </w:r>
          </w:p>
        </w:tc>
      </w:tr>
    </w:tbl>
    <w:p w:rsidRPr="00FB71BA" w:rsidR="00391035" w:rsidP="00391035" w:rsidRDefault="00391035">
      <w:pPr>
        <w:rPr>
          <w:rFonts w:asciiTheme="minorHAnsi" w:hAnsiTheme="minorHAnsi"/>
          <w:b/>
          <w:sz w:val="22"/>
          <w:szCs w:val="22"/>
        </w:rPr>
      </w:pPr>
    </w:p>
    <w:p w:rsidRPr="00FB71BA" w:rsidR="00391035" w:rsidP="00391035" w:rsidRDefault="00391035">
      <w:pPr>
        <w:rPr>
          <w:rFonts w:asciiTheme="minorHAnsi" w:hAnsiTheme="minorHAnsi"/>
          <w:b/>
          <w:sz w:val="22"/>
          <w:szCs w:val="22"/>
        </w:rPr>
      </w:pPr>
    </w:p>
    <w:p w:rsidRPr="00FB71BA" w:rsidR="00391035" w:rsidP="00391035" w:rsidRDefault="00391035">
      <w:pPr>
        <w:rPr>
          <w:rFonts w:asciiTheme="minorHAnsi" w:hAnsiTheme="minorHAnsi"/>
          <w:b/>
          <w:sz w:val="22"/>
          <w:szCs w:val="22"/>
        </w:rPr>
      </w:pPr>
    </w:p>
    <w:p w:rsidRPr="00FB71BA" w:rsidR="008452E6" w:rsidP="00391035" w:rsidRDefault="008452E6">
      <w:pPr>
        <w:rPr>
          <w:rFonts w:asciiTheme="minorHAnsi" w:hAnsiTheme="minorHAnsi"/>
          <w:b/>
          <w:sz w:val="22"/>
          <w:szCs w:val="22"/>
        </w:rPr>
      </w:pPr>
    </w:p>
    <w:p w:rsidRPr="00FB71BA" w:rsidR="008452E6" w:rsidP="00391035" w:rsidRDefault="008452E6">
      <w:pPr>
        <w:rPr>
          <w:rFonts w:asciiTheme="minorHAnsi" w:hAnsiTheme="minorHAnsi"/>
          <w:b/>
          <w:sz w:val="22"/>
          <w:szCs w:val="22"/>
        </w:rPr>
      </w:pPr>
    </w:p>
    <w:p w:rsidRPr="00FB71BA" w:rsidR="008452E6" w:rsidP="00391035" w:rsidRDefault="008452E6">
      <w:pPr>
        <w:rPr>
          <w:rFonts w:asciiTheme="minorHAnsi" w:hAnsiTheme="minorHAnsi"/>
          <w:b/>
          <w:sz w:val="22"/>
          <w:szCs w:val="22"/>
        </w:rPr>
      </w:pPr>
    </w:p>
    <w:p w:rsidRPr="00FB71BA" w:rsidR="008452E6" w:rsidP="00391035" w:rsidRDefault="008452E6">
      <w:pPr>
        <w:rPr>
          <w:rFonts w:asciiTheme="minorHAnsi" w:hAnsiTheme="minorHAnsi"/>
          <w:b/>
          <w:sz w:val="22"/>
          <w:szCs w:val="22"/>
        </w:rPr>
      </w:pPr>
    </w:p>
    <w:p w:rsidRPr="00FB71BA" w:rsidR="008452E6" w:rsidP="00391035" w:rsidRDefault="008452E6">
      <w:pPr>
        <w:rPr>
          <w:rFonts w:asciiTheme="minorHAnsi" w:hAnsiTheme="minorHAnsi"/>
          <w:b/>
          <w:sz w:val="22"/>
          <w:szCs w:val="22"/>
        </w:rPr>
      </w:pPr>
    </w:p>
    <w:p w:rsidRPr="00FB71BA" w:rsidR="00391035" w:rsidP="00391035" w:rsidRDefault="00391035">
      <w:pPr>
        <w:pStyle w:val="Voetnoottekst"/>
        <w:rPr>
          <w:rFonts w:asciiTheme="minorHAnsi" w:hAnsiTheme="minorHAnsi"/>
          <w:b/>
          <w:sz w:val="22"/>
          <w:szCs w:val="22"/>
        </w:rPr>
      </w:pPr>
      <w:r w:rsidRPr="00FB71BA">
        <w:rPr>
          <w:rFonts w:asciiTheme="minorHAnsi" w:hAnsiTheme="minorHAnsi"/>
          <w:b/>
          <w:sz w:val="22"/>
          <w:szCs w:val="22"/>
        </w:rPr>
        <w:t>Behandelmogelijkheden EU-voorstellen</w:t>
      </w:r>
    </w:p>
    <w:p w:rsidRPr="00FB71BA" w:rsidR="00391035" w:rsidP="00391035" w:rsidRDefault="00391035">
      <w:pPr>
        <w:pStyle w:val="Voetnoottekst"/>
        <w:rPr>
          <w:rFonts w:asciiTheme="minorHAnsi" w:hAnsiTheme="minorHAnsi"/>
          <w:sz w:val="22"/>
          <w:szCs w:val="22"/>
        </w:rPr>
      </w:pPr>
    </w:p>
    <w:p w:rsidRPr="00FB71BA" w:rsidR="00391035" w:rsidP="00391035" w:rsidRDefault="00391035">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391035" w:rsidP="00391035" w:rsidRDefault="00391035">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391035" w:rsidP="00391035" w:rsidRDefault="00391035">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391035" w:rsidTr="000269D6">
        <w:tc>
          <w:tcPr>
            <w:tcW w:w="2093" w:type="dxa"/>
          </w:tcPr>
          <w:p w:rsidRPr="00FB71BA" w:rsidR="00391035" w:rsidP="000269D6" w:rsidRDefault="00391035">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391035" w:rsidP="000269D6" w:rsidRDefault="00391035">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391035" w:rsidP="000269D6" w:rsidRDefault="00391035">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391035" w:rsidTr="000269D6">
        <w:tc>
          <w:tcPr>
            <w:tcW w:w="14142" w:type="dxa"/>
            <w:gridSpan w:val="3"/>
          </w:tcPr>
          <w:p w:rsidRPr="00FB71BA" w:rsidR="00391035" w:rsidP="000269D6" w:rsidRDefault="00391035">
            <w:pPr>
              <w:pStyle w:val="Voetnoottekst"/>
              <w:rPr>
                <w:rFonts w:asciiTheme="minorHAnsi" w:hAnsiTheme="minorHAnsi"/>
                <w:i/>
                <w:sz w:val="22"/>
                <w:szCs w:val="22"/>
              </w:rPr>
            </w:pPr>
          </w:p>
          <w:p w:rsidRPr="00FB71BA" w:rsidR="00391035" w:rsidP="000269D6" w:rsidRDefault="00391035">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w:t>
            </w:r>
            <w:r w:rsidRPr="00FB71BA">
              <w:rPr>
                <w:rFonts w:asciiTheme="minorHAnsi" w:hAnsiTheme="minorHAnsi"/>
                <w:sz w:val="22"/>
                <w:szCs w:val="22"/>
              </w:rPr>
              <w:lastRenderedPageBreak/>
              <w:t>onderhandelingstraject: nationale 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w:t>
            </w:r>
            <w:r w:rsidRPr="00FB71BA">
              <w:rPr>
                <w:rFonts w:asciiTheme="minorHAnsi" w:hAnsiTheme="minorHAnsi"/>
                <w:sz w:val="22"/>
                <w:szCs w:val="22"/>
              </w:rPr>
              <w:lastRenderedPageBreak/>
              <w:t xml:space="preserve">voorgesteld. </w:t>
            </w:r>
          </w:p>
        </w:tc>
        <w:tc>
          <w:tcPr>
            <w:tcW w:w="5103" w:type="dxa"/>
            <w:vMerge/>
          </w:tcPr>
          <w:p w:rsidRPr="00FB71BA" w:rsidR="00391035" w:rsidP="000269D6" w:rsidRDefault="00391035">
            <w:pPr>
              <w:pStyle w:val="Voetnoottekst"/>
              <w:numPr>
                <w:ilvl w:val="0"/>
                <w:numId w:val="2"/>
              </w:numPr>
              <w:ind w:left="317" w:hanging="283"/>
              <w:rPr>
                <w:rFonts w:asciiTheme="minorHAnsi" w:hAnsiTheme="minorHAnsi"/>
                <w:sz w:val="22"/>
                <w:szCs w:val="22"/>
              </w:rPr>
            </w:pP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391035" w:rsidP="000269D6" w:rsidRDefault="00391035">
            <w:pPr>
              <w:pStyle w:val="Voetnoottekst"/>
              <w:numPr>
                <w:ilvl w:val="0"/>
                <w:numId w:val="2"/>
              </w:numPr>
              <w:ind w:left="317" w:hanging="283"/>
              <w:rPr>
                <w:rFonts w:asciiTheme="minorHAnsi" w:hAnsiTheme="minorHAnsi"/>
                <w:sz w:val="22"/>
                <w:szCs w:val="22"/>
              </w:rPr>
            </w:pPr>
          </w:p>
        </w:tc>
      </w:tr>
      <w:tr w:rsidRPr="00FB71BA" w:rsidR="00391035" w:rsidTr="000269D6">
        <w:tc>
          <w:tcPr>
            <w:tcW w:w="14142" w:type="dxa"/>
            <w:gridSpan w:val="3"/>
          </w:tcPr>
          <w:p w:rsidRPr="00FB71BA" w:rsidR="00391035" w:rsidP="000269D6" w:rsidRDefault="00391035">
            <w:pPr>
              <w:pStyle w:val="Voetnoottekst"/>
              <w:rPr>
                <w:rFonts w:asciiTheme="minorHAnsi" w:hAnsiTheme="minorHAnsi"/>
                <w:i/>
                <w:sz w:val="22"/>
                <w:szCs w:val="22"/>
              </w:rPr>
            </w:pPr>
            <w:r w:rsidRPr="00FB71BA">
              <w:rPr>
                <w:rFonts w:asciiTheme="minorHAnsi" w:hAnsiTheme="minorHAnsi"/>
                <w:i/>
                <w:sz w:val="22"/>
                <w:szCs w:val="22"/>
              </w:rPr>
              <w:t>Niet-wetgevende bindende rechtshandelingen</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391035" w:rsidP="000269D6" w:rsidRDefault="00391035">
            <w:pPr>
              <w:pStyle w:val="Voetnoottekst"/>
              <w:ind w:left="360"/>
              <w:rPr>
                <w:rFonts w:asciiTheme="minorHAnsi" w:hAnsiTheme="minorHAnsi"/>
                <w:sz w:val="22"/>
                <w:szCs w:val="22"/>
              </w:rPr>
            </w:pP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w:t>
            </w:r>
            <w:r w:rsidRPr="00FB71BA">
              <w:rPr>
                <w:rFonts w:asciiTheme="minorHAnsi" w:hAnsiTheme="minorHAnsi"/>
                <w:sz w:val="22"/>
                <w:szCs w:val="22"/>
              </w:rPr>
              <w:lastRenderedPageBreak/>
              <w:t>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391035" w:rsidP="000269D6" w:rsidRDefault="00391035">
            <w:pPr>
              <w:numPr>
                <w:ilvl w:val="0"/>
                <w:numId w:val="1"/>
              </w:numPr>
              <w:rPr>
                <w:rFonts w:asciiTheme="minorHAnsi" w:hAnsiTheme="minorHAnsi"/>
                <w:sz w:val="22"/>
                <w:szCs w:val="22"/>
              </w:rPr>
            </w:pPr>
            <w:r w:rsidRPr="00FB71BA">
              <w:rPr>
                <w:rFonts w:asciiTheme="minorHAnsi" w:hAnsiTheme="minorHAnsi"/>
                <w:color w:val="000000"/>
                <w:sz w:val="22"/>
                <w:szCs w:val="22"/>
              </w:rPr>
              <w:lastRenderedPageBreak/>
              <w:t xml:space="preserve">op basis van </w:t>
            </w:r>
            <w:r w:rsidRPr="00FB71BA">
              <w:rPr>
                <w:rFonts w:asciiTheme="minorHAnsi" w:hAnsiTheme="minorHAnsi"/>
                <w:sz w:val="22"/>
                <w:szCs w:val="22"/>
              </w:rPr>
              <w:t xml:space="preserve">de </w:t>
            </w:r>
            <w:hyperlink w:history="1" r:id="rId13">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het kabinet de Kamer afschriften te sturen van haar correspondentie met de Europese Commissie over de uitvoering van Europese regelgeving.</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391035" w:rsidP="000269D6" w:rsidRDefault="00391035">
            <w:pPr>
              <w:pStyle w:val="Voetnoottekst"/>
              <w:rPr>
                <w:rFonts w:asciiTheme="minorHAnsi" w:hAnsiTheme="minorHAnsi"/>
                <w:sz w:val="22"/>
                <w:szCs w:val="22"/>
              </w:rPr>
            </w:pPr>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391035" w:rsidP="000269D6" w:rsidRDefault="00391035">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391035" w:rsidTr="000269D6">
        <w:tc>
          <w:tcPr>
            <w:tcW w:w="14142" w:type="dxa"/>
            <w:gridSpan w:val="3"/>
          </w:tcPr>
          <w:p w:rsidRPr="00FB71BA" w:rsidR="00391035" w:rsidP="000269D6" w:rsidRDefault="00391035">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391035" w:rsidP="000269D6" w:rsidRDefault="00391035">
            <w:pPr>
              <w:jc w:val="right"/>
              <w:rPr>
                <w:rFonts w:asciiTheme="minorHAnsi" w:hAnsiTheme="minorHAnsi"/>
                <w:sz w:val="22"/>
                <w:szCs w:val="22"/>
              </w:rPr>
            </w:pPr>
          </w:p>
          <w:p w:rsidRPr="00FB71BA" w:rsidR="00391035" w:rsidP="000269D6" w:rsidRDefault="00391035">
            <w:pPr>
              <w:jc w:val="right"/>
              <w:rPr>
                <w:rFonts w:asciiTheme="minorHAnsi" w:hAnsiTheme="minorHAnsi"/>
                <w:sz w:val="22"/>
                <w:szCs w:val="22"/>
              </w:rPr>
            </w:pPr>
          </w:p>
          <w:p w:rsidRPr="00FB71BA" w:rsidR="00391035" w:rsidP="000269D6" w:rsidRDefault="00391035">
            <w:pPr>
              <w:jc w:val="right"/>
              <w:rPr>
                <w:rFonts w:asciiTheme="minorHAnsi" w:hAnsiTheme="minorHAnsi"/>
                <w:sz w:val="22"/>
                <w:szCs w:val="22"/>
              </w:rPr>
            </w:pPr>
          </w:p>
          <w:p w:rsidRPr="00FB71BA" w:rsidR="00391035" w:rsidP="000269D6" w:rsidRDefault="00391035">
            <w:pPr>
              <w:jc w:val="right"/>
              <w:rPr>
                <w:rFonts w:asciiTheme="minorHAnsi" w:hAnsiTheme="minorHAnsi"/>
                <w:sz w:val="22"/>
                <w:szCs w:val="22"/>
              </w:rPr>
            </w:pPr>
          </w:p>
          <w:p w:rsidRPr="00FB71BA" w:rsidR="00391035" w:rsidP="000269D6" w:rsidRDefault="00391035">
            <w:pPr>
              <w:jc w:val="right"/>
              <w:rPr>
                <w:rFonts w:asciiTheme="minorHAnsi" w:hAnsiTheme="minorHAnsi"/>
                <w:sz w:val="22"/>
                <w:szCs w:val="22"/>
              </w:rPr>
            </w:pPr>
          </w:p>
        </w:tc>
        <w:tc>
          <w:tcPr>
            <w:tcW w:w="6946" w:type="dxa"/>
          </w:tcPr>
          <w:p w:rsidRPr="00FB71BA" w:rsidR="00391035" w:rsidP="000269D6" w:rsidRDefault="00391035">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391035" w:rsidP="000269D6" w:rsidRDefault="00391035">
            <w:pPr>
              <w:pStyle w:val="Voetnoottekst"/>
              <w:rPr>
                <w:rFonts w:asciiTheme="minorHAnsi" w:hAnsiTheme="minorHAnsi"/>
                <w:sz w:val="22"/>
                <w:szCs w:val="22"/>
              </w:rPr>
            </w:pPr>
          </w:p>
          <w:p w:rsidRPr="00FB71BA" w:rsidR="00391035" w:rsidP="000269D6" w:rsidRDefault="00391035">
            <w:pPr>
              <w:pStyle w:val="Voetnoottekst"/>
              <w:rPr>
                <w:rFonts w:asciiTheme="minorHAnsi" w:hAnsiTheme="minorHAnsi"/>
                <w:sz w:val="22"/>
                <w:szCs w:val="22"/>
              </w:rPr>
            </w:pPr>
          </w:p>
          <w:p w:rsidRPr="00FB71BA" w:rsidR="00391035" w:rsidP="000269D6" w:rsidRDefault="00391035">
            <w:pPr>
              <w:pStyle w:val="Voetnoottekst"/>
              <w:rPr>
                <w:rFonts w:asciiTheme="minorHAnsi" w:hAnsiTheme="minorHAnsi"/>
                <w:sz w:val="22"/>
                <w:szCs w:val="22"/>
              </w:rPr>
            </w:pPr>
          </w:p>
          <w:p w:rsidRPr="00FB71BA" w:rsidR="00391035" w:rsidP="000269D6" w:rsidRDefault="00391035">
            <w:pPr>
              <w:pStyle w:val="Voetnoottekst"/>
              <w:rPr>
                <w:rFonts w:asciiTheme="minorHAnsi" w:hAnsiTheme="minorHAnsi"/>
                <w:sz w:val="22"/>
                <w:szCs w:val="22"/>
              </w:rPr>
            </w:pPr>
          </w:p>
          <w:p w:rsidRPr="00FB71BA" w:rsidR="00391035" w:rsidP="000269D6" w:rsidRDefault="00391035">
            <w:pPr>
              <w:pStyle w:val="Voetnoottekst"/>
              <w:rPr>
                <w:rFonts w:asciiTheme="minorHAnsi" w:hAnsiTheme="minorHAnsi"/>
                <w:sz w:val="22"/>
                <w:szCs w:val="22"/>
              </w:rPr>
            </w:pPr>
          </w:p>
        </w:tc>
      </w:tr>
      <w:tr w:rsidRPr="00FB71BA" w:rsidR="00391035" w:rsidTr="000269D6">
        <w:tc>
          <w:tcPr>
            <w:tcW w:w="14142" w:type="dxa"/>
            <w:gridSpan w:val="3"/>
          </w:tcPr>
          <w:p w:rsidRPr="00FB71BA" w:rsidR="00391035" w:rsidP="000269D6" w:rsidRDefault="00391035">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391035" w:rsidP="000269D6" w:rsidRDefault="00391035">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t>
            </w:r>
            <w:r w:rsidRPr="00FB71BA">
              <w:rPr>
                <w:rFonts w:cs="Arial" w:asciiTheme="minorHAnsi" w:hAnsiTheme="minorHAnsi"/>
                <w:sz w:val="22"/>
                <w:szCs w:val="22"/>
              </w:rPr>
              <w:lastRenderedPageBreak/>
              <w:t xml:space="preserve">wat er geëvalueerd moet worden en welke aspecten moeten worden onderzocht. </w:t>
            </w:r>
            <w:proofErr w:type="gramEnd"/>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391035" w:rsidP="000269D6" w:rsidRDefault="00391035">
            <w:pPr>
              <w:pStyle w:val="Voetnoottekst"/>
              <w:rPr>
                <w:rFonts w:asciiTheme="minorHAnsi" w:hAnsiTheme="minorHAnsi"/>
                <w:sz w:val="22"/>
                <w:szCs w:val="22"/>
              </w:rPr>
            </w:pPr>
          </w:p>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391035" w:rsidP="000269D6" w:rsidRDefault="00391035">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391035" w:rsidP="000269D6" w:rsidRDefault="00391035">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391035" w:rsidP="000269D6" w:rsidRDefault="00391035">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391035" w:rsidP="000269D6" w:rsidRDefault="00391035">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391035" w:rsidTr="000269D6">
        <w:tc>
          <w:tcPr>
            <w:tcW w:w="14142" w:type="dxa"/>
            <w:gridSpan w:val="3"/>
          </w:tcPr>
          <w:p w:rsidRPr="00FB71BA" w:rsidR="00391035" w:rsidP="000269D6" w:rsidRDefault="00391035">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391035" w:rsidP="000269D6" w:rsidRDefault="00391035">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w:t>
            </w:r>
            <w:r w:rsidRPr="00FB71BA">
              <w:rPr>
                <w:rFonts w:asciiTheme="minorHAnsi" w:hAnsiTheme="minorHAnsi"/>
                <w:sz w:val="22"/>
                <w:szCs w:val="22"/>
              </w:rPr>
              <w:lastRenderedPageBreak/>
              <w:t xml:space="preserve">(een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bij wetgevende EU-voorstellen kan een Kamercommissie besluiten tot het uitvoeren van een subsidiariteitstoets. Let op: dit moet binnen acht weken na het uitkomen van alle taalversies </w:t>
            </w:r>
            <w:r w:rsidRPr="00FB71BA">
              <w:rPr>
                <w:rFonts w:asciiTheme="minorHAnsi" w:hAnsiTheme="minorHAnsi"/>
                <w:sz w:val="22"/>
                <w:szCs w:val="22"/>
              </w:rPr>
              <w:lastRenderedPageBreak/>
              <w:t>van het voorstel.</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komt voor aangekondigde subsidiariteitstoetsen binnen drie weken t.b.v. een snelle behandeling.</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391035" w:rsidTr="000269D6">
        <w:tc>
          <w:tcPr>
            <w:tcW w:w="2093" w:type="dxa"/>
          </w:tcPr>
          <w:p w:rsidRPr="00FB71BA" w:rsidR="00391035" w:rsidP="000269D6" w:rsidRDefault="00391035">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391035" w:rsidP="000269D6" w:rsidRDefault="00391035">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391035" w:rsidP="000269D6" w:rsidRDefault="00391035">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391035" w:rsidP="000269D6" w:rsidRDefault="00391035">
            <w:pPr>
              <w:pStyle w:val="Voetnoottekst"/>
              <w:rPr>
                <w:rFonts w:asciiTheme="minorHAnsi" w:hAnsiTheme="minorHAnsi"/>
                <w:sz w:val="22"/>
                <w:szCs w:val="22"/>
              </w:rPr>
            </w:pPr>
          </w:p>
        </w:tc>
      </w:tr>
    </w:tbl>
    <w:p w:rsidRPr="00FB71BA" w:rsidR="00391035" w:rsidP="00391035" w:rsidRDefault="00391035">
      <w:pPr>
        <w:rPr>
          <w:rFonts w:asciiTheme="minorHAnsi" w:hAnsiTheme="minorHAnsi"/>
          <w:sz w:val="22"/>
          <w:szCs w:val="22"/>
        </w:rPr>
      </w:pPr>
    </w:p>
    <w:p w:rsidRPr="00FB71BA" w:rsidR="00391035" w:rsidP="00391035" w:rsidRDefault="00391035">
      <w:pPr>
        <w:rPr>
          <w:rFonts w:asciiTheme="minorHAnsi" w:hAnsiTheme="minorHAnsi"/>
          <w:sz w:val="22"/>
          <w:szCs w:val="22"/>
        </w:rPr>
      </w:pPr>
    </w:p>
    <w:p w:rsidRPr="00FB71BA" w:rsidR="009C6562" w:rsidRDefault="009C6562">
      <w:pPr>
        <w:rPr>
          <w:rFonts w:asciiTheme="minorHAnsi" w:hAnsiTheme="minorHAnsi"/>
          <w:sz w:val="22"/>
          <w:szCs w:val="22"/>
        </w:rPr>
      </w:pPr>
    </w:p>
    <w:sectPr w:rsidRPr="00FB71BA"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035" w:rsidRDefault="00391035" w:rsidP="00391035">
      <w:r>
        <w:separator/>
      </w:r>
    </w:p>
  </w:endnote>
  <w:endnote w:type="continuationSeparator" w:id="0">
    <w:p w:rsidR="00391035" w:rsidRDefault="00391035" w:rsidP="0039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035" w:rsidRDefault="00391035" w:rsidP="00391035">
      <w:r>
        <w:separator/>
      </w:r>
    </w:p>
  </w:footnote>
  <w:footnote w:type="continuationSeparator" w:id="0">
    <w:p w:rsidR="00391035" w:rsidRDefault="00391035" w:rsidP="00391035">
      <w:r>
        <w:continuationSeparator/>
      </w:r>
    </w:p>
  </w:footnote>
  <w:footnote w:id="1">
    <w:p w:rsidR="00391035" w:rsidRPr="00B45904" w:rsidRDefault="00391035" w:rsidP="00391035">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FB35380"/>
    <w:multiLevelType w:val="hybridMultilevel"/>
    <w:tmpl w:val="42A89258"/>
    <w:lvl w:ilvl="0" w:tplc="BCCA25C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35"/>
    <w:rsid w:val="001E3D3B"/>
    <w:rsid w:val="00260657"/>
    <w:rsid w:val="00345BAA"/>
    <w:rsid w:val="00391035"/>
    <w:rsid w:val="00433D6E"/>
    <w:rsid w:val="0044036F"/>
    <w:rsid w:val="00500CE0"/>
    <w:rsid w:val="008452E6"/>
    <w:rsid w:val="008E4CDA"/>
    <w:rsid w:val="00916F9C"/>
    <w:rsid w:val="00984091"/>
    <w:rsid w:val="009C6562"/>
    <w:rsid w:val="00D250C7"/>
    <w:rsid w:val="00D85E7E"/>
    <w:rsid w:val="00D9323C"/>
    <w:rsid w:val="00DA38D6"/>
    <w:rsid w:val="00F05799"/>
    <w:rsid w:val="00FB7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065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91035"/>
    <w:rPr>
      <w:color w:val="0000FF"/>
      <w:u w:val="single"/>
    </w:rPr>
  </w:style>
  <w:style w:type="character" w:styleId="Zwaar">
    <w:name w:val="Strong"/>
    <w:basedOn w:val="Standaardalinea-lettertype"/>
    <w:uiPriority w:val="22"/>
    <w:qFormat/>
    <w:rsid w:val="00391035"/>
    <w:rPr>
      <w:b/>
      <w:bCs/>
    </w:rPr>
  </w:style>
  <w:style w:type="paragraph" w:styleId="Voetnoottekst">
    <w:name w:val="footnote text"/>
    <w:basedOn w:val="Standaard"/>
    <w:link w:val="VoetnoottekstChar"/>
    <w:rsid w:val="00391035"/>
    <w:rPr>
      <w:sz w:val="20"/>
      <w:szCs w:val="20"/>
    </w:rPr>
  </w:style>
  <w:style w:type="character" w:customStyle="1" w:styleId="VoetnoottekstChar">
    <w:name w:val="Voetnoottekst Char"/>
    <w:basedOn w:val="Standaardalinea-lettertype"/>
    <w:link w:val="Voetnoottekst"/>
    <w:rsid w:val="00391035"/>
  </w:style>
  <w:style w:type="table" w:styleId="Tabelraster">
    <w:name w:val="Table Grid"/>
    <w:basedOn w:val="Standaardtabel"/>
    <w:rsid w:val="0039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91035"/>
    <w:pPr>
      <w:ind w:left="720"/>
    </w:pPr>
    <w:rPr>
      <w:rFonts w:eastAsiaTheme="minorHAnsi"/>
    </w:rPr>
  </w:style>
  <w:style w:type="character" w:styleId="Voetnootmarkering">
    <w:name w:val="footnote reference"/>
    <w:basedOn w:val="Standaardalinea-lettertype"/>
    <w:uiPriority w:val="99"/>
    <w:rsid w:val="00391035"/>
    <w:rPr>
      <w:vertAlign w:val="superscript"/>
    </w:rPr>
  </w:style>
  <w:style w:type="character" w:styleId="GevolgdeHyperlink">
    <w:name w:val="FollowedHyperlink"/>
    <w:basedOn w:val="Standaardalinea-lettertype"/>
    <w:rsid w:val="003910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065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91035"/>
    <w:rPr>
      <w:color w:val="0000FF"/>
      <w:u w:val="single"/>
    </w:rPr>
  </w:style>
  <w:style w:type="character" w:styleId="Zwaar">
    <w:name w:val="Strong"/>
    <w:basedOn w:val="Standaardalinea-lettertype"/>
    <w:uiPriority w:val="22"/>
    <w:qFormat/>
    <w:rsid w:val="00391035"/>
    <w:rPr>
      <w:b/>
      <w:bCs/>
    </w:rPr>
  </w:style>
  <w:style w:type="paragraph" w:styleId="Voetnoottekst">
    <w:name w:val="footnote text"/>
    <w:basedOn w:val="Standaard"/>
    <w:link w:val="VoetnoottekstChar"/>
    <w:rsid w:val="00391035"/>
    <w:rPr>
      <w:sz w:val="20"/>
      <w:szCs w:val="20"/>
    </w:rPr>
  </w:style>
  <w:style w:type="character" w:customStyle="1" w:styleId="VoetnoottekstChar">
    <w:name w:val="Voetnoottekst Char"/>
    <w:basedOn w:val="Standaardalinea-lettertype"/>
    <w:link w:val="Voetnoottekst"/>
    <w:rsid w:val="00391035"/>
  </w:style>
  <w:style w:type="table" w:styleId="Tabelraster">
    <w:name w:val="Table Grid"/>
    <w:basedOn w:val="Standaardtabel"/>
    <w:rsid w:val="0039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91035"/>
    <w:pPr>
      <w:ind w:left="720"/>
    </w:pPr>
    <w:rPr>
      <w:rFonts w:eastAsiaTheme="minorHAnsi"/>
    </w:rPr>
  </w:style>
  <w:style w:type="character" w:styleId="Voetnootmarkering">
    <w:name w:val="footnote reference"/>
    <w:basedOn w:val="Standaardalinea-lettertype"/>
    <w:uiPriority w:val="99"/>
    <w:rsid w:val="00391035"/>
    <w:rPr>
      <w:vertAlign w:val="superscript"/>
    </w:rPr>
  </w:style>
  <w:style w:type="character" w:styleId="GevolgdeHyperlink">
    <w:name w:val="FollowedHyperlink"/>
    <w:basedOn w:val="Standaardalinea-lettertype"/>
    <w:rsid w:val="00391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013">
      <w:bodyDiv w:val="1"/>
      <w:marLeft w:val="0"/>
      <w:marRight w:val="0"/>
      <w:marTop w:val="0"/>
      <w:marBottom w:val="0"/>
      <w:divBdr>
        <w:top w:val="none" w:sz="0" w:space="0" w:color="auto"/>
        <w:left w:val="none" w:sz="0" w:space="0" w:color="auto"/>
        <w:bottom w:val="none" w:sz="0" w:space="0" w:color="auto"/>
        <w:right w:val="none" w:sz="0" w:space="0" w:color="auto"/>
      </w:divBdr>
    </w:div>
    <w:div w:id="394594300">
      <w:bodyDiv w:val="1"/>
      <w:marLeft w:val="0"/>
      <w:marRight w:val="0"/>
      <w:marTop w:val="0"/>
      <w:marBottom w:val="0"/>
      <w:divBdr>
        <w:top w:val="none" w:sz="0" w:space="0" w:color="auto"/>
        <w:left w:val="none" w:sz="0" w:space="0" w:color="auto"/>
        <w:bottom w:val="none" w:sz="0" w:space="0" w:color="auto"/>
        <w:right w:val="none" w:sz="0" w:space="0" w:color="auto"/>
      </w:divBdr>
    </w:div>
    <w:div w:id="448086236">
      <w:bodyDiv w:val="1"/>
      <w:marLeft w:val="0"/>
      <w:marRight w:val="0"/>
      <w:marTop w:val="0"/>
      <w:marBottom w:val="0"/>
      <w:divBdr>
        <w:top w:val="none" w:sz="0" w:space="0" w:color="auto"/>
        <w:left w:val="none" w:sz="0" w:space="0" w:color="auto"/>
        <w:bottom w:val="none" w:sz="0" w:space="0" w:color="auto"/>
        <w:right w:val="none" w:sz="0" w:space="0" w:color="auto"/>
      </w:divBdr>
    </w:div>
    <w:div w:id="1111701629">
      <w:bodyDiv w:val="1"/>
      <w:marLeft w:val="0"/>
      <w:marRight w:val="0"/>
      <w:marTop w:val="0"/>
      <w:marBottom w:val="0"/>
      <w:divBdr>
        <w:top w:val="none" w:sz="0" w:space="0" w:color="auto"/>
        <w:left w:val="none" w:sz="0" w:space="0" w:color="auto"/>
        <w:bottom w:val="none" w:sz="0" w:space="0" w:color="auto"/>
        <w:right w:val="none" w:sz="0" w:space="0" w:color="auto"/>
      </w:divBdr>
    </w:div>
    <w:div w:id="1693872798">
      <w:bodyDiv w:val="1"/>
      <w:marLeft w:val="0"/>
      <w:marRight w:val="0"/>
      <w:marTop w:val="0"/>
      <w:marBottom w:val="0"/>
      <w:divBdr>
        <w:top w:val="none" w:sz="0" w:space="0" w:color="auto"/>
        <w:left w:val="none" w:sz="0" w:space="0" w:color="auto"/>
        <w:bottom w:val="none" w:sz="0" w:space="0" w:color="auto"/>
        <w:right w:val="none" w:sz="0" w:space="0" w:color="auto"/>
      </w:divBdr>
    </w:div>
    <w:div w:id="20905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70623.do"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ww.ipex.eu/IPEXL-WEB/dossier/document/COM20170638.do"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ec.europa.eu/neighbourhood-enlargement/tenders/public-consultations_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ipex.eu/IPEXL-WEB/dossier/document/COM20170632.do" TargetMode="External" Id="rId10" /><Relationship Type="http://schemas.openxmlformats.org/officeDocument/2006/relationships/settings" Target="settings.xml" Id="rId4" /><Relationship Type="http://schemas.openxmlformats.org/officeDocument/2006/relationships/hyperlink" Target="http://www.ipex.eu/IPEXL-WEB/dossier/document/COM20170651.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2107</ap:Words>
  <ap:Characters>14228</ap:Characters>
  <ap:DocSecurity>0</ap:DocSecurity>
  <ap:Lines>118</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2017-11-10T07:46:00.0000000Z</dcterms:created>
  <dcterms:modified xsi:type="dcterms:W3CDTF">2017-11-10T15:55:00.0000000Z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0x0101006D18B35F93166C44AA213AE024993674</vt:lpwstr>
  </property>
</Properties>
</file>