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67" w:rsidP="00D80055" w:rsidRDefault="0053138B" w14:paraId="63706A11" w14:textId="09B48B98">
      <w:pPr>
        <w:spacing w:line="360" w:lineRule="auto"/>
        <w:ind w:right="-575"/>
        <w:rPr>
          <w:u w:val="single"/>
        </w:rPr>
      </w:pPr>
      <w:r w:rsidRPr="0053138B">
        <w:rPr>
          <w:u w:val="single"/>
        </w:rPr>
        <w:t>Stellingen voor rondetafelgesprek over euthanasie</w:t>
      </w:r>
      <w:r w:rsidR="009A0B67">
        <w:rPr>
          <w:u w:val="single"/>
        </w:rPr>
        <w:t>, Tweede Kamer 30-10-</w:t>
      </w:r>
      <w:bookmarkStart w:name="_GoBack" w:id="0"/>
      <w:bookmarkEnd w:id="0"/>
      <w:r w:rsidR="009A0B67">
        <w:rPr>
          <w:u w:val="single"/>
        </w:rPr>
        <w:t>2017</w:t>
      </w:r>
    </w:p>
    <w:p w:rsidRPr="0053138B" w:rsidR="0053138B" w:rsidP="00D80055" w:rsidRDefault="009A0B67" w14:paraId="3A07B39E" w14:textId="7ACD8305">
      <w:pPr>
        <w:spacing w:line="360" w:lineRule="auto"/>
        <w:ind w:right="-575"/>
        <w:rPr>
          <w:u w:val="single"/>
        </w:rPr>
      </w:pPr>
      <w:r>
        <w:rPr>
          <w:u w:val="single"/>
        </w:rPr>
        <w:t>over euthanasie</w:t>
      </w:r>
      <w:r w:rsidRPr="0053138B" w:rsidR="0053138B">
        <w:rPr>
          <w:u w:val="single"/>
        </w:rPr>
        <w:t xml:space="preserve"> bij </w:t>
      </w:r>
      <w:r w:rsidR="0053138B">
        <w:rPr>
          <w:u w:val="single"/>
        </w:rPr>
        <w:t xml:space="preserve">gevorderde </w:t>
      </w:r>
      <w:r w:rsidRPr="0053138B" w:rsidR="0053138B">
        <w:rPr>
          <w:u w:val="single"/>
        </w:rPr>
        <w:t>dementie</w:t>
      </w:r>
      <w:r w:rsidR="0053138B">
        <w:rPr>
          <w:u w:val="single"/>
        </w:rPr>
        <w:t xml:space="preserve"> op basis van een schriftelijke wilsverklaring</w:t>
      </w:r>
    </w:p>
    <w:p w:rsidR="0053138B" w:rsidP="00D80055" w:rsidRDefault="0053138B" w14:paraId="54828728" w14:textId="77777777">
      <w:pPr>
        <w:spacing w:line="360" w:lineRule="auto"/>
        <w:ind w:right="-575"/>
      </w:pPr>
    </w:p>
    <w:p w:rsidR="0053138B" w:rsidP="00D80055" w:rsidRDefault="0053138B" w14:paraId="2E87E818" w14:textId="512A1DCB">
      <w:pPr>
        <w:spacing w:line="360" w:lineRule="auto"/>
        <w:ind w:right="-575"/>
      </w:pPr>
      <w:r>
        <w:t xml:space="preserve">Govert den Hartogh (vgl. art. in </w:t>
      </w:r>
      <w:r w:rsidRPr="0053138B">
        <w:rPr>
          <w:i/>
        </w:rPr>
        <w:t>NJB</w:t>
      </w:r>
      <w:r w:rsidR="00EF6811">
        <w:t xml:space="preserve">, 11 </w:t>
      </w:r>
      <w:r>
        <w:t>sept. 2017</w:t>
      </w:r>
      <w:r w:rsidR="00EF6811">
        <w:t xml:space="preserve">, </w:t>
      </w:r>
      <w:r w:rsidRPr="00EF6811" w:rsidR="00EF6811">
        <w:t>http://njb.nl/blog/euthanasie-op-grond-van-een-schriftelijke.27241.lynkx</w:t>
      </w:r>
      <w:r>
        <w:t>)</w:t>
      </w:r>
    </w:p>
    <w:p w:rsidR="0053138B" w:rsidP="00D80055" w:rsidRDefault="0053138B" w14:paraId="2EDF9D0A" w14:textId="77777777">
      <w:pPr>
        <w:spacing w:line="360" w:lineRule="auto"/>
        <w:ind w:right="-575"/>
      </w:pPr>
    </w:p>
    <w:p w:rsidR="0053138B" w:rsidP="00D80055" w:rsidRDefault="0053138B" w14:paraId="53984493" w14:textId="77777777">
      <w:pPr>
        <w:spacing w:line="360" w:lineRule="auto"/>
        <w:ind w:right="-575"/>
      </w:pPr>
      <w:r>
        <w:t>Tot nu 12 gevallen, waarvan 9 patiënten met dementie (7 early onset), en 3 met cognitieve stoornissen t.g.v. CVA’s of de ziekte van Huntington.</w:t>
      </w:r>
    </w:p>
    <w:p w:rsidR="0053138B" w:rsidP="00D80055" w:rsidRDefault="0053138B" w14:paraId="138BA13C" w14:textId="77777777">
      <w:pPr>
        <w:spacing w:line="360" w:lineRule="auto"/>
        <w:ind w:right="-575"/>
      </w:pPr>
    </w:p>
    <w:p w:rsidR="0053138B" w:rsidP="00D80055" w:rsidRDefault="0053138B" w14:paraId="6EB52880" w14:textId="77777777">
      <w:pPr>
        <w:spacing w:line="360" w:lineRule="auto"/>
        <w:ind w:right="-575"/>
      </w:pPr>
      <w:r>
        <w:t xml:space="preserve">1. Het onderzoek dat minister Schippers heeft laten uitvoeren bevestigt volledig de interpretatie van art. 2, lid 2 WTL die de toetsingscommissies al sinds 2002 volgen, en nu vastgelegd hebben in de </w:t>
      </w:r>
      <w:r w:rsidRPr="002B368C">
        <w:rPr>
          <w:i/>
        </w:rPr>
        <w:t>Code of Practice</w:t>
      </w:r>
      <w:r>
        <w:t>:</w:t>
      </w:r>
    </w:p>
    <w:p w:rsidR="0053138B" w:rsidP="00D80055" w:rsidRDefault="0053138B" w14:paraId="36DFAF0F" w14:textId="77777777">
      <w:pPr>
        <w:spacing w:line="360" w:lineRule="auto"/>
        <w:ind w:right="-575"/>
      </w:pPr>
      <w:r>
        <w:t>-De wilsverklaring is geen ‘kluisdocument’ (Mevis c.s.). Het moet aannemelijk zijn dat die de onveranderde wil van de opsteller uitdrukte zolang zij/hij wilsbekwaam was.</w:t>
      </w:r>
    </w:p>
    <w:p w:rsidR="0053138B" w:rsidP="00D80055" w:rsidRDefault="0053138B" w14:paraId="3E4BB654" w14:textId="77777777">
      <w:pPr>
        <w:spacing w:line="360" w:lineRule="auto"/>
        <w:ind w:right="-575"/>
      </w:pPr>
      <w:r>
        <w:t>-De wilsverklaring vervangt het verzoek. De overige eisen blijven van toepassing voorzover zij bij wilsonbekwame personen van toepassing kunnen zijn. Dat betekent: de arts moet ervan overtuigd zijn dat de patiënt ondraaglijk lijdt en dat er voor dat lijden geen redelijke andere oplossing is.</w:t>
      </w:r>
    </w:p>
    <w:p w:rsidR="0053138B" w:rsidP="00D80055" w:rsidRDefault="0053138B" w14:paraId="799E9339" w14:textId="77777777">
      <w:pPr>
        <w:spacing w:line="360" w:lineRule="auto"/>
        <w:ind w:right="-575"/>
      </w:pPr>
      <w:r>
        <w:t xml:space="preserve">-De arts moet die overtuiging putten uit waarneming van de actuele situatie. </w:t>
      </w:r>
    </w:p>
    <w:p w:rsidR="0053138B" w:rsidP="00D80055" w:rsidRDefault="0053138B" w14:paraId="5382E253" w14:textId="77777777">
      <w:pPr>
        <w:spacing w:line="360" w:lineRule="auto"/>
        <w:ind w:right="-575"/>
      </w:pPr>
    </w:p>
    <w:p w:rsidR="0053138B" w:rsidP="00D80055" w:rsidRDefault="0053138B" w14:paraId="5F31644A" w14:textId="77777777">
      <w:pPr>
        <w:spacing w:line="360" w:lineRule="auto"/>
        <w:ind w:right="-575"/>
      </w:pPr>
      <w:r>
        <w:t>2. Het is niet vereist dat de patiënt in de actuele situatie nog verbale of non-verbale tekenen van een doodswens geeft, ook al zal dat bij een ernstig lijdende patiënt mogelijk altijd het geval zijn.</w:t>
      </w:r>
    </w:p>
    <w:p w:rsidR="0053138B" w:rsidP="00D80055" w:rsidRDefault="0053138B" w14:paraId="27CDE060" w14:textId="77777777">
      <w:pPr>
        <w:spacing w:line="360" w:lineRule="auto"/>
        <w:ind w:right="-575"/>
      </w:pPr>
    </w:p>
    <w:p w:rsidR="0053138B" w:rsidP="00D80055" w:rsidRDefault="00EF6811" w14:paraId="2025808B" w14:textId="5CBB0955">
      <w:pPr>
        <w:spacing w:line="360" w:lineRule="auto"/>
        <w:ind w:right="-575"/>
      </w:pPr>
      <w:r>
        <w:t>3</w:t>
      </w:r>
      <w:r w:rsidR="0053138B">
        <w:t>. In casus 2016-85 heeft een toetsingscommissie als nieuwe norm gesteld dat zonder medeweten van de patiënt geen premedicatie mag worden gebruikt die het de patiënt vervolgens onmogelijk maakt zich tegen uitvoering van de euthanasie te verzetten. Het argument dat de commissie daarvoor gebruikt schiet tekort.</w:t>
      </w:r>
    </w:p>
    <w:p w:rsidR="0053138B" w:rsidP="00D80055" w:rsidRDefault="0053138B" w14:paraId="59C11AC7" w14:textId="77777777">
      <w:pPr>
        <w:spacing w:line="360" w:lineRule="auto"/>
        <w:ind w:right="-575"/>
      </w:pPr>
    </w:p>
    <w:p w:rsidR="0053138B" w:rsidP="00D80055" w:rsidRDefault="00EF6811" w14:paraId="602D2CAB" w14:textId="5D4D9B76">
      <w:pPr>
        <w:spacing w:line="360" w:lineRule="auto"/>
        <w:ind w:right="-575"/>
      </w:pPr>
      <w:r>
        <w:t>4</w:t>
      </w:r>
      <w:r w:rsidR="0053138B">
        <w:t xml:space="preserve">. De argumenten die in de maatschappelijke discussie ter verdediging van deze </w:t>
      </w:r>
      <w:r w:rsidR="00D80055">
        <w:t xml:space="preserve">nieuwe </w:t>
      </w:r>
      <w:r w:rsidR="0053138B">
        <w:t>norm zijn aangevoerd zijn eveneens ongeldig.</w:t>
      </w:r>
    </w:p>
    <w:p w:rsidR="00D80055" w:rsidP="00D80055" w:rsidRDefault="0053138B" w14:paraId="401776EF" w14:textId="77777777">
      <w:pPr>
        <w:spacing w:line="360" w:lineRule="auto"/>
        <w:ind w:right="-575"/>
      </w:pPr>
      <w:r>
        <w:t xml:space="preserve">-Het is normaal onjuist om een handeling heimelijk te verrichten omdat de betrokkene, als hij/zij daar weet van had gehad,  zich daartegen met recht had kunnen verzetten. Bij een patiënt die niet in staat is zich over die handeling een oordeel te vormen vervalt deze reden. </w:t>
      </w:r>
    </w:p>
    <w:p w:rsidR="0053138B" w:rsidP="00D80055" w:rsidRDefault="0053138B" w14:paraId="5F3A8E5B" w14:textId="77777777">
      <w:pPr>
        <w:spacing w:line="360" w:lineRule="auto"/>
        <w:ind w:right="-575"/>
      </w:pPr>
      <w:r>
        <w:lastRenderedPageBreak/>
        <w:t>-De patiënt heeft over het in zijn wilsverklaring neergelegde wilsbesluit niet zijn mening veranderd, zoals dat bij stervende patiënten zo vaak voorkomt (‘response shift’). Hij/zij heeft het vermogen verloren om dat besluit te begrijpen en te waarderen.</w:t>
      </w:r>
    </w:p>
    <w:p w:rsidR="0053138B" w:rsidP="00D80055" w:rsidRDefault="0053138B" w14:paraId="64742999" w14:textId="6143F886">
      <w:pPr>
        <w:spacing w:line="360" w:lineRule="auto"/>
        <w:ind w:right="-575"/>
      </w:pPr>
      <w:r>
        <w:t xml:space="preserve">-Of in zo’n geval de vroegere opvattingen van de patiënt nog steeds gezag hebben hangt af van de manier waarop die patiënt zijn leven als geheel, en de betekenis van verschillende fasen daarin, </w:t>
      </w:r>
      <w:r w:rsidR="00EF6811">
        <w:t>heeft opgevat zolang hij zich daarover nog een opvatting kon vormen.</w:t>
      </w:r>
    </w:p>
    <w:p w:rsidR="0053138B" w:rsidP="00D80055" w:rsidRDefault="0053138B" w14:paraId="576CCC0A" w14:textId="77777777">
      <w:pPr>
        <w:spacing w:line="360" w:lineRule="auto"/>
        <w:ind w:right="-575"/>
      </w:pPr>
      <w:r>
        <w:t xml:space="preserve">-De patiënt wordt </w:t>
      </w:r>
      <w:r w:rsidR="00D80055">
        <w:t xml:space="preserve">in elk geval </w:t>
      </w:r>
      <w:r>
        <w:t>niet in zijn actuele belangen geschaad als er bij hem sprake is van ondraaglijk lijden. Niemand maakt er in zo’n situatie dan ook bezwaar tegen om een negatieve wilsverklaring uit te voeren, of zelfs bij afwezigheid van een wilsverklaring af te zien van levensreddende behandelingen.</w:t>
      </w:r>
    </w:p>
    <w:p w:rsidR="0053138B" w:rsidP="00D80055" w:rsidRDefault="00D80055" w14:paraId="03DC8656" w14:textId="71F972C3">
      <w:pPr>
        <w:spacing w:line="360" w:lineRule="auto"/>
        <w:ind w:right="-575"/>
      </w:pPr>
      <w:r>
        <w:t xml:space="preserve">Over deze </w:t>
      </w:r>
      <w:r w:rsidR="00EF6811">
        <w:t xml:space="preserve">nieuwe </w:t>
      </w:r>
      <w:r>
        <w:t xml:space="preserve">norm is </w:t>
      </w:r>
      <w:r w:rsidR="0053138B">
        <w:t>dringend nadere rechtsvorming nodig</w:t>
      </w:r>
      <w:r w:rsidR="009A0B67">
        <w:t>.</w:t>
      </w:r>
    </w:p>
    <w:p w:rsidR="0053138B" w:rsidP="00D80055" w:rsidRDefault="0053138B" w14:paraId="3E1A3788" w14:textId="77777777">
      <w:pPr>
        <w:spacing w:line="360" w:lineRule="auto"/>
        <w:ind w:right="-575"/>
      </w:pPr>
    </w:p>
    <w:p w:rsidR="0053138B" w:rsidP="00D80055" w:rsidRDefault="00EF6811" w14:paraId="0ED12F48" w14:textId="2FD88BE9">
      <w:pPr>
        <w:spacing w:line="360" w:lineRule="auto"/>
        <w:ind w:right="-575"/>
      </w:pPr>
      <w:r>
        <w:t>5</w:t>
      </w:r>
      <w:r w:rsidR="0053138B">
        <w:t>. Dat de meerderheid van de artsen niet bereid is om euthanasie op basis van een schriftelijke wilsverklaring uit te voeren is niettemin goed te begrijpen. Dit druist in tegen het verbod op doden dat ieder mens met enig moreel besef geïnternaliseerd heeft, en dat in principe alleen opzij gezet kan worden bij volledige actuele wilsovereenstemming tussen arts en patiënt.</w:t>
      </w:r>
    </w:p>
    <w:p w:rsidR="0053138B" w:rsidP="00D80055" w:rsidRDefault="0053138B" w14:paraId="0A0F8C97" w14:textId="77777777">
      <w:pPr>
        <w:spacing w:line="360" w:lineRule="auto"/>
        <w:ind w:right="-575"/>
      </w:pPr>
    </w:p>
    <w:p w:rsidR="0053138B" w:rsidP="00D80055" w:rsidRDefault="00EF6811" w14:paraId="11912F83" w14:textId="34AC1AF3">
      <w:pPr>
        <w:spacing w:line="360" w:lineRule="auto"/>
        <w:ind w:right="-575"/>
      </w:pPr>
      <w:r>
        <w:t>6</w:t>
      </w:r>
      <w:r w:rsidR="0053138B">
        <w:t xml:space="preserve">. Daarom levert de situatie voor artsen een moreel dilemma op: het taboe overschrijden of een levensfase  laten </w:t>
      </w:r>
      <w:r w:rsidR="00D80055">
        <w:t>voort</w:t>
      </w:r>
      <w:r w:rsidR="0053138B">
        <w:t xml:space="preserve">gaan die de patiënt uit zijn levensverhaal had willen schrappen en die voor hem/haar </w:t>
      </w:r>
      <w:r w:rsidR="00D80055">
        <w:t>ernstig</w:t>
      </w:r>
      <w:r w:rsidR="0053138B">
        <w:t xml:space="preserve"> lijden met zich meebrengt. Artsen zouden beide keuzen die een arts in dat dilemma kan maken moeten respecteren.</w:t>
      </w:r>
    </w:p>
    <w:p w:rsidR="0053138B" w:rsidP="00D80055" w:rsidRDefault="0053138B" w14:paraId="09D85FFA" w14:textId="77777777">
      <w:pPr>
        <w:spacing w:line="360" w:lineRule="auto"/>
        <w:ind w:right="-575"/>
      </w:pPr>
    </w:p>
    <w:p w:rsidR="0053138B" w:rsidP="00D80055" w:rsidRDefault="00EF6811" w14:paraId="4CE6B3D0" w14:textId="18289F33">
      <w:pPr>
        <w:spacing w:line="360" w:lineRule="auto"/>
        <w:ind w:right="-575"/>
      </w:pPr>
      <w:r>
        <w:t>7</w:t>
      </w:r>
      <w:r w:rsidR="0053138B">
        <w:t xml:space="preserve">. Dat artsen in dit dilemma komen is voor patiënten een reden om het niet zover te laten komen. </w:t>
      </w:r>
      <w:r w:rsidR="00D80055">
        <w:t>Daarnaast is het</w:t>
      </w:r>
      <w:r w:rsidR="0053138B">
        <w:t xml:space="preserve"> dringend gewenst dat zij bij het opstellen van een positieve wilsverklaring ervan op de hoogte zijn dat:</w:t>
      </w:r>
    </w:p>
    <w:p w:rsidR="0053138B" w:rsidP="00D80055" w:rsidRDefault="0053138B" w14:paraId="498D2308" w14:textId="77777777">
      <w:pPr>
        <w:spacing w:line="360" w:lineRule="auto"/>
        <w:ind w:right="-575"/>
      </w:pPr>
      <w:r>
        <w:t>-zij geen recht hebben op uitvoering daarvan;</w:t>
      </w:r>
    </w:p>
    <w:p w:rsidR="0053138B" w:rsidP="00D80055" w:rsidRDefault="0053138B" w14:paraId="4685B609" w14:textId="77777777">
      <w:pPr>
        <w:spacing w:line="360" w:lineRule="auto"/>
        <w:ind w:right="-575"/>
      </w:pPr>
      <w:r>
        <w:t>-de meerderheid van de artsen niet bereid is tot uitvoering;</w:t>
      </w:r>
    </w:p>
    <w:p w:rsidR="00FE1C66" w:rsidP="00D80055" w:rsidRDefault="0053138B" w14:paraId="09E3358A" w14:textId="77777777">
      <w:pPr>
        <w:spacing w:line="360" w:lineRule="auto"/>
        <w:ind w:right="-575"/>
      </w:pPr>
      <w:r>
        <w:t>-en uitvoering sowieso alleen mogelijk is als aan de eisen die ‘van overeenkomstige toepassing’ zijn is voldaan.</w:t>
      </w:r>
    </w:p>
    <w:p w:rsidR="0053138B" w:rsidP="00D80055" w:rsidRDefault="00FE1C66" w14:paraId="12A53FBA" w14:textId="5BA35047">
      <w:pPr>
        <w:spacing w:line="360" w:lineRule="auto"/>
        <w:ind w:right="-575"/>
      </w:pPr>
      <w:r>
        <w:t>Patiënten die het daarop niet willen laten aankomen kunnen dan zorgdragen dat zij hun leven met of zonder doktershulp beëindigen zolang zij daartoe nog weloverwogen kunnen besluiten.</w:t>
      </w:r>
      <w:r w:rsidR="00D80055">
        <w:t xml:space="preserve"> </w:t>
      </w:r>
    </w:p>
    <w:p w:rsidR="008727FA" w:rsidRDefault="008727FA" w14:paraId="688A8ED8" w14:textId="77777777"/>
    <w:sectPr w:rsidR="008727FA" w:rsidSect="00D80055">
      <w:headerReference w:type="even" r:id="rId7"/>
      <w:headerReference w:type="default" r:id="rId8"/>
      <w:pgSz w:w="11900" w:h="16840"/>
      <w:pgMar w:top="1418" w:right="126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C9026" w14:textId="77777777" w:rsidR="009A0B67" w:rsidRDefault="009A0B67" w:rsidP="00D80055">
      <w:r>
        <w:separator/>
      </w:r>
    </w:p>
  </w:endnote>
  <w:endnote w:type="continuationSeparator" w:id="0">
    <w:p w14:paraId="26FE25F0" w14:textId="77777777" w:rsidR="009A0B67" w:rsidRDefault="009A0B67" w:rsidP="00D8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6F13A" w14:textId="77777777" w:rsidR="009A0B67" w:rsidRDefault="009A0B67" w:rsidP="00D80055">
      <w:r>
        <w:separator/>
      </w:r>
    </w:p>
  </w:footnote>
  <w:footnote w:type="continuationSeparator" w:id="0">
    <w:p w14:paraId="2CAA9CF4" w14:textId="77777777" w:rsidR="009A0B67" w:rsidRDefault="009A0B67" w:rsidP="00D800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679E6" w14:textId="77777777" w:rsidR="009A0B67" w:rsidRDefault="009A0B67" w:rsidP="00EF6811">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5FF2EDF" w14:textId="77777777" w:rsidR="009A0B67" w:rsidRDefault="009A0B67" w:rsidP="00D80055">
    <w:pPr>
      <w:pStyle w:val="Ko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8182" w14:textId="77777777" w:rsidR="009A0B67" w:rsidRDefault="009A0B67" w:rsidP="00EF6811">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B592A">
      <w:rPr>
        <w:rStyle w:val="Paginanummer"/>
        <w:noProof/>
      </w:rPr>
      <w:t>1</w:t>
    </w:r>
    <w:r>
      <w:rPr>
        <w:rStyle w:val="Paginanummer"/>
      </w:rPr>
      <w:fldChar w:fldCharType="end"/>
    </w:r>
  </w:p>
  <w:p w14:paraId="18CD23E8" w14:textId="77777777" w:rsidR="009A0B67" w:rsidRDefault="009A0B67" w:rsidP="00D80055">
    <w:pPr>
      <w:pStyle w:val="Koptekst"/>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8B"/>
    <w:rsid w:val="0053138B"/>
    <w:rsid w:val="005B592A"/>
    <w:rsid w:val="006F0EF6"/>
    <w:rsid w:val="008727FA"/>
    <w:rsid w:val="009A0B67"/>
    <w:rsid w:val="00AB0BCA"/>
    <w:rsid w:val="00D7127B"/>
    <w:rsid w:val="00D80055"/>
    <w:rsid w:val="00EF6811"/>
    <w:rsid w:val="00FE1C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E004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313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D80055"/>
    <w:pPr>
      <w:tabs>
        <w:tab w:val="center" w:pos="4536"/>
        <w:tab w:val="right" w:pos="9072"/>
      </w:tabs>
    </w:pPr>
  </w:style>
  <w:style w:type="character" w:customStyle="1" w:styleId="KoptekstTeken">
    <w:name w:val="Koptekst Teken"/>
    <w:basedOn w:val="Standaardalinea-lettertype"/>
    <w:link w:val="Koptekst"/>
    <w:uiPriority w:val="99"/>
    <w:rsid w:val="00D80055"/>
  </w:style>
  <w:style w:type="character" w:styleId="Paginanummer">
    <w:name w:val="page number"/>
    <w:basedOn w:val="Standaardalinea-lettertype"/>
    <w:uiPriority w:val="99"/>
    <w:semiHidden/>
    <w:unhideWhenUsed/>
    <w:rsid w:val="00D800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313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D80055"/>
    <w:pPr>
      <w:tabs>
        <w:tab w:val="center" w:pos="4536"/>
        <w:tab w:val="right" w:pos="9072"/>
      </w:tabs>
    </w:pPr>
  </w:style>
  <w:style w:type="character" w:customStyle="1" w:styleId="KoptekstTeken">
    <w:name w:val="Koptekst Teken"/>
    <w:basedOn w:val="Standaardalinea-lettertype"/>
    <w:link w:val="Koptekst"/>
    <w:uiPriority w:val="99"/>
    <w:rsid w:val="00D80055"/>
  </w:style>
  <w:style w:type="character" w:styleId="Paginanummer">
    <w:name w:val="page number"/>
    <w:basedOn w:val="Standaardalinea-lettertype"/>
    <w:uiPriority w:val="99"/>
    <w:semiHidden/>
    <w:unhideWhenUsed/>
    <w:rsid w:val="00D80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endnotes" Target="endnotes.xml" Id="rId6" /><Relationship Type="http://schemas.openxmlformats.org/officeDocument/2006/relationships/styles" Target="styles.xml" Id="rId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666</ap:Words>
  <ap:Characters>3665</ap:Characters>
  <ap:DocSecurity>0</ap:DocSecurity>
  <ap:Lines>30</ap:Lines>
  <ap:Paragraphs>8</ap:Paragraphs>
  <ap:ScaleCrop>false</ap:ScaleCrop>
  <ap:LinksUpToDate>false</ap:LinksUpToDate>
  <ap:CharactersWithSpaces>4323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2017-10-12T14:50:00.0000000Z</dcterms:created>
  <dcterms:modified xsi:type="dcterms:W3CDTF">2017-10-23T07:21:00.0000000Z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0x0101007DABFFF390BB014586158D8CE76EC910</vt:lpwstr>
  </property>
</Properties>
</file>