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424" w:rsidRDefault="00E80424">
      <w:pPr>
        <w:spacing w:line="1" w:lineRule="exact"/>
        <w:sectPr w:rsidR="00E80424">
          <w:headerReference w:type="default" r:id="rId9"/>
          <w:type w:val="continuous"/>
          <w:pgSz w:w="11905" w:h="16837"/>
          <w:pgMar w:top="6390" w:right="1700" w:bottom="1417" w:left="2211" w:header="708" w:footer="708" w:gutter="0"/>
          <w:cols w:space="708"/>
        </w:sectPr>
      </w:pPr>
      <w:bookmarkStart w:name="_GoBack" w:id="0"/>
      <w:bookmarkEnd w:id="0"/>
    </w:p>
    <w:p w:rsidR="00DE380E" w:rsidP="00DE380E" w:rsidRDefault="00DE380E">
      <w:pPr>
        <w:autoSpaceDN/>
        <w:sectPr w:rsidR="00DE380E" w:rsidSect="00DE380E">
          <w:type w:val="continuous"/>
          <w:pgSz w:w="11905" w:h="16837"/>
          <w:pgMar w:top="6390" w:right="1700" w:bottom="1417" w:left="2211" w:header="708" w:footer="708" w:gutter="0"/>
          <w:cols w:space="708"/>
        </w:sectPr>
      </w:pPr>
    </w:p>
    <w:p w:rsidR="00DE380E" w:rsidP="00DE380E" w:rsidRDefault="00DE380E">
      <w:pPr>
        <w:pStyle w:val="BORKopje"/>
      </w:pPr>
      <w:r>
        <w:lastRenderedPageBreak/>
        <w:t>Inleiding</w:t>
      </w:r>
    </w:p>
    <w:p w:rsidR="00DE380E" w:rsidP="00DE380E" w:rsidRDefault="00DE380E">
      <w:r>
        <w:t xml:space="preserve">In de procedurevergadering van 12 september 2017 heeft de vaste commissie voor Economische Zaken besloten om ons, </w:t>
      </w:r>
      <w:proofErr w:type="spellStart"/>
      <w:r>
        <w:t>Joba</w:t>
      </w:r>
      <w:proofErr w:type="spellEnd"/>
      <w:r>
        <w:t xml:space="preserve"> van den Berg en Arne Weverling, aan te wijzen als rapporteurs bij de begroting van Economische Zaken (EZ) over 2018.</w:t>
      </w:r>
      <w:r>
        <w:rPr>
          <w:rStyle w:val="Voetnootmarkering"/>
        </w:rPr>
        <w:footnoteReference w:id="1"/>
      </w:r>
    </w:p>
    <w:p w:rsidR="00DE380E" w:rsidP="00DE380E" w:rsidRDefault="00DE380E"/>
    <w:p w:rsidR="00DE380E" w:rsidP="00DE380E" w:rsidRDefault="00DE380E">
      <w:r>
        <w:t xml:space="preserve">Wij hebben de kwaliteit van de informatie in de begroting onderzocht en hebben ons specifiek gericht op de volgende hoofdvraag: </w:t>
      </w:r>
    </w:p>
    <w:p w:rsidR="00DE380E" w:rsidP="00DE380E" w:rsidRDefault="00DE380E"/>
    <w:p w:rsidR="00DE380E" w:rsidP="00DE380E" w:rsidRDefault="00DE380E">
      <w:r>
        <w:t xml:space="preserve">Hoe is de minister van Economische Zaken in de begroting 2018 omgegaan met de motie Weverling c.s. (Kamerstuk </w:t>
      </w:r>
      <w:hyperlink w:history="1" r:id="rId10">
        <w:r>
          <w:rPr>
            <w:rStyle w:val="Hyperlink"/>
          </w:rPr>
          <w:t>34 725-XIII, nr. 10</w:t>
        </w:r>
      </w:hyperlink>
      <w:r>
        <w:t>), waarin de regering wordt verzocht de informatievoorziening in begrotingen en jaarverslagen te verbeteren.</w:t>
      </w:r>
    </w:p>
    <w:p w:rsidR="00DE380E" w:rsidP="00DE380E" w:rsidRDefault="00DE380E"/>
    <w:p w:rsidR="00DE380E" w:rsidP="00DE380E" w:rsidRDefault="00DE380E">
      <w:r>
        <w:t>Tevens zijn we nagegaan hoe de minister de verzoeken van de rapporteur bij het jaarverslag over 2016 heeft verwerkt. Bovendien hebben we ons gericht op de transparantie van de financiële informatie in de begroting 2018. Via deze notitie rapporteren wij de commissie over onze bevindingen.</w:t>
      </w:r>
    </w:p>
    <w:p w:rsidR="00DE380E" w:rsidP="00DE380E" w:rsidRDefault="00DE380E"/>
    <w:p w:rsidR="00DE380E" w:rsidP="00DE380E" w:rsidRDefault="00DE380E">
      <w:pPr>
        <w:pStyle w:val="BORKopje"/>
      </w:pPr>
      <w:r>
        <w:t xml:space="preserve">Hoofdconclusie </w:t>
      </w:r>
    </w:p>
    <w:p w:rsidR="00DE380E" w:rsidP="00DE380E" w:rsidRDefault="00DE380E">
      <w:r>
        <w:t>De minister heeft nog geen begin gemaakt met het verbeteren van de informatievoorziening in de begroting van Economische Zaken.</w:t>
      </w:r>
    </w:p>
    <w:p w:rsidR="00DE380E" w:rsidP="00DE380E" w:rsidRDefault="00DE380E"/>
    <w:p w:rsidR="00DE380E" w:rsidP="00DE380E" w:rsidRDefault="00DE380E">
      <w:pPr>
        <w:pStyle w:val="BORKopje"/>
      </w:pPr>
      <w:r>
        <w:t>Voorstel aan de commissie</w:t>
      </w:r>
    </w:p>
    <w:p w:rsidR="00DE380E" w:rsidP="00DE380E" w:rsidRDefault="00DE380E">
      <w:r>
        <w:t>Wij stellen voor een brief te sturen aan de minister van Economische Zaken, waarin de volgende punten worden gemaakt</w:t>
      </w:r>
      <w:r w:rsidR="002219B6">
        <w:t xml:space="preserve"> en waarin </w:t>
      </w:r>
      <w:r w:rsidR="00FE3827">
        <w:t xml:space="preserve">tevens </w:t>
      </w:r>
      <w:r w:rsidR="002219B6">
        <w:t>gevraagd wordt de verbeteringen uiterlijk in het jaarverslag over 2017 en in de begroting over 2019 door te voeren</w:t>
      </w:r>
      <w:r>
        <w:t xml:space="preserve">. </w:t>
      </w:r>
      <w:r w:rsidR="00FE3827">
        <w:t xml:space="preserve">Ook </w:t>
      </w:r>
      <w:r>
        <w:t>stellen wij voor onze analyse als bijlage aan de brief toe te voegen.</w:t>
      </w:r>
    </w:p>
    <w:p w:rsidRPr="00E81BB5" w:rsidR="00DE380E" w:rsidP="00DE380E" w:rsidRDefault="00DE380E">
      <w:pPr>
        <w:rPr>
          <w:i/>
        </w:rPr>
      </w:pPr>
    </w:p>
    <w:p w:rsidR="00DE380E" w:rsidP="00DE380E" w:rsidRDefault="00DE380E">
      <w:pPr>
        <w:pStyle w:val="Lijstalinea"/>
        <w:numPr>
          <w:ilvl w:val="0"/>
          <w:numId w:val="40"/>
        </w:numPr>
      </w:pPr>
      <w:r>
        <w:rPr>
          <w:rFonts w:ascii="Verdana" w:hAnsi="Verdana"/>
          <w:sz w:val="18"/>
          <w:szCs w:val="18"/>
        </w:rPr>
        <w:t xml:space="preserve">Welke aanpak heeft u voor ogen om de gevraagde verbeterpunten uit de motie Weverling c.s. (Kamerstuk 34 725-XIII, nr. 10) door te voeren? </w:t>
      </w:r>
      <w:r w:rsidR="002219B6">
        <w:rPr>
          <w:rFonts w:ascii="Verdana" w:hAnsi="Verdana"/>
          <w:sz w:val="18"/>
          <w:szCs w:val="18"/>
        </w:rPr>
        <w:t>O</w:t>
      </w:r>
      <w:r>
        <w:rPr>
          <w:rFonts w:ascii="Verdana" w:hAnsi="Verdana"/>
          <w:sz w:val="18"/>
          <w:szCs w:val="18"/>
        </w:rPr>
        <w:t>p welke wijze bent u voornemens de Tweede Kamer hierbij te betrekken, zoals expliciet gevraagd is in de motie?</w:t>
      </w:r>
    </w:p>
    <w:p w:rsidR="00DE380E" w:rsidP="00FE3827" w:rsidRDefault="00DE380E">
      <w:pPr>
        <w:pStyle w:val="Lijstalinea"/>
        <w:numPr>
          <w:ilvl w:val="0"/>
          <w:numId w:val="40"/>
        </w:numPr>
      </w:pPr>
      <w:r>
        <w:rPr>
          <w:rFonts w:ascii="Verdana" w:hAnsi="Verdana"/>
          <w:sz w:val="18"/>
          <w:szCs w:val="18"/>
        </w:rPr>
        <w:t xml:space="preserve">Kunt u de Kamer </w:t>
      </w:r>
      <w:r w:rsidR="009A1EDB">
        <w:rPr>
          <w:rFonts w:ascii="Verdana" w:hAnsi="Verdana"/>
          <w:sz w:val="18"/>
          <w:szCs w:val="18"/>
        </w:rPr>
        <w:t xml:space="preserve">op korte termijn </w:t>
      </w:r>
      <w:r>
        <w:rPr>
          <w:rFonts w:ascii="Verdana" w:hAnsi="Verdana"/>
          <w:sz w:val="18"/>
          <w:szCs w:val="18"/>
        </w:rPr>
        <w:t xml:space="preserve">informeren over de doelen, prestatie-indicatoren en kengetallen die u voornemens bent op te nemen in de begroting 2019, conform </w:t>
      </w:r>
      <w:r w:rsidR="00FE3827">
        <w:rPr>
          <w:rFonts w:ascii="Verdana" w:hAnsi="Verdana"/>
          <w:sz w:val="18"/>
          <w:szCs w:val="18"/>
        </w:rPr>
        <w:t>de</w:t>
      </w:r>
      <w:r>
        <w:rPr>
          <w:rFonts w:ascii="Verdana" w:hAnsi="Verdana"/>
          <w:sz w:val="18"/>
          <w:szCs w:val="18"/>
        </w:rPr>
        <w:t xml:space="preserve"> brief uit 2015 (Kamerstuk </w:t>
      </w:r>
      <w:r w:rsidRPr="00FE3827">
        <w:rPr>
          <w:rFonts w:ascii="Verdana" w:hAnsi="Verdana"/>
          <w:sz w:val="18"/>
          <w:szCs w:val="18"/>
        </w:rPr>
        <w:t xml:space="preserve">34000-XIII, nr. 152)? </w:t>
      </w:r>
      <w:r w:rsidR="00FE3827">
        <w:rPr>
          <w:rFonts w:ascii="Verdana" w:hAnsi="Verdana"/>
          <w:sz w:val="18"/>
          <w:szCs w:val="18"/>
        </w:rPr>
        <w:t xml:space="preserve">Kunt u </w:t>
      </w:r>
      <w:r w:rsidRPr="00FE3827">
        <w:rPr>
          <w:rFonts w:ascii="Verdana" w:hAnsi="Verdana"/>
          <w:sz w:val="18"/>
          <w:szCs w:val="18"/>
        </w:rPr>
        <w:t xml:space="preserve">de doelen, indicatoren </w:t>
      </w:r>
      <w:r w:rsidRPr="00FE3827">
        <w:rPr>
          <w:rFonts w:ascii="Verdana" w:hAnsi="Verdana"/>
          <w:sz w:val="18"/>
          <w:szCs w:val="18"/>
        </w:rPr>
        <w:lastRenderedPageBreak/>
        <w:t>en kengetallen voortaan presenteren zoals gedaan wordt in de begroting van OCW (Kamerstuk 34775-VIII, nr. 2, p. 13-18)</w:t>
      </w:r>
      <w:r w:rsidR="00E81BB5">
        <w:rPr>
          <w:rFonts w:ascii="Verdana" w:hAnsi="Verdana"/>
          <w:sz w:val="18"/>
          <w:szCs w:val="18"/>
        </w:rPr>
        <w:t>?</w:t>
      </w:r>
      <w:r w:rsidRPr="00FE3827" w:rsidR="002219B6">
        <w:rPr>
          <w:rFonts w:ascii="Verdana" w:hAnsi="Verdana"/>
          <w:sz w:val="18"/>
          <w:szCs w:val="18"/>
        </w:rPr>
        <w:t xml:space="preserve"> </w:t>
      </w:r>
      <w:r w:rsidR="00E81BB5">
        <w:rPr>
          <w:rFonts w:ascii="Verdana" w:hAnsi="Verdana"/>
          <w:sz w:val="18"/>
          <w:szCs w:val="18"/>
        </w:rPr>
        <w:t>W</w:t>
      </w:r>
      <w:r w:rsidR="00FE3827">
        <w:rPr>
          <w:rFonts w:ascii="Verdana" w:hAnsi="Verdana"/>
          <w:sz w:val="18"/>
          <w:szCs w:val="18"/>
        </w:rPr>
        <w:t xml:space="preserve">ilt u </w:t>
      </w:r>
      <w:r w:rsidRPr="00FE3827" w:rsidR="002219B6">
        <w:rPr>
          <w:rFonts w:ascii="Verdana" w:hAnsi="Verdana"/>
          <w:sz w:val="18"/>
          <w:szCs w:val="18"/>
        </w:rPr>
        <w:t>daarbij ook financiële informatie opnemen</w:t>
      </w:r>
      <w:r w:rsidR="00E81BB5">
        <w:rPr>
          <w:rFonts w:ascii="Verdana" w:hAnsi="Verdana"/>
          <w:sz w:val="18"/>
          <w:szCs w:val="18"/>
        </w:rPr>
        <w:t>, zodat de Kamer zicht heeft op de hoeveelheid geld die met de doelen, indicatoren en kengetallen gemoeid is</w:t>
      </w:r>
      <w:r w:rsidRPr="00FE3827">
        <w:rPr>
          <w:rFonts w:ascii="Verdana" w:hAnsi="Verdana"/>
          <w:sz w:val="18"/>
          <w:szCs w:val="18"/>
        </w:rPr>
        <w:t>?</w:t>
      </w:r>
    </w:p>
    <w:p w:rsidR="00DE380E" w:rsidP="00DE380E" w:rsidRDefault="00DE380E">
      <w:pPr>
        <w:pStyle w:val="Lijstalinea"/>
        <w:numPr>
          <w:ilvl w:val="0"/>
          <w:numId w:val="41"/>
        </w:numPr>
      </w:pPr>
      <w:r>
        <w:rPr>
          <w:rFonts w:ascii="Verdana" w:hAnsi="Verdana"/>
          <w:sz w:val="18"/>
          <w:szCs w:val="18"/>
        </w:rPr>
        <w:t>Kunt u de financiële informatie transparanter maken, bijvoorbeeld door de tabel met de belangrijkste mutaties beleidsmatiger toe te lichten, door in de verdiepingsbijlage ook daadwerkelijk verdieping aan te brengen, en door de verschillende financiële overzichten in de begroting beter op elkaar af te stemmen</w:t>
      </w:r>
      <w:r w:rsidR="00E81BB5">
        <w:rPr>
          <w:rFonts w:ascii="Verdana" w:hAnsi="Verdana"/>
          <w:sz w:val="18"/>
          <w:szCs w:val="18"/>
        </w:rPr>
        <w:t>?</w:t>
      </w:r>
    </w:p>
    <w:p w:rsidR="00DE380E" w:rsidP="00DE380E" w:rsidRDefault="009A1EDB">
      <w:pPr>
        <w:pStyle w:val="Lijstalinea"/>
        <w:numPr>
          <w:ilvl w:val="0"/>
          <w:numId w:val="41"/>
        </w:numPr>
        <w:rPr>
          <w:b/>
        </w:rPr>
      </w:pPr>
      <w:r>
        <w:rPr>
          <w:rFonts w:ascii="Verdana" w:hAnsi="Verdana"/>
          <w:sz w:val="18"/>
          <w:szCs w:val="18"/>
        </w:rPr>
        <w:t xml:space="preserve">Hoe gaat u </w:t>
      </w:r>
      <w:r w:rsidR="00E81BB5">
        <w:rPr>
          <w:rFonts w:ascii="Verdana" w:hAnsi="Verdana"/>
          <w:sz w:val="18"/>
          <w:szCs w:val="18"/>
        </w:rPr>
        <w:t xml:space="preserve">– </w:t>
      </w:r>
      <w:r w:rsidR="00583F44">
        <w:rPr>
          <w:rFonts w:ascii="Verdana" w:hAnsi="Verdana"/>
          <w:sz w:val="18"/>
          <w:szCs w:val="18"/>
        </w:rPr>
        <w:t>gezien de conclusies in</w:t>
      </w:r>
      <w:r w:rsidR="00E81BB5">
        <w:rPr>
          <w:rFonts w:ascii="Verdana" w:hAnsi="Verdana"/>
          <w:sz w:val="18"/>
          <w:szCs w:val="18"/>
        </w:rPr>
        <w:t xml:space="preserve"> het rapport </w:t>
      </w:r>
      <w:r w:rsidR="00583F44">
        <w:rPr>
          <w:rFonts w:ascii="Verdana" w:hAnsi="Verdana"/>
          <w:sz w:val="18"/>
          <w:szCs w:val="18"/>
        </w:rPr>
        <w:t xml:space="preserve">van de Algemene Rekenkamer </w:t>
      </w:r>
      <w:r w:rsidR="00E81BB5">
        <w:rPr>
          <w:rFonts w:ascii="Verdana" w:hAnsi="Verdana"/>
          <w:sz w:val="18"/>
          <w:szCs w:val="18"/>
        </w:rPr>
        <w:t>‘Niet-belasting</w:t>
      </w:r>
      <w:r w:rsidR="00E81BB5">
        <w:rPr>
          <w:rFonts w:ascii="Verdana" w:hAnsi="Verdana"/>
          <w:sz w:val="18"/>
          <w:szCs w:val="18"/>
        </w:rPr>
        <w:softHyphen/>
        <w:t xml:space="preserve">ontvangsten. Raming, beheersing en prikkels van ontvangsten van ministeries’ </w:t>
      </w:r>
      <w:r w:rsidR="00583F44">
        <w:rPr>
          <w:rFonts w:ascii="Verdana" w:hAnsi="Verdana"/>
          <w:sz w:val="18"/>
          <w:szCs w:val="18"/>
        </w:rPr>
        <w:t xml:space="preserve">– voortaan </w:t>
      </w:r>
      <w:r>
        <w:rPr>
          <w:rFonts w:ascii="Verdana" w:hAnsi="Verdana"/>
          <w:sz w:val="18"/>
          <w:szCs w:val="18"/>
        </w:rPr>
        <w:t xml:space="preserve">ramingsfouten voorkomen? Welke consequenties heeft het rapport concreet voor de ramingen over </w:t>
      </w:r>
      <w:r w:rsidR="00DE380E">
        <w:rPr>
          <w:rFonts w:ascii="Verdana" w:hAnsi="Verdana"/>
          <w:sz w:val="18"/>
          <w:szCs w:val="18"/>
        </w:rPr>
        <w:t xml:space="preserve">2018? </w:t>
      </w:r>
    </w:p>
    <w:p w:rsidR="00DE380E" w:rsidP="00DE380E" w:rsidRDefault="00DE380E">
      <w:pPr>
        <w:pStyle w:val="Lijstalinea"/>
        <w:numPr>
          <w:ilvl w:val="0"/>
          <w:numId w:val="41"/>
        </w:numPr>
      </w:pPr>
      <w:r>
        <w:rPr>
          <w:rFonts w:ascii="Verdana" w:hAnsi="Verdana"/>
          <w:sz w:val="18"/>
          <w:szCs w:val="18"/>
        </w:rPr>
        <w:t>Kunt u onderbouwen waarom de planning van de beleidsdoorlichtingen sterk gecentreerd is rondom de jaren 2019-2021, terwijl in de jaren 2016-2018 slechts één beleidsdoorlichting is/wordt uitgevoerd? Wat is de reden van deze ongelijkmatige planning?</w:t>
      </w:r>
    </w:p>
    <w:p w:rsidR="00DE380E" w:rsidP="00DE380E" w:rsidRDefault="00DE380E">
      <w:pPr>
        <w:rPr>
          <w:b/>
        </w:rPr>
      </w:pPr>
      <w:r>
        <w:br w:type="page"/>
      </w:r>
    </w:p>
    <w:p w:rsidR="00DE380E" w:rsidP="00DE380E" w:rsidRDefault="00DE380E">
      <w:pPr>
        <w:pStyle w:val="BORKopje"/>
      </w:pPr>
      <w:r>
        <w:lastRenderedPageBreak/>
        <w:t>Analyse rapporteurs Van den Berg (CDA) en Weverling (VVD)</w:t>
      </w:r>
    </w:p>
    <w:p w:rsidR="00DE380E" w:rsidP="00DE380E" w:rsidRDefault="00DE380E">
      <w:pPr>
        <w:pStyle w:val="BOR-NotitieKop1"/>
        <w:numPr>
          <w:ilvl w:val="0"/>
          <w:numId w:val="39"/>
        </w:numPr>
        <w:textAlignment w:val="auto"/>
      </w:pPr>
      <w:r>
        <w:t>Motie Weverling c.s.</w:t>
      </w:r>
    </w:p>
    <w:p w:rsidR="00DE380E" w:rsidP="00DE380E" w:rsidRDefault="00DE380E">
      <w:r>
        <w:t>Tijdens het wetgevingsoverleg over het jaarverslag 2016 van Economische Zaken d.d. 28 juni 2017 heeft de rapporteur (Weverling) namens de commissie een motie ingediend, waarin de regering wordt verzocht om – voor zover de begrotingsregels dat toelaten –</w:t>
      </w:r>
      <w:proofErr w:type="gramStart"/>
      <w:r>
        <w:t xml:space="preserve">  de</w:t>
      </w:r>
      <w:proofErr w:type="gramEnd"/>
      <w:r>
        <w:t xml:space="preserve"> informatievoorziening in de begrotingen en jaarverslagen van het ministerie van Economische Zaken aan te vullen met de volgende zaken: </w:t>
      </w:r>
    </w:p>
    <w:p w:rsidR="00DE380E" w:rsidP="00DE380E" w:rsidRDefault="00DE380E"/>
    <w:p w:rsidR="00DE380E" w:rsidP="00DE380E" w:rsidRDefault="00DE380E">
      <w:pPr>
        <w:pStyle w:val="Lijstalinea"/>
        <w:numPr>
          <w:ilvl w:val="0"/>
          <w:numId w:val="40"/>
        </w:numPr>
        <w:rPr>
          <w:rFonts w:ascii="Verdana" w:hAnsi="Verdana"/>
          <w:sz w:val="18"/>
          <w:szCs w:val="18"/>
        </w:rPr>
      </w:pPr>
      <w:r>
        <w:rPr>
          <w:rFonts w:ascii="Verdana" w:hAnsi="Verdana"/>
          <w:sz w:val="18"/>
          <w:szCs w:val="18"/>
        </w:rPr>
        <w:t xml:space="preserve">een verbeterd overzicht van beschikbare informatie, </w:t>
      </w:r>
      <w:proofErr w:type="gramStart"/>
      <w:r>
        <w:rPr>
          <w:rFonts w:ascii="Verdana" w:hAnsi="Verdana"/>
          <w:sz w:val="18"/>
          <w:szCs w:val="18"/>
        </w:rPr>
        <w:t>alsmede</w:t>
      </w:r>
      <w:proofErr w:type="gramEnd"/>
      <w:r>
        <w:rPr>
          <w:rFonts w:ascii="Verdana" w:hAnsi="Verdana"/>
          <w:sz w:val="18"/>
          <w:szCs w:val="18"/>
        </w:rPr>
        <w:t xml:space="preserve"> meer informatie over de voortgang van beleid en specifiek beleidswijzigingen;</w:t>
      </w:r>
    </w:p>
    <w:p w:rsidR="00DE380E" w:rsidP="00DE380E" w:rsidRDefault="00DE380E">
      <w:pPr>
        <w:pStyle w:val="Lijstalinea"/>
        <w:numPr>
          <w:ilvl w:val="0"/>
          <w:numId w:val="40"/>
        </w:numPr>
        <w:rPr>
          <w:rFonts w:ascii="Verdana" w:hAnsi="Verdana"/>
          <w:sz w:val="18"/>
          <w:szCs w:val="18"/>
        </w:rPr>
      </w:pPr>
      <w:r>
        <w:rPr>
          <w:rFonts w:ascii="Verdana" w:hAnsi="Verdana"/>
          <w:sz w:val="18"/>
          <w:szCs w:val="18"/>
        </w:rPr>
        <w:t>het inzichtelijker maken van de relatie tussen doelstellingen, prestaties en middelen met betrekking tot het beleid;</w:t>
      </w:r>
    </w:p>
    <w:p w:rsidR="00DE380E" w:rsidP="00DE380E" w:rsidRDefault="00DE380E">
      <w:pPr>
        <w:pStyle w:val="Lijstalinea"/>
        <w:numPr>
          <w:ilvl w:val="0"/>
          <w:numId w:val="40"/>
        </w:numPr>
        <w:rPr>
          <w:rFonts w:ascii="Verdana" w:hAnsi="Verdana"/>
          <w:sz w:val="18"/>
          <w:szCs w:val="18"/>
        </w:rPr>
      </w:pPr>
      <w:r>
        <w:rPr>
          <w:rFonts w:ascii="Verdana" w:hAnsi="Verdana"/>
          <w:sz w:val="18"/>
          <w:szCs w:val="18"/>
        </w:rPr>
        <w:t xml:space="preserve">het inzichtelijker maken van de effecten van gevoerd beleid, </w:t>
      </w:r>
      <w:proofErr w:type="gramStart"/>
      <w:r>
        <w:rPr>
          <w:rFonts w:ascii="Verdana" w:hAnsi="Verdana"/>
          <w:sz w:val="18"/>
          <w:szCs w:val="18"/>
        </w:rPr>
        <w:t>alsmede</w:t>
      </w:r>
      <w:proofErr w:type="gramEnd"/>
      <w:r>
        <w:rPr>
          <w:rFonts w:ascii="Verdana" w:hAnsi="Verdana"/>
          <w:sz w:val="18"/>
          <w:szCs w:val="18"/>
        </w:rPr>
        <w:t xml:space="preserve"> hoe deze effecten gemeten worden.</w:t>
      </w:r>
    </w:p>
    <w:p w:rsidR="00DE380E" w:rsidP="00DE380E" w:rsidRDefault="00DE380E"/>
    <w:p w:rsidR="00DE380E" w:rsidP="00DE380E" w:rsidRDefault="00DE380E">
      <w:r>
        <w:t>De motie Weverling c.s.</w:t>
      </w:r>
      <w:r>
        <w:rPr>
          <w:sz w:val="13"/>
        </w:rPr>
        <w:t xml:space="preserve"> </w:t>
      </w:r>
      <w:r>
        <w:t xml:space="preserve">(Kamerstuk </w:t>
      </w:r>
      <w:hyperlink w:history="1" r:id="rId11">
        <w:r>
          <w:rPr>
            <w:rStyle w:val="Hyperlink"/>
          </w:rPr>
          <w:t>34 725-XIII, nr. 10</w:t>
        </w:r>
      </w:hyperlink>
      <w:r>
        <w:t>) is met algemene stemmen aangenomen.</w:t>
      </w:r>
      <w:r>
        <w:rPr>
          <w:rStyle w:val="Voetnootmarkering"/>
        </w:rPr>
        <w:footnoteReference w:id="2"/>
      </w:r>
      <w:r>
        <w:t xml:space="preserve"> Hieronder analyseren wij in hoeverre de minister de informatie in de begroting 2018 heeft verbeterd. </w:t>
      </w:r>
    </w:p>
    <w:p w:rsidR="00DE380E" w:rsidP="00DE380E" w:rsidRDefault="00DE380E">
      <w:pPr>
        <w:pStyle w:val="BOR-NotitieKop1"/>
        <w:numPr>
          <w:ilvl w:val="0"/>
          <w:numId w:val="39"/>
        </w:numPr>
        <w:textAlignment w:val="auto"/>
      </w:pPr>
      <w:r>
        <w:t>Beeld op hoofdlijnen</w:t>
      </w:r>
    </w:p>
    <w:p w:rsidR="00DE380E" w:rsidP="00DE380E" w:rsidRDefault="00DE380E">
      <w:r>
        <w:t>Wij zijn teleurgesteld dat de minister nog geen begin heeft gemaakt met het verbeteren van de informatievoorziening. Een vergelijking tussen de begroting over 2017 en de begroting over 2018 laat immers zien dat deze alleen is geactualiseerd, maar qua informatie</w:t>
      </w:r>
      <w:r>
        <w:softHyphen/>
        <w:t>voorziening identiek is.</w:t>
      </w:r>
    </w:p>
    <w:p w:rsidR="00DE380E" w:rsidP="00DE380E" w:rsidRDefault="00DE380E"/>
    <w:p w:rsidR="00DE380E" w:rsidP="00DE380E" w:rsidRDefault="00DE380E">
      <w:r>
        <w:t>Het heeft volgens ons daarom weinig meerwaarde om de kwaliteit van de informatie in de begroting nu geheel opnieuw te toetsen. De verzoeken in de motie en de vragen die de rapporteur heeft gesteld tijdens het wetgevingsoverleg</w:t>
      </w:r>
      <w:r>
        <w:rPr>
          <w:rStyle w:val="Voetnootmarkering"/>
        </w:rPr>
        <w:footnoteReference w:id="3"/>
      </w:r>
      <w:r>
        <w:t xml:space="preserve"> over het jaarverslag blijven immers gewoon staan.</w:t>
      </w:r>
    </w:p>
    <w:p w:rsidR="00DE380E" w:rsidP="00DE380E" w:rsidRDefault="00DE380E"/>
    <w:p w:rsidR="00DE380E" w:rsidP="00DE380E" w:rsidRDefault="00DE380E">
      <w:r>
        <w:t xml:space="preserve">Wij adviseren de commissie aan de minister een brief te vragen waarin wordt aangegeven </w:t>
      </w:r>
      <w:r w:rsidR="00A12418">
        <w:t>hoe</w:t>
      </w:r>
      <w:r>
        <w:t xml:space="preserve"> de gevraagde verbeterpunten </w:t>
      </w:r>
      <w:r w:rsidR="00A12418">
        <w:t xml:space="preserve">zullen worden </w:t>
      </w:r>
      <w:proofErr w:type="spellStart"/>
      <w:r>
        <w:t>door</w:t>
      </w:r>
      <w:r w:rsidR="00A12418">
        <w:t>gevoerd</w:t>
      </w:r>
      <w:r>
        <w:t>en</w:t>
      </w:r>
      <w:proofErr w:type="spellEnd"/>
      <w:r>
        <w:t xml:space="preserve"> op welke wijze de Kamer hierbij betrokken wordt, zoals expliciet in de motie is gevraagd.</w:t>
      </w:r>
    </w:p>
    <w:p w:rsidR="00DE380E" w:rsidP="00DE380E" w:rsidRDefault="00DE380E"/>
    <w:p w:rsidR="00DE380E" w:rsidP="00DE380E" w:rsidRDefault="00DE380E">
      <w:r>
        <w:t>Wij vertrouwen erop dat de minister de verbeteringen volledig zal hebben doorgevoerd in het jaarverslag over 2017 (mei 2018) en in de begroting 2019 (september 2018).</w:t>
      </w:r>
      <w:r>
        <w:br/>
      </w:r>
    </w:p>
    <w:p w:rsidR="00DE380E" w:rsidP="00DE380E" w:rsidRDefault="00DE380E">
      <w:r>
        <w:t xml:space="preserve">In deze analyse: </w:t>
      </w:r>
    </w:p>
    <w:p w:rsidR="00DE380E" w:rsidP="00DE380E" w:rsidRDefault="00DE380E">
      <w:pPr>
        <w:pStyle w:val="Lijstalinea"/>
        <w:numPr>
          <w:ilvl w:val="0"/>
          <w:numId w:val="40"/>
        </w:numPr>
        <w:rPr>
          <w:rFonts w:ascii="Verdana" w:hAnsi="Verdana"/>
          <w:sz w:val="18"/>
          <w:szCs w:val="18"/>
        </w:rPr>
      </w:pPr>
      <w:r>
        <w:rPr>
          <w:rFonts w:ascii="Verdana" w:hAnsi="Verdana"/>
          <w:sz w:val="18"/>
          <w:szCs w:val="18"/>
        </w:rPr>
        <w:t>geven wij de bevin</w:t>
      </w:r>
      <w:r w:rsidR="00A67ED6">
        <w:rPr>
          <w:rFonts w:ascii="Verdana" w:hAnsi="Verdana"/>
          <w:sz w:val="18"/>
          <w:szCs w:val="18"/>
        </w:rPr>
        <w:t>din</w:t>
      </w:r>
      <w:r>
        <w:rPr>
          <w:rFonts w:ascii="Verdana" w:hAnsi="Verdana"/>
          <w:sz w:val="18"/>
          <w:szCs w:val="18"/>
        </w:rPr>
        <w:t>gen van de rapporteur bij het jaarverslag over 2016 kort weer;</w:t>
      </w:r>
    </w:p>
    <w:p w:rsidR="00DE380E" w:rsidP="00DE380E" w:rsidRDefault="00DE380E">
      <w:pPr>
        <w:pStyle w:val="Lijstalinea"/>
        <w:numPr>
          <w:ilvl w:val="0"/>
          <w:numId w:val="40"/>
        </w:numPr>
        <w:rPr>
          <w:rFonts w:ascii="Verdana" w:hAnsi="Verdana"/>
          <w:sz w:val="18"/>
          <w:szCs w:val="18"/>
        </w:rPr>
      </w:pPr>
      <w:r>
        <w:rPr>
          <w:rFonts w:ascii="Verdana" w:hAnsi="Verdana"/>
          <w:sz w:val="18"/>
          <w:szCs w:val="18"/>
        </w:rPr>
        <w:t>vullen wij deze aan voor de onderdelen waarbij de begroting qua informatie afwijkt van het jaarverslag (zoals het onderdeel financiële transparantie);</w:t>
      </w:r>
    </w:p>
    <w:p w:rsidR="007A0C86" w:rsidP="001B0641" w:rsidRDefault="00DE380E">
      <w:pPr>
        <w:pStyle w:val="Lijstalinea"/>
        <w:numPr>
          <w:ilvl w:val="0"/>
          <w:numId w:val="40"/>
        </w:numPr>
        <w:rPr>
          <w:rFonts w:ascii="Verdana" w:hAnsi="Verdana"/>
          <w:sz w:val="18"/>
          <w:szCs w:val="18"/>
        </w:rPr>
      </w:pPr>
      <w:r w:rsidRPr="007A0C86">
        <w:rPr>
          <w:rFonts w:ascii="Verdana" w:hAnsi="Verdana"/>
          <w:sz w:val="18"/>
          <w:szCs w:val="18"/>
        </w:rPr>
        <w:t>en doen wij enkele aanvullende voorstellen om de informatie te verbeteren.</w:t>
      </w:r>
    </w:p>
    <w:p w:rsidR="007A0C86" w:rsidRDefault="007A0C86">
      <w:pPr>
        <w:rPr>
          <w:rFonts w:eastAsia="Times New Roman" w:cs="Times New Roman"/>
          <w:color w:val="auto"/>
        </w:rPr>
      </w:pPr>
      <w:r>
        <w:br w:type="page"/>
      </w:r>
    </w:p>
    <w:p w:rsidR="00DE380E" w:rsidP="00DE380E" w:rsidRDefault="00DE380E">
      <w:pPr>
        <w:pStyle w:val="BOR-NotitieKop1"/>
        <w:numPr>
          <w:ilvl w:val="0"/>
          <w:numId w:val="39"/>
        </w:numPr>
        <w:textAlignment w:val="auto"/>
      </w:pPr>
      <w:r>
        <w:lastRenderedPageBreak/>
        <w:t>Doelen en prestaties</w:t>
      </w:r>
    </w:p>
    <w:p w:rsidR="00DE380E" w:rsidP="00DE380E" w:rsidRDefault="00DE380E">
      <w:pPr>
        <w:rPr>
          <w:i/>
        </w:rPr>
      </w:pPr>
      <w:r>
        <w:rPr>
          <w:i/>
        </w:rPr>
        <w:t xml:space="preserve">Terugblik wetgevingsoverleg jaarverslag </w:t>
      </w:r>
    </w:p>
    <w:p w:rsidR="00DE380E" w:rsidP="00DE380E" w:rsidRDefault="00DE380E">
      <w:r>
        <w:t>In het wetgevingsoverleg over het jaarverslag heeft de rapporteur aandacht gevraagd voor het SMART</w:t>
      </w:r>
      <w:r>
        <w:rPr>
          <w:rStyle w:val="Voetnootmarkering"/>
        </w:rPr>
        <w:footnoteReference w:id="4"/>
      </w:r>
      <w:r>
        <w:t xml:space="preserve"> formuleren van doelen. De rapporteur heeft het belang geschetst:</w:t>
      </w:r>
    </w:p>
    <w:p w:rsidR="00DE380E" w:rsidP="00DE380E" w:rsidRDefault="00DE380E"/>
    <w:p w:rsidR="00DE380E" w:rsidP="00DE380E" w:rsidRDefault="00DE380E">
      <w:pPr>
        <w:pStyle w:val="Lijstalinea"/>
        <w:numPr>
          <w:ilvl w:val="0"/>
          <w:numId w:val="40"/>
        </w:numPr>
        <w:rPr>
          <w:rFonts w:ascii="Verdana" w:hAnsi="Verdana"/>
          <w:sz w:val="18"/>
          <w:szCs w:val="18"/>
        </w:rPr>
      </w:pPr>
      <w:r>
        <w:rPr>
          <w:rFonts w:ascii="Verdana" w:hAnsi="Verdana"/>
          <w:sz w:val="18"/>
          <w:szCs w:val="18"/>
        </w:rPr>
        <w:t>dat de doelen de verantwoordelijkheden van de minister goed moeten afdekken;</w:t>
      </w:r>
    </w:p>
    <w:p w:rsidR="00DE380E" w:rsidP="00DE380E" w:rsidRDefault="00DE380E">
      <w:pPr>
        <w:pStyle w:val="Lijstalinea"/>
        <w:numPr>
          <w:ilvl w:val="0"/>
          <w:numId w:val="40"/>
        </w:numPr>
        <w:rPr>
          <w:rFonts w:ascii="Verdana" w:hAnsi="Verdana"/>
          <w:sz w:val="18"/>
          <w:szCs w:val="18"/>
        </w:rPr>
      </w:pPr>
      <w:r>
        <w:rPr>
          <w:rFonts w:ascii="Verdana" w:hAnsi="Verdana"/>
          <w:sz w:val="18"/>
          <w:szCs w:val="18"/>
        </w:rPr>
        <w:t>dat de indicatoren voldoende inzicht moeten geven in de voortgang van het beleid;</w:t>
      </w:r>
    </w:p>
    <w:p w:rsidR="00DE380E" w:rsidP="00DE380E" w:rsidRDefault="00DE380E">
      <w:pPr>
        <w:pStyle w:val="Lijstalinea"/>
        <w:numPr>
          <w:ilvl w:val="0"/>
          <w:numId w:val="40"/>
        </w:numPr>
        <w:rPr>
          <w:rFonts w:ascii="Verdana" w:hAnsi="Verdana"/>
          <w:sz w:val="18"/>
          <w:szCs w:val="18"/>
        </w:rPr>
      </w:pPr>
      <w:r>
        <w:rPr>
          <w:rFonts w:ascii="Verdana" w:hAnsi="Verdana"/>
          <w:sz w:val="18"/>
          <w:szCs w:val="18"/>
        </w:rPr>
        <w:t>en dat er een goede koppeling moet zijn tussen de doelen en de voorgenomen prestaties, en tussen de prestaties en de geraamde kosten.</w:t>
      </w:r>
      <w:r>
        <w:rPr>
          <w:rStyle w:val="Voetnootmarkering"/>
          <w:rFonts w:ascii="Verdana" w:hAnsi="Verdana"/>
          <w:sz w:val="18"/>
          <w:szCs w:val="18"/>
        </w:rPr>
        <w:footnoteReference w:id="5"/>
      </w:r>
      <w:r>
        <w:rPr>
          <w:rFonts w:ascii="Verdana" w:hAnsi="Verdana"/>
          <w:sz w:val="18"/>
          <w:szCs w:val="18"/>
        </w:rPr>
        <w:t xml:space="preserve"> </w:t>
      </w:r>
    </w:p>
    <w:p w:rsidR="00DE380E" w:rsidP="00DE380E" w:rsidRDefault="00DE380E"/>
    <w:p w:rsidR="00DE380E" w:rsidP="00DE380E" w:rsidRDefault="00DE380E">
      <w:r>
        <w:t>Tevens heeft de rapporteur aan de orde gesteld dat er, onder meer op websites, veel informatie beschikbaar is over doelen en prestaties, maar dat deze niet wordt opgeno</w:t>
      </w:r>
      <w:r>
        <w:softHyphen/>
        <w:t>men in begrotingen en jaarverslagen. De rapporteur heeft de minister gevraagd in begrotingen en jaarverslagen meer informatie op te nemen over het beleid en de resul</w:t>
      </w:r>
      <w:r>
        <w:softHyphen/>
        <w:t>taten van beleid, zodat de Kamer via deze stukken meer sturingsinformatie ontvangt.</w:t>
      </w:r>
      <w:r>
        <w:rPr>
          <w:rStyle w:val="Voetnootmarkering"/>
        </w:rPr>
        <w:footnoteReference w:id="6"/>
      </w:r>
      <w:r>
        <w:t xml:space="preserve"> </w:t>
      </w:r>
      <w:r>
        <w:br/>
      </w:r>
      <w:r>
        <w:br/>
        <w:t>De rapporteur heeft verder gevraagd om – net als in de begroting van Onderwijs, Cultuur en Wetenschap – een overzichtstabel op te nemen van de doelstellingen per beleidsterrein en de daarbij bijbehorende indicatoren.</w:t>
      </w:r>
      <w:r>
        <w:rPr>
          <w:rStyle w:val="Voetnootmarkering"/>
        </w:rPr>
        <w:footnoteReference w:id="7"/>
      </w:r>
      <w:r>
        <w:t xml:space="preserve"> Met een dergelijke tabel (zie bijlage) krijgt de </w:t>
      </w:r>
      <w:r w:rsidR="00C835B3">
        <w:t>Kame</w:t>
      </w:r>
      <w:r w:rsidR="00CD1414">
        <w:t>r</w:t>
      </w:r>
      <w:r>
        <w:t xml:space="preserve"> een beter overzicht van de voortgang </w:t>
      </w:r>
      <w:r w:rsidR="00CD1414">
        <w:t>bij</w:t>
      </w:r>
      <w:r>
        <w:t xml:space="preserve"> de beleidsterreinen.</w:t>
      </w:r>
    </w:p>
    <w:p w:rsidR="00DE380E" w:rsidP="00DE380E" w:rsidRDefault="00DE380E">
      <w:pPr>
        <w:rPr>
          <w:sz w:val="13"/>
        </w:rPr>
      </w:pPr>
    </w:p>
    <w:p w:rsidR="00DE380E" w:rsidP="00DE380E" w:rsidRDefault="00DE380E">
      <w:pPr>
        <w:rPr>
          <w:i/>
        </w:rPr>
      </w:pPr>
      <w:r>
        <w:rPr>
          <w:i/>
        </w:rPr>
        <w:t>Voorstel rapporteurs begroting 2018</w:t>
      </w:r>
    </w:p>
    <w:p w:rsidR="00DE380E" w:rsidP="00DE380E" w:rsidRDefault="00DE380E">
      <w:r>
        <w:t>Een regeerakkoord biedt bij uitstek de gelegenheid om de doelen van het kabinet helder te formuleren en daarbij opnieuw na te denken over bijpassende indicatoren en kengetallen</w:t>
      </w:r>
      <w:r>
        <w:rPr>
          <w:rStyle w:val="Voetnootmarkering"/>
        </w:rPr>
        <w:footnoteReference w:id="8"/>
      </w:r>
      <w:r>
        <w:t>. De minister heeft eerder (in 2015) een brief naar de Kamer gestuurd, waarin hij de toenmalige indicatoren en kengetallen heeft heroverwogen en daarbij een voorstel aan de Kamer deed om de indicatoren te veranderen.</w:t>
      </w:r>
      <w:r>
        <w:rPr>
          <w:rStyle w:val="Voetnootmarkering"/>
        </w:rPr>
        <w:footnoteReference w:id="9"/>
      </w:r>
      <w:r>
        <w:t xml:space="preserve"> Wij stellen voor dat de minister </w:t>
      </w:r>
      <w:r w:rsidR="00C835B3">
        <w:t>op korte termijn</w:t>
      </w:r>
      <w:r>
        <w:t xml:space="preserve"> opnieuw aan de Kamer voorstelt welke doelen, indicatoren en kengetallen in de begroting van volgend jaar (de begroting 2019) </w:t>
      </w:r>
      <w:r w:rsidR="00C835B3">
        <w:t>worden opgenomen</w:t>
      </w:r>
      <w:r>
        <w:t>, zodat de Kamer zich nog tijdig kan uitspreken over de keuze en de kwaliteit ervan.</w:t>
      </w:r>
      <w:r w:rsidR="001B0641">
        <w:t xml:space="preserve"> Tevens stellen wij voor dat de minister in de indicatorentabel ook financiële informatie opneemt, zodat de Kamer zicht heeft op </w:t>
      </w:r>
      <w:r w:rsidR="006B1083">
        <w:t xml:space="preserve">de hoeveelheid </w:t>
      </w:r>
      <w:r w:rsidR="001B0641">
        <w:t xml:space="preserve">geld </w:t>
      </w:r>
      <w:r w:rsidR="006B1083">
        <w:t>die met de</w:t>
      </w:r>
      <w:r w:rsidR="001B0641">
        <w:t xml:space="preserve"> weergegeven </w:t>
      </w:r>
      <w:r w:rsidR="00E81BB5">
        <w:t xml:space="preserve">doelen, </w:t>
      </w:r>
      <w:r w:rsidR="001B0641">
        <w:t xml:space="preserve">indicatoren </w:t>
      </w:r>
      <w:r w:rsidR="00E81BB5">
        <w:t xml:space="preserve">en kengetallen </w:t>
      </w:r>
      <w:r w:rsidR="001B0641">
        <w:t>gemoeid is.</w:t>
      </w:r>
    </w:p>
    <w:p w:rsidR="00DE380E" w:rsidP="00DE380E" w:rsidRDefault="00DE380E">
      <w:pPr>
        <w:pStyle w:val="BOR-NotitieKop1"/>
        <w:numPr>
          <w:ilvl w:val="0"/>
          <w:numId w:val="39"/>
        </w:numPr>
        <w:textAlignment w:val="auto"/>
      </w:pPr>
      <w:r>
        <w:t>Kosten</w:t>
      </w:r>
    </w:p>
    <w:p w:rsidR="00DE380E" w:rsidP="00DE380E" w:rsidRDefault="00DE380E">
      <w:pPr>
        <w:pStyle w:val="Geenafstand"/>
        <w:rPr>
          <w:i/>
        </w:rPr>
      </w:pPr>
      <w:r>
        <w:rPr>
          <w:i/>
        </w:rPr>
        <w:t>Terugblik wetgevingsoverleg jaarverslag</w:t>
      </w:r>
    </w:p>
    <w:p w:rsidR="00DE380E" w:rsidP="00DE380E" w:rsidRDefault="00DE380E">
      <w:proofErr w:type="gramStart"/>
      <w:r>
        <w:t xml:space="preserve">De rapporteur heeft in het wetgevingsoverleg over het jaarverslag 2016 aangegeven dat de financiële informatie summier en technisch is. </w:t>
      </w:r>
      <w:proofErr w:type="gramEnd"/>
      <w:r>
        <w:t>De rapporteur heeft gevraagd de financiële informatie beter te koppelen aan het beleid van de minister en meer achtergrondinformatie bij de mutaties te geven.</w:t>
      </w:r>
      <w:r>
        <w:rPr>
          <w:rStyle w:val="Voetnootmarkering"/>
        </w:rPr>
        <w:footnoteReference w:id="10"/>
      </w:r>
      <w:r>
        <w:br/>
      </w:r>
    </w:p>
    <w:p w:rsidR="00497BEE" w:rsidP="00DE380E" w:rsidRDefault="00497BEE"/>
    <w:p w:rsidR="00497BEE" w:rsidP="00DE380E" w:rsidRDefault="00497BEE"/>
    <w:p w:rsidR="00DE380E" w:rsidP="00DE380E" w:rsidRDefault="00DE380E">
      <w:pPr>
        <w:rPr>
          <w:i/>
        </w:rPr>
      </w:pPr>
      <w:r>
        <w:rPr>
          <w:i/>
        </w:rPr>
        <w:lastRenderedPageBreak/>
        <w:t>Nadere analyse en voorstel rapporteurs begroting 2018</w:t>
      </w:r>
    </w:p>
    <w:p w:rsidR="00DE380E" w:rsidP="00DE380E" w:rsidRDefault="00DE380E">
      <w:r>
        <w:t xml:space="preserve">Omdat begrotingen meer financiële informatie bevatten dan jaarverslagen, hebben wij de financiële informatie in de begroting 2018 extra onder de loep genomen. Wij hebben bekeken of de financiële informatie transparant is. </w:t>
      </w:r>
    </w:p>
    <w:p w:rsidR="00DE380E" w:rsidP="00DE380E" w:rsidRDefault="00DE380E"/>
    <w:p w:rsidR="00DE380E" w:rsidP="00DE380E" w:rsidRDefault="00DE380E">
      <w:pPr>
        <w:rPr>
          <w:u w:val="single"/>
        </w:rPr>
      </w:pPr>
      <w:r>
        <w:rPr>
          <w:u w:val="single"/>
        </w:rPr>
        <w:t>Tabel met ‘belangrijkste beleidsmatige mutaties’ geeft nauwelijks overzicht</w:t>
      </w:r>
    </w:p>
    <w:p w:rsidR="00DE380E" w:rsidP="00DE380E" w:rsidRDefault="00DE380E">
      <w:r>
        <w:t xml:space="preserve">De begroting over 2018 bevat – conform de voorschriften – een tabel met de belangrijkste mutaties sinds de vorige begroting. Deze tabel (p. 16 van de begroting) en de toelichtingen daarbij zouden de Kamer kort, maar duidelijk inzicht moeten geven in </w:t>
      </w:r>
      <w:r w:rsidR="00B2490C">
        <w:t xml:space="preserve">de financiële </w:t>
      </w:r>
      <w:proofErr w:type="spellStart"/>
      <w:r w:rsidR="00B2490C">
        <w:t>veranderingen</w:t>
      </w:r>
      <w:r>
        <w:t>sinds</w:t>
      </w:r>
      <w:proofErr w:type="spellEnd"/>
      <w:r>
        <w:t xml:space="preserve"> de vorige budgettaire nota.</w:t>
      </w:r>
    </w:p>
    <w:p w:rsidR="00DE380E" w:rsidP="00DE380E" w:rsidRDefault="00DE380E"/>
    <w:p w:rsidR="00DE380E" w:rsidP="00DE380E" w:rsidRDefault="00DE380E">
      <w:r>
        <w:t>De toelichtingen in de begroting 2018 geven de Kamer echter verreweg dit overzicht.</w:t>
      </w:r>
    </w:p>
    <w:p w:rsidR="00DE380E" w:rsidP="00DE380E" w:rsidRDefault="00DE380E">
      <w:r>
        <w:t>Hieronder illustreren we dit aan de hand van twee voorbeelden.</w:t>
      </w:r>
    </w:p>
    <w:p w:rsidR="00DE380E" w:rsidP="00DE380E" w:rsidRDefault="00DE380E"/>
    <w:p w:rsidR="00DE380E" w:rsidP="00DE380E" w:rsidRDefault="00DE380E">
      <w:pPr>
        <w:shd w:val="clear" w:color="auto" w:fill="D9D9D9" w:themeFill="background1" w:themeFillShade="D9"/>
        <w:rPr>
          <w:u w:val="single"/>
        </w:rPr>
      </w:pPr>
      <w:r>
        <w:rPr>
          <w:u w:val="single"/>
        </w:rPr>
        <w:t>Voorbeelden</w:t>
      </w:r>
    </w:p>
    <w:p w:rsidR="00DE380E" w:rsidP="00DE380E" w:rsidRDefault="00DE380E">
      <w:pPr>
        <w:shd w:val="clear" w:color="auto" w:fill="D9D9D9" w:themeFill="background1" w:themeFillShade="D9"/>
      </w:pPr>
      <w:r>
        <w:t xml:space="preserve">In de tabel met </w:t>
      </w:r>
      <w:r w:rsidR="00B2490C">
        <w:t>‘</w:t>
      </w:r>
      <w:r>
        <w:t>belangrijkste mutaties</w:t>
      </w:r>
      <w:r w:rsidR="00B2490C">
        <w:t>’</w:t>
      </w:r>
      <w:r>
        <w:t xml:space="preserve"> (p. 16) staan onder meer de volgende reeksen</w:t>
      </w:r>
      <w:r w:rsidR="00B2490C">
        <w:t>:</w:t>
      </w:r>
      <w:r>
        <w:t xml:space="preserve"> </w:t>
      </w:r>
    </w:p>
    <w:p w:rsidR="00DE380E" w:rsidP="00DE380E" w:rsidRDefault="00DE380E">
      <w:pPr>
        <w:shd w:val="clear" w:color="auto" w:fill="D9D9D9" w:themeFill="background1" w:themeFillShade="D9"/>
        <w:rPr>
          <w:sz w:val="13"/>
        </w:rPr>
      </w:pPr>
    </w:p>
    <w:tbl>
      <w:tblPr>
        <w:tblStyle w:val="Tabelraster"/>
        <w:tblW w:w="0" w:type="auto"/>
        <w:tblInd w:w="108" w:type="dxa"/>
        <w:tblLook w:val="04A0" w:firstRow="1" w:lastRow="0" w:firstColumn="1" w:lastColumn="0" w:noHBand="0" w:noVBand="1"/>
      </w:tblPr>
      <w:tblGrid>
        <w:gridCol w:w="1767"/>
        <w:gridCol w:w="1269"/>
        <w:gridCol w:w="1271"/>
        <w:gridCol w:w="1271"/>
        <w:gridCol w:w="1262"/>
        <w:gridCol w:w="1262"/>
      </w:tblGrid>
      <w:tr w:rsidR="00DE380E" w:rsidTr="00DE380E">
        <w:tc>
          <w:tcPr>
            <w:tcW w:w="1767"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pPr>
          </w:p>
        </w:tc>
        <w:tc>
          <w:tcPr>
            <w:tcW w:w="1269"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2017</w:t>
            </w:r>
          </w:p>
        </w:tc>
        <w:tc>
          <w:tcPr>
            <w:tcW w:w="1271"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2018</w:t>
            </w:r>
          </w:p>
        </w:tc>
        <w:tc>
          <w:tcPr>
            <w:tcW w:w="1271"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2019</w:t>
            </w:r>
          </w:p>
        </w:tc>
        <w:tc>
          <w:tcPr>
            <w:tcW w:w="1262"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2020</w:t>
            </w:r>
          </w:p>
        </w:tc>
        <w:tc>
          <w:tcPr>
            <w:tcW w:w="1262"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2021</w:t>
            </w:r>
          </w:p>
        </w:tc>
      </w:tr>
      <w:tr w:rsidR="00DE380E" w:rsidTr="00DE380E">
        <w:tc>
          <w:tcPr>
            <w:tcW w:w="1767"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pPr>
            <w:r>
              <w:t xml:space="preserve">Nanonext.nl en </w:t>
            </w:r>
            <w:proofErr w:type="spellStart"/>
            <w:r>
              <w:t>Commit</w:t>
            </w:r>
            <w:proofErr w:type="spellEnd"/>
          </w:p>
        </w:tc>
        <w:tc>
          <w:tcPr>
            <w:tcW w:w="1269"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jc w:val="center"/>
            </w:pPr>
          </w:p>
          <w:p w:rsidR="00DE380E" w:rsidRDefault="00DE380E">
            <w:pPr>
              <w:shd w:val="clear" w:color="auto" w:fill="D9D9D9" w:themeFill="background1" w:themeFillShade="D9"/>
              <w:jc w:val="center"/>
            </w:pPr>
            <w:r>
              <w:t>8.000</w:t>
            </w:r>
          </w:p>
        </w:tc>
        <w:tc>
          <w:tcPr>
            <w:tcW w:w="1271"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jc w:val="center"/>
            </w:pPr>
          </w:p>
          <w:p w:rsidR="00DE380E" w:rsidRDefault="00DE380E">
            <w:pPr>
              <w:shd w:val="clear" w:color="auto" w:fill="D9D9D9" w:themeFill="background1" w:themeFillShade="D9"/>
              <w:jc w:val="center"/>
            </w:pPr>
          </w:p>
        </w:tc>
        <w:tc>
          <w:tcPr>
            <w:tcW w:w="1271"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jc w:val="center"/>
            </w:pPr>
          </w:p>
          <w:p w:rsidR="00DE380E" w:rsidRDefault="00DE380E">
            <w:pPr>
              <w:shd w:val="clear" w:color="auto" w:fill="D9D9D9" w:themeFill="background1" w:themeFillShade="D9"/>
              <w:jc w:val="center"/>
            </w:pPr>
          </w:p>
        </w:tc>
        <w:tc>
          <w:tcPr>
            <w:tcW w:w="1262"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pPr>
          </w:p>
          <w:p w:rsidR="00DE380E" w:rsidRDefault="00DE380E">
            <w:pPr>
              <w:shd w:val="clear" w:color="auto" w:fill="D9D9D9" w:themeFill="background1" w:themeFillShade="D9"/>
            </w:pPr>
          </w:p>
        </w:tc>
        <w:tc>
          <w:tcPr>
            <w:tcW w:w="1262"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pPr>
          </w:p>
          <w:p w:rsidR="00DE380E" w:rsidRDefault="00DE380E">
            <w:pPr>
              <w:shd w:val="clear" w:color="auto" w:fill="D9D9D9" w:themeFill="background1" w:themeFillShade="D9"/>
            </w:pPr>
          </w:p>
        </w:tc>
      </w:tr>
      <w:tr w:rsidR="00DE380E" w:rsidTr="00DE380E">
        <w:tc>
          <w:tcPr>
            <w:tcW w:w="1767"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pPr>
            <w:r>
              <w:t>Kasschuif apparaat</w:t>
            </w:r>
          </w:p>
        </w:tc>
        <w:tc>
          <w:tcPr>
            <w:tcW w:w="1269"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jc w:val="center"/>
            </w:pPr>
          </w:p>
          <w:p w:rsidR="00DE380E" w:rsidRDefault="00DE380E">
            <w:pPr>
              <w:shd w:val="clear" w:color="auto" w:fill="D9D9D9" w:themeFill="background1" w:themeFillShade="D9"/>
              <w:jc w:val="center"/>
            </w:pPr>
            <w:r>
              <w:t>27.965</w:t>
            </w:r>
          </w:p>
        </w:tc>
        <w:tc>
          <w:tcPr>
            <w:tcW w:w="1271"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jc w:val="center"/>
            </w:pPr>
          </w:p>
          <w:p w:rsidR="00DE380E" w:rsidRDefault="00DE380E">
            <w:pPr>
              <w:shd w:val="clear" w:color="auto" w:fill="D9D9D9" w:themeFill="background1" w:themeFillShade="D9"/>
              <w:jc w:val="center"/>
            </w:pPr>
            <w:r>
              <w:t>8.600</w:t>
            </w:r>
          </w:p>
        </w:tc>
        <w:tc>
          <w:tcPr>
            <w:tcW w:w="1271"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jc w:val="center"/>
            </w:pPr>
          </w:p>
          <w:p w:rsidR="00DE380E" w:rsidRDefault="00DE380E">
            <w:pPr>
              <w:shd w:val="clear" w:color="auto" w:fill="D9D9D9" w:themeFill="background1" w:themeFillShade="D9"/>
              <w:jc w:val="center"/>
            </w:pPr>
            <w:r>
              <w:t>-12.957</w:t>
            </w:r>
          </w:p>
        </w:tc>
        <w:tc>
          <w:tcPr>
            <w:tcW w:w="1262"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pPr>
          </w:p>
          <w:p w:rsidR="00DE380E" w:rsidRDefault="00DE380E">
            <w:pPr>
              <w:shd w:val="clear" w:color="auto" w:fill="D9D9D9" w:themeFill="background1" w:themeFillShade="D9"/>
            </w:pPr>
            <w:r>
              <w:t>-12.074</w:t>
            </w:r>
          </w:p>
        </w:tc>
        <w:tc>
          <w:tcPr>
            <w:tcW w:w="1262"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pPr>
          </w:p>
          <w:p w:rsidR="00DE380E" w:rsidRDefault="00DE380E">
            <w:pPr>
              <w:shd w:val="clear" w:color="auto" w:fill="D9D9D9" w:themeFill="background1" w:themeFillShade="D9"/>
            </w:pPr>
            <w:r>
              <w:t>-11.534</w:t>
            </w:r>
          </w:p>
        </w:tc>
      </w:tr>
    </w:tbl>
    <w:p w:rsidR="00DE380E" w:rsidP="00DE380E" w:rsidRDefault="00DE380E">
      <w:pPr>
        <w:shd w:val="clear" w:color="auto" w:fill="D9D9D9" w:themeFill="background1" w:themeFillShade="D9"/>
      </w:pPr>
      <w:r>
        <w:rPr>
          <w:sz w:val="13"/>
        </w:rPr>
        <w:t>(Bedragen x € 1000)</w:t>
      </w:r>
    </w:p>
    <w:p w:rsidR="00DE380E" w:rsidP="00DE380E" w:rsidRDefault="00DE380E">
      <w:pPr>
        <w:shd w:val="clear" w:color="auto" w:fill="D9D9D9" w:themeFill="background1" w:themeFillShade="D9"/>
      </w:pPr>
    </w:p>
    <w:p w:rsidR="00DE380E" w:rsidP="00DE380E" w:rsidRDefault="00DE380E">
      <w:pPr>
        <w:shd w:val="clear" w:color="auto" w:fill="D9D9D9" w:themeFill="background1" w:themeFillShade="D9"/>
        <w:rPr>
          <w:i/>
        </w:rPr>
      </w:pPr>
      <w:r>
        <w:rPr>
          <w:i/>
        </w:rPr>
        <w:t xml:space="preserve">Nanonext.nl en </w:t>
      </w:r>
      <w:proofErr w:type="spellStart"/>
      <w:r>
        <w:rPr>
          <w:i/>
        </w:rPr>
        <w:t>Commit</w:t>
      </w:r>
      <w:proofErr w:type="spellEnd"/>
    </w:p>
    <w:p w:rsidR="00BD0951" w:rsidP="00DE380E" w:rsidRDefault="00DE380E">
      <w:pPr>
        <w:shd w:val="clear" w:color="auto" w:fill="D9D9D9" w:themeFill="background1" w:themeFillShade="D9"/>
      </w:pPr>
      <w:r>
        <w:t xml:space="preserve">Bij de uitvoering van oude FES-projecten Nanonext.nl en </w:t>
      </w:r>
      <w:proofErr w:type="spellStart"/>
      <w:r>
        <w:t>Commit</w:t>
      </w:r>
      <w:proofErr w:type="spellEnd"/>
      <w:r>
        <w:t xml:space="preserve"> staat toegelicht dat “vanwege een gewijzigd kasritme in de afgelopen jaren er in 2017 extra middelen nodig zijn”. Deze toelichting geeft geen enkel zicht op wat er beleidsmatig bij de projecten gebeurt. Wat zijn dit voor projecten? Waarom zijn er in 2017 extra middelen nodig? En hoe verhoudt dit zich tot eerdere informatie dat de financiering aan dit project in 2016 zou aflopen?</w:t>
      </w:r>
      <w:r>
        <w:rPr>
          <w:rStyle w:val="Voetnootmarkering"/>
        </w:rPr>
        <w:footnoteReference w:id="11"/>
      </w:r>
      <w:r>
        <w:t xml:space="preserve"> Met de informatie “er is sprake van een gewijzigd kasritme” is voor de Kamer niet goed te beoordelen of ze met de mutatie kan instemmen. </w:t>
      </w:r>
      <w:r>
        <w:br/>
      </w:r>
    </w:p>
    <w:p w:rsidR="00BD0951" w:rsidP="00DE380E" w:rsidRDefault="00BD0951">
      <w:pPr>
        <w:shd w:val="clear" w:color="auto" w:fill="D9D9D9" w:themeFill="background1" w:themeFillShade="D9"/>
      </w:pPr>
      <w:r w:rsidRPr="00BD0951">
        <w:rPr>
          <w:i/>
          <w:u w:val="single"/>
        </w:rPr>
        <w:t>Kasschuif apparaat</w:t>
      </w:r>
      <w:r w:rsidR="00DE380E">
        <w:br/>
        <w:t>Hetzelfde geldt voor de toelichting op de kasschuif ‘apparaat’. Toegelicht is dat “de kasschuif voornamelijk wordt ingezet voor ICT-uitgaven, waaronder de overgang van de Cloudwerkplek voor de dienstonderdelen van EZ”. Ook deze informatie is weinig informatief, te meer omdat onduidelijk is waarom middelen uit de jaren 2019 t/m 2021 kunnen worden besteed in 2017.</w:t>
      </w:r>
    </w:p>
    <w:p w:rsidR="00DE380E" w:rsidP="00DE380E" w:rsidRDefault="00DE380E"/>
    <w:p w:rsidR="00B9656E" w:rsidP="00DE380E" w:rsidRDefault="00DE380E">
      <w:r>
        <w:t>Wij stellen de commissie voor aan de minister te vragen de tabel met de ‘belangrijkste beleidsmatige mutaties’ in de toekomst ook daadwerkelijk beleidsmatig toe</w:t>
      </w:r>
      <w:r w:rsidR="00B2490C">
        <w:t xml:space="preserve"> te </w:t>
      </w:r>
      <w:r>
        <w:t>licht</w:t>
      </w:r>
      <w:r w:rsidR="00B2490C">
        <w:t>en</w:t>
      </w:r>
      <w:r>
        <w:t xml:space="preserve">. Daarbij zou duidelijk </w:t>
      </w:r>
      <w:proofErr w:type="gramStart"/>
      <w:r>
        <w:t>aangeven</w:t>
      </w:r>
      <w:proofErr w:type="gramEnd"/>
      <w:r w:rsidR="00B2490C">
        <w:t xml:space="preserve"> moeten worden</w:t>
      </w:r>
      <w:r>
        <w:t xml:space="preserve"> wat de oorzaak is van de financiële mutaties, hoe de mutatie zich verhoudt tot de gestelde doelen en het beoogde tijdpad. Ook zou de minister duidelijk moeten maken of er vanuit de schatkist extra middelen zijn toegevoegd aan de begroting van Economische Zaken, of dat het herschikkingen betreft binnen de begroting van Economische Zaken</w:t>
      </w:r>
      <w:r w:rsidR="006026B8">
        <w:t xml:space="preserve"> </w:t>
      </w:r>
      <w:r>
        <w:t>zelf.</w:t>
      </w:r>
      <w:r w:rsidR="00B9656E">
        <w:t xml:space="preserve"> Verder verwachten wij dat de minister de in de Miljoenennota weergegeven mutaties en toelichtingen voor 2017 opnieuw in de Najaarsnota opneemt, omdat </w:t>
      </w:r>
      <w:r w:rsidR="00B2490C">
        <w:t xml:space="preserve">de Kamer deze mutaties pas dán accordeert </w:t>
      </w:r>
      <w:r w:rsidR="00B9656E">
        <w:t xml:space="preserve">(en er dus een totaaloverzicht nodig is). </w:t>
      </w:r>
    </w:p>
    <w:p w:rsidR="00497BEE" w:rsidP="00DE380E" w:rsidRDefault="00497BEE"/>
    <w:p w:rsidR="00497BEE" w:rsidP="00DE380E" w:rsidRDefault="00497BEE">
      <w:pPr>
        <w:rPr>
          <w:u w:val="single"/>
        </w:rPr>
      </w:pPr>
    </w:p>
    <w:p w:rsidR="00DE380E" w:rsidP="00DE380E" w:rsidRDefault="00DE380E">
      <w:pPr>
        <w:rPr>
          <w:u w:val="single"/>
        </w:rPr>
      </w:pPr>
      <w:r>
        <w:rPr>
          <w:u w:val="single"/>
        </w:rPr>
        <w:lastRenderedPageBreak/>
        <w:t>Verdiepingsbijlage geeft nauwelijks verdieping</w:t>
      </w:r>
    </w:p>
    <w:p w:rsidR="00DE380E" w:rsidP="00DE380E" w:rsidRDefault="00DE380E">
      <w:r>
        <w:t>De verdiepingsbijlage, waarin financiële mutaties nader worden toegelicht (p. 182-195), geeft niet de gewenste verdieping. Enerzijds biedt deze bijlage veelal geen aanvullende informatie t.o.v. de tabel met de belangrijkste mutaties. Soms zijn de toelichtingen in deze bijlage korter en geven ze zelfs minder informatie. Zie het volgende voorbeeld.</w:t>
      </w:r>
    </w:p>
    <w:p w:rsidR="00DE380E" w:rsidP="00DE380E" w:rsidRDefault="00DE380E"/>
    <w:p w:rsidR="00DE380E" w:rsidP="00DE380E" w:rsidRDefault="00DE380E">
      <w:pPr>
        <w:shd w:val="clear" w:color="auto" w:fill="D9D9D9" w:themeFill="background1" w:themeFillShade="D9"/>
        <w:rPr>
          <w:u w:val="single"/>
        </w:rPr>
      </w:pPr>
      <w:r>
        <w:rPr>
          <w:u w:val="single"/>
        </w:rPr>
        <w:t>Voorbeeld</w:t>
      </w:r>
    </w:p>
    <w:p w:rsidR="00DE380E" w:rsidP="00DE380E" w:rsidRDefault="00DE380E">
      <w:pPr>
        <w:shd w:val="clear" w:color="auto" w:fill="D9D9D9" w:themeFill="background1" w:themeFillShade="D9"/>
      </w:pPr>
      <w:r>
        <w:t>In de tabel met de belangrijkste mutaties staat (op p. 16) de volgende mutatie:</w:t>
      </w:r>
    </w:p>
    <w:p w:rsidR="00DE380E" w:rsidP="00DE380E" w:rsidRDefault="00DE380E">
      <w:pPr>
        <w:shd w:val="clear" w:color="auto" w:fill="D9D9D9" w:themeFill="background1" w:themeFillShade="D9"/>
      </w:pPr>
    </w:p>
    <w:p w:rsidR="00DE380E" w:rsidP="00DE380E" w:rsidRDefault="00DE380E">
      <w:pPr>
        <w:pBdr>
          <w:top w:val="single" w:color="auto" w:sz="4" w:space="1"/>
          <w:left w:val="single" w:color="auto" w:sz="4" w:space="4"/>
          <w:bottom w:val="single" w:color="auto" w:sz="4" w:space="1"/>
          <w:right w:val="single" w:color="auto" w:sz="4" w:space="4"/>
        </w:pBdr>
        <w:shd w:val="clear" w:color="auto" w:fill="D9D9D9" w:themeFill="background1" w:themeFillShade="D9"/>
      </w:pPr>
      <w:r>
        <w:t xml:space="preserve">Compensatie General Budget / </w:t>
      </w:r>
      <w:proofErr w:type="spellStart"/>
      <w:r>
        <w:t>Kourou</w:t>
      </w:r>
      <w:proofErr w:type="spellEnd"/>
      <w:r>
        <w:t xml:space="preserve"> 2016: -13,4 </w:t>
      </w:r>
      <w:proofErr w:type="spellStart"/>
      <w:r>
        <w:t>mln</w:t>
      </w:r>
      <w:proofErr w:type="spellEnd"/>
      <w:r>
        <w:t xml:space="preserve"> euro in 2017.</w:t>
      </w:r>
    </w:p>
    <w:p w:rsidR="00DE380E" w:rsidP="00DE380E" w:rsidRDefault="00DE380E">
      <w:pPr>
        <w:shd w:val="clear" w:color="auto" w:fill="D9D9D9" w:themeFill="background1" w:themeFillShade="D9"/>
      </w:pPr>
    </w:p>
    <w:p w:rsidR="00DE380E" w:rsidP="00DE380E" w:rsidRDefault="00DE380E">
      <w:pPr>
        <w:shd w:val="clear" w:color="auto" w:fill="D9D9D9" w:themeFill="background1" w:themeFillShade="D9"/>
      </w:pPr>
      <w:r>
        <w:t>Hierbij is</w:t>
      </w:r>
      <w:r w:rsidR="006F025F">
        <w:t xml:space="preserve"> </w:t>
      </w:r>
      <w:r w:rsidR="001F75BF">
        <w:t xml:space="preserve">– op zich redelijk helder – </w:t>
      </w:r>
      <w:r>
        <w:t xml:space="preserve">toegelicht: “Bij de tweede suppletoire begroting 2016 is het </w:t>
      </w:r>
      <w:proofErr w:type="spellStart"/>
      <w:r>
        <w:t>ruimtevaart</w:t>
      </w:r>
      <w:r>
        <w:softHyphen/>
        <w:t>budget</w:t>
      </w:r>
      <w:proofErr w:type="spellEnd"/>
      <w:r>
        <w:t xml:space="preserve"> verhoogd met € 13,4 </w:t>
      </w:r>
      <w:proofErr w:type="spellStart"/>
      <w:r>
        <w:t>mln</w:t>
      </w:r>
      <w:proofErr w:type="spellEnd"/>
      <w:r>
        <w:t xml:space="preserve"> ten behoeve van de verplichte ESA-bijdragen in het kader General Budget en </w:t>
      </w:r>
      <w:proofErr w:type="spellStart"/>
      <w:r>
        <w:t>Kourou</w:t>
      </w:r>
      <w:proofErr w:type="spellEnd"/>
      <w:r>
        <w:t xml:space="preserve"> voor 2017. Deze middelen worden in mindering gebracht van het ruimtevaartbudget in 2017.”</w:t>
      </w:r>
    </w:p>
    <w:p w:rsidR="00DE380E" w:rsidP="00DE380E" w:rsidRDefault="00DE380E">
      <w:pPr>
        <w:shd w:val="clear" w:color="auto" w:fill="D9D9D9" w:themeFill="background1" w:themeFillShade="D9"/>
      </w:pPr>
    </w:p>
    <w:p w:rsidR="00DE380E" w:rsidP="00DE380E" w:rsidRDefault="00DE380E">
      <w:pPr>
        <w:shd w:val="clear" w:color="auto" w:fill="D9D9D9" w:themeFill="background1" w:themeFillShade="D9"/>
      </w:pPr>
      <w:r>
        <w:t xml:space="preserve">In de verdiepingsbijlage staat alleen: “De mutatie betreft het compenseren van de versnelling General Budget en </w:t>
      </w:r>
      <w:proofErr w:type="spellStart"/>
      <w:r>
        <w:t>Kourou</w:t>
      </w:r>
      <w:proofErr w:type="spellEnd"/>
      <w:r>
        <w:t xml:space="preserve"> in 2016.” Hier is geen sprake van verdieping.</w:t>
      </w:r>
    </w:p>
    <w:p w:rsidR="00DE380E" w:rsidP="00DE380E" w:rsidRDefault="00DE380E">
      <w:pPr>
        <w:shd w:val="clear" w:color="auto" w:fill="D9D9D9" w:themeFill="background1" w:themeFillShade="D9"/>
      </w:pPr>
    </w:p>
    <w:p w:rsidR="00DE380E" w:rsidP="00DE380E" w:rsidRDefault="00DE380E"/>
    <w:p w:rsidR="00DE380E" w:rsidP="00DE380E" w:rsidRDefault="00DE380E">
      <w:r>
        <w:t>Anderzijds komen financiële reeksen op verschillende plekken in de begroting niet met elkaar overeen. Daardoor is onduidelijk wat er precies gemuteerd wordt. Zie het volgende voorbeeld.</w:t>
      </w:r>
    </w:p>
    <w:p w:rsidR="00DE380E" w:rsidP="00DE380E" w:rsidRDefault="00DE380E"/>
    <w:p w:rsidR="00DE380E" w:rsidP="00DE380E" w:rsidRDefault="00DE380E">
      <w:pPr>
        <w:shd w:val="clear" w:color="auto" w:fill="D9D9D9" w:themeFill="background1" w:themeFillShade="D9"/>
        <w:rPr>
          <w:u w:val="single"/>
        </w:rPr>
      </w:pPr>
      <w:r>
        <w:rPr>
          <w:u w:val="single"/>
        </w:rPr>
        <w:t>Voorbeeld</w:t>
      </w:r>
    </w:p>
    <w:p w:rsidR="00DE380E" w:rsidP="00DE380E" w:rsidRDefault="00DE380E">
      <w:pPr>
        <w:shd w:val="clear" w:color="auto" w:fill="D9D9D9" w:themeFill="background1" w:themeFillShade="D9"/>
      </w:pPr>
      <w:r>
        <w:t xml:space="preserve">In de tabel met de belangrijkste mutaties staat (op p. 16) de volgende mutatie </w:t>
      </w:r>
      <w:r w:rsidR="008A5C2C">
        <w:t>met betrekking tot</w:t>
      </w:r>
      <w:r>
        <w:t xml:space="preserve"> de frequentieveiling</w:t>
      </w:r>
      <w:r w:rsidR="008A5C2C">
        <w:t>:</w:t>
      </w:r>
      <w:r>
        <w:t xml:space="preserve"> </w:t>
      </w:r>
    </w:p>
    <w:p w:rsidR="00DE380E" w:rsidP="00DE380E" w:rsidRDefault="00DE380E">
      <w:pPr>
        <w:shd w:val="clear" w:color="auto" w:fill="D9D9D9" w:themeFill="background1" w:themeFillShade="D9"/>
        <w:rPr>
          <w:sz w:val="13"/>
        </w:rPr>
      </w:pPr>
    </w:p>
    <w:tbl>
      <w:tblPr>
        <w:tblStyle w:val="Tabelraster"/>
        <w:tblW w:w="0" w:type="auto"/>
        <w:tblInd w:w="108" w:type="dxa"/>
        <w:tblLook w:val="04A0" w:firstRow="1" w:lastRow="0" w:firstColumn="1" w:lastColumn="0" w:noHBand="0" w:noVBand="1"/>
      </w:tblPr>
      <w:tblGrid>
        <w:gridCol w:w="1767"/>
        <w:gridCol w:w="1269"/>
        <w:gridCol w:w="1271"/>
        <w:gridCol w:w="1271"/>
        <w:gridCol w:w="1262"/>
        <w:gridCol w:w="1262"/>
      </w:tblGrid>
      <w:tr w:rsidR="00DE380E" w:rsidTr="00DE380E">
        <w:tc>
          <w:tcPr>
            <w:tcW w:w="1767"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pPr>
          </w:p>
        </w:tc>
        <w:tc>
          <w:tcPr>
            <w:tcW w:w="1269"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2017</w:t>
            </w:r>
          </w:p>
        </w:tc>
        <w:tc>
          <w:tcPr>
            <w:tcW w:w="1271"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2018</w:t>
            </w:r>
          </w:p>
        </w:tc>
        <w:tc>
          <w:tcPr>
            <w:tcW w:w="1271"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2019</w:t>
            </w:r>
          </w:p>
        </w:tc>
        <w:tc>
          <w:tcPr>
            <w:tcW w:w="1262"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2020</w:t>
            </w:r>
          </w:p>
        </w:tc>
        <w:tc>
          <w:tcPr>
            <w:tcW w:w="1262"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2021</w:t>
            </w:r>
          </w:p>
        </w:tc>
      </w:tr>
      <w:tr w:rsidR="00DE380E" w:rsidTr="00DE380E">
        <w:tc>
          <w:tcPr>
            <w:tcW w:w="1767"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pPr>
            <w:r>
              <w:t>Frequentieveiling</w:t>
            </w:r>
          </w:p>
        </w:tc>
        <w:tc>
          <w:tcPr>
            <w:tcW w:w="1269"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-3.900</w:t>
            </w:r>
          </w:p>
        </w:tc>
        <w:tc>
          <w:tcPr>
            <w:tcW w:w="1271"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2.000</w:t>
            </w:r>
          </w:p>
        </w:tc>
        <w:tc>
          <w:tcPr>
            <w:tcW w:w="1271"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1.900</w:t>
            </w:r>
          </w:p>
        </w:tc>
        <w:tc>
          <w:tcPr>
            <w:tcW w:w="1262"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pPr>
          </w:p>
        </w:tc>
        <w:tc>
          <w:tcPr>
            <w:tcW w:w="1262"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pPr>
          </w:p>
        </w:tc>
      </w:tr>
    </w:tbl>
    <w:p w:rsidR="00DE380E" w:rsidP="00DE380E" w:rsidRDefault="00DE380E">
      <w:pPr>
        <w:shd w:val="clear" w:color="auto" w:fill="D9D9D9" w:themeFill="background1" w:themeFillShade="D9"/>
      </w:pPr>
      <w:r>
        <w:rPr>
          <w:sz w:val="13"/>
        </w:rPr>
        <w:t>(Bedragen x € 1000)</w:t>
      </w:r>
    </w:p>
    <w:p w:rsidR="00DE380E" w:rsidP="00DE380E" w:rsidRDefault="00DE380E">
      <w:pPr>
        <w:shd w:val="clear" w:color="auto" w:fill="D9D9D9" w:themeFill="background1" w:themeFillShade="D9"/>
      </w:pPr>
    </w:p>
    <w:p w:rsidR="00DE380E" w:rsidP="00DE380E" w:rsidRDefault="00DE380E">
      <w:pPr>
        <w:shd w:val="clear" w:color="auto" w:fill="D9D9D9" w:themeFill="background1" w:themeFillShade="D9"/>
      </w:pPr>
      <w:r>
        <w:t>In de zogenoemde verdiepingsbijlage (op p. 182) staat eveneens een mutatie die betrekking heeft de uitvoeringskosten van de veiling:</w:t>
      </w:r>
    </w:p>
    <w:p w:rsidR="00DE380E" w:rsidP="00DE380E" w:rsidRDefault="00DE380E">
      <w:pPr>
        <w:shd w:val="clear" w:color="auto" w:fill="D9D9D9" w:themeFill="background1" w:themeFillShade="D9"/>
        <w:rPr>
          <w:sz w:val="13"/>
        </w:rPr>
      </w:pPr>
    </w:p>
    <w:tbl>
      <w:tblPr>
        <w:tblStyle w:val="Tabelraster"/>
        <w:tblW w:w="0" w:type="auto"/>
        <w:tblInd w:w="108" w:type="dxa"/>
        <w:tblLook w:val="04A0" w:firstRow="1" w:lastRow="0" w:firstColumn="1" w:lastColumn="0" w:noHBand="0" w:noVBand="1"/>
      </w:tblPr>
      <w:tblGrid>
        <w:gridCol w:w="1767"/>
        <w:gridCol w:w="1269"/>
        <w:gridCol w:w="1271"/>
        <w:gridCol w:w="1271"/>
        <w:gridCol w:w="1262"/>
        <w:gridCol w:w="1262"/>
      </w:tblGrid>
      <w:tr w:rsidR="00DE380E" w:rsidTr="00DE380E">
        <w:tc>
          <w:tcPr>
            <w:tcW w:w="1767"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pPr>
          </w:p>
        </w:tc>
        <w:tc>
          <w:tcPr>
            <w:tcW w:w="1269"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2017</w:t>
            </w:r>
          </w:p>
        </w:tc>
        <w:tc>
          <w:tcPr>
            <w:tcW w:w="1271"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2018</w:t>
            </w:r>
          </w:p>
        </w:tc>
        <w:tc>
          <w:tcPr>
            <w:tcW w:w="1271"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2019</w:t>
            </w:r>
          </w:p>
        </w:tc>
        <w:tc>
          <w:tcPr>
            <w:tcW w:w="1262"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2020</w:t>
            </w:r>
          </w:p>
        </w:tc>
        <w:tc>
          <w:tcPr>
            <w:tcW w:w="1262"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jc w:val="center"/>
            </w:pPr>
            <w:r>
              <w:t>2021</w:t>
            </w:r>
          </w:p>
        </w:tc>
      </w:tr>
      <w:tr w:rsidR="00DE380E" w:rsidTr="00DE380E">
        <w:tc>
          <w:tcPr>
            <w:tcW w:w="1767" w:type="dxa"/>
            <w:tcBorders>
              <w:top w:val="single" w:color="auto" w:sz="4" w:space="0"/>
              <w:left w:val="single" w:color="auto" w:sz="4" w:space="0"/>
              <w:bottom w:val="single" w:color="auto" w:sz="4" w:space="0"/>
              <w:right w:val="single" w:color="auto" w:sz="4" w:space="0"/>
            </w:tcBorders>
            <w:hideMark/>
          </w:tcPr>
          <w:p w:rsidR="00DE380E" w:rsidRDefault="00DE380E">
            <w:pPr>
              <w:shd w:val="clear" w:color="auto" w:fill="D9D9D9" w:themeFill="background1" w:themeFillShade="D9"/>
            </w:pPr>
            <w:r>
              <w:t>Frequentie-</w:t>
            </w:r>
            <w:r>
              <w:br/>
              <w:t>verdelingen</w:t>
            </w:r>
          </w:p>
        </w:tc>
        <w:tc>
          <w:tcPr>
            <w:tcW w:w="1269"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jc w:val="center"/>
            </w:pPr>
          </w:p>
          <w:p w:rsidR="00DE380E" w:rsidRDefault="00DE380E">
            <w:pPr>
              <w:shd w:val="clear" w:color="auto" w:fill="D9D9D9" w:themeFill="background1" w:themeFillShade="D9"/>
              <w:jc w:val="center"/>
            </w:pPr>
            <w:r>
              <w:t>700</w:t>
            </w:r>
          </w:p>
        </w:tc>
        <w:tc>
          <w:tcPr>
            <w:tcW w:w="1271"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jc w:val="center"/>
            </w:pPr>
          </w:p>
          <w:p w:rsidR="00DE380E" w:rsidRDefault="00DE380E">
            <w:pPr>
              <w:shd w:val="clear" w:color="auto" w:fill="D9D9D9" w:themeFill="background1" w:themeFillShade="D9"/>
              <w:jc w:val="center"/>
            </w:pPr>
            <w:r>
              <w:t>2.000</w:t>
            </w:r>
          </w:p>
        </w:tc>
        <w:tc>
          <w:tcPr>
            <w:tcW w:w="1271"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jc w:val="center"/>
            </w:pPr>
          </w:p>
          <w:p w:rsidR="00DE380E" w:rsidRDefault="00DE380E">
            <w:pPr>
              <w:shd w:val="clear" w:color="auto" w:fill="D9D9D9" w:themeFill="background1" w:themeFillShade="D9"/>
              <w:jc w:val="center"/>
            </w:pPr>
            <w:r>
              <w:t>1.900</w:t>
            </w:r>
          </w:p>
        </w:tc>
        <w:tc>
          <w:tcPr>
            <w:tcW w:w="1262"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pPr>
          </w:p>
          <w:p w:rsidR="00DE380E" w:rsidRDefault="00DE380E">
            <w:pPr>
              <w:shd w:val="clear" w:color="auto" w:fill="D9D9D9" w:themeFill="background1" w:themeFillShade="D9"/>
            </w:pPr>
          </w:p>
        </w:tc>
        <w:tc>
          <w:tcPr>
            <w:tcW w:w="1262" w:type="dxa"/>
            <w:tcBorders>
              <w:top w:val="single" w:color="auto" w:sz="4" w:space="0"/>
              <w:left w:val="single" w:color="auto" w:sz="4" w:space="0"/>
              <w:bottom w:val="single" w:color="auto" w:sz="4" w:space="0"/>
              <w:right w:val="single" w:color="auto" w:sz="4" w:space="0"/>
            </w:tcBorders>
          </w:tcPr>
          <w:p w:rsidR="00DE380E" w:rsidRDefault="00DE380E">
            <w:pPr>
              <w:shd w:val="clear" w:color="auto" w:fill="D9D9D9" w:themeFill="background1" w:themeFillShade="D9"/>
            </w:pPr>
          </w:p>
          <w:p w:rsidR="00DE380E" w:rsidRDefault="00DE380E">
            <w:pPr>
              <w:shd w:val="clear" w:color="auto" w:fill="D9D9D9" w:themeFill="background1" w:themeFillShade="D9"/>
            </w:pPr>
          </w:p>
        </w:tc>
      </w:tr>
    </w:tbl>
    <w:p w:rsidR="00DE380E" w:rsidP="00DE380E" w:rsidRDefault="00DE380E">
      <w:pPr>
        <w:shd w:val="clear" w:color="auto" w:fill="D9D9D9" w:themeFill="background1" w:themeFillShade="D9"/>
      </w:pPr>
      <w:r>
        <w:rPr>
          <w:sz w:val="13"/>
        </w:rPr>
        <w:t>(Bedragen x € 1000)</w:t>
      </w:r>
    </w:p>
    <w:p w:rsidR="00DE380E" w:rsidP="00DE380E" w:rsidRDefault="00DE380E">
      <w:pPr>
        <w:shd w:val="clear" w:color="auto" w:fill="D9D9D9" w:themeFill="background1" w:themeFillShade="D9"/>
      </w:pPr>
    </w:p>
    <w:p w:rsidR="00DE380E" w:rsidP="00DE380E" w:rsidRDefault="00DE380E">
      <w:pPr>
        <w:shd w:val="clear" w:color="auto" w:fill="D9D9D9" w:themeFill="background1" w:themeFillShade="D9"/>
      </w:pPr>
      <w:r>
        <w:t>Onduidelijk is waarom beide reeksen qua bedragen van elkaar verschillen, terwijl de toelichtingen niet veel meer zeggen dan dat er frequentiebanden worden geveild.</w:t>
      </w:r>
    </w:p>
    <w:p w:rsidR="00DE380E" w:rsidP="00DE380E" w:rsidRDefault="00DE380E"/>
    <w:p w:rsidR="00DE380E" w:rsidP="00DE380E" w:rsidRDefault="00DE380E">
      <w:r>
        <w:t xml:space="preserve">Wij stellen voor om aan de minister te verzoeken </w:t>
      </w:r>
      <w:r w:rsidR="008A5C2C">
        <w:t xml:space="preserve">dat </w:t>
      </w:r>
      <w:r>
        <w:t>de ‘tabel met belangrijkste mutaties’ beter aan</w:t>
      </w:r>
      <w:r w:rsidR="008A5C2C">
        <w:t>gesloten wordt</w:t>
      </w:r>
      <w:r w:rsidR="002854BE">
        <w:t xml:space="preserve"> </w:t>
      </w:r>
      <w:r w:rsidR="008A5C2C">
        <w:t>op</w:t>
      </w:r>
      <w:r>
        <w:t xml:space="preserve"> de tabellen in de verdiepingsbijlage en dat de toelichtingen in de verdiepingsbijlage sterk </w:t>
      </w:r>
      <w:r w:rsidR="008A5C2C">
        <w:t xml:space="preserve">worden </w:t>
      </w:r>
      <w:r>
        <w:t>verbeter</w:t>
      </w:r>
      <w:r w:rsidR="008A5C2C">
        <w:t>d</w:t>
      </w:r>
      <w:r>
        <w:t>, zodat deze ook daadwerkelijk een verdieping geven.</w:t>
      </w:r>
    </w:p>
    <w:p w:rsidR="00A82AD5" w:rsidP="00DE380E" w:rsidRDefault="00A82AD5">
      <w:pPr>
        <w:rPr>
          <w:u w:val="single"/>
        </w:rPr>
      </w:pPr>
    </w:p>
    <w:p w:rsidR="00DE380E" w:rsidP="00DE380E" w:rsidRDefault="00DE380E">
      <w:pPr>
        <w:rPr>
          <w:b/>
          <w:u w:val="single"/>
        </w:rPr>
      </w:pPr>
      <w:r>
        <w:rPr>
          <w:u w:val="single"/>
        </w:rPr>
        <w:t>Structureel meer ontvangsten gerealiseerd dan geraamd</w:t>
      </w:r>
    </w:p>
    <w:p w:rsidR="00DE380E" w:rsidP="00DE380E" w:rsidRDefault="00DE380E">
      <w:r>
        <w:t>In de begroting van Economische Zaken worden – net als op andere begrotingen - ook niet-belas</w:t>
      </w:r>
      <w:r>
        <w:softHyphen/>
        <w:t>tingontvangsten geraamd.</w:t>
      </w:r>
      <w:r>
        <w:rPr>
          <w:rStyle w:val="Voetnootmarkering"/>
        </w:rPr>
        <w:footnoteReference w:id="12"/>
      </w:r>
      <w:r>
        <w:t xml:space="preserve"> Niet-belastingontvangsten zijn de ontvangsten van het Rijk die niet tot de belastingen en premies-opbrengsten horen. Bij het </w:t>
      </w:r>
      <w:r>
        <w:lastRenderedPageBreak/>
        <w:t>ministerie van Economische Zaken gaat het bijvoorbeeld om de gasbaten, premie-inkomsten in het kader van ver</w:t>
      </w:r>
      <w:r>
        <w:softHyphen/>
        <w:t>strek</w:t>
      </w:r>
      <w:r>
        <w:softHyphen/>
        <w:t xml:space="preserve">te garanties, of om de verkoop van gronden. </w:t>
      </w:r>
    </w:p>
    <w:p w:rsidR="00DE380E" w:rsidP="00DE380E" w:rsidRDefault="00DE380E"/>
    <w:p w:rsidR="00DE380E" w:rsidP="00DE380E" w:rsidRDefault="00DE380E">
      <w:r>
        <w:t>De Algemene Rekenkamer heeft in een recent rapport ‘</w:t>
      </w:r>
      <w:hyperlink w:history="1" r:id="rId12">
        <w:r>
          <w:rPr>
            <w:rStyle w:val="Hyperlink"/>
          </w:rPr>
          <w:t>Niet-belastingontvangsten. Raming, beheersing en prikkels van ontvangsten van ministeries</w:t>
        </w:r>
      </w:hyperlink>
      <w:r>
        <w:t>’</w:t>
      </w:r>
      <w:r>
        <w:rPr>
          <w:rStyle w:val="Voetnootmarkering"/>
        </w:rPr>
        <w:footnoteReference w:id="13"/>
      </w:r>
      <w:r>
        <w:t xml:space="preserve"> geconstateerd dat de ontvangsten structureel hoger blijken uit te komen dan aanvankelijk was geraamd. Bij het ministerie van Economische Zaken gaat het om gemiddeld € 57,7 miljoen over de periode 2013-2016. Het gaat (bij deze € 57,7 </w:t>
      </w:r>
      <w:proofErr w:type="spellStart"/>
      <w:r>
        <w:t>mln</w:t>
      </w:r>
      <w:proofErr w:type="spellEnd"/>
      <w:r>
        <w:t xml:space="preserve">) om ontvangsten die de minister op de eigen begroting mag inzetten, bijvoorbeeld om tegenvallers op te vangen. Omdat een groot deel van deze ontvangsten pas laat in het jaar zichtbaar wordt, zijn de mogelijkheden voor de Kamer om deze bedragen te amenderen doorgaans </w:t>
      </w:r>
      <w:proofErr w:type="gramStart"/>
      <w:r>
        <w:t xml:space="preserve">beperkt.  </w:t>
      </w:r>
      <w:proofErr w:type="gramEnd"/>
    </w:p>
    <w:p w:rsidR="00DE380E" w:rsidP="00DE380E" w:rsidRDefault="00DE380E"/>
    <w:p w:rsidR="00DE380E" w:rsidP="00DE380E" w:rsidRDefault="00DE380E">
      <w:r>
        <w:t>Zie de onderstaande tabel van de Algemene Rekenkamer. De groene vakjes geven realisaties aan die hoger zijn dan uitgekomen dan geraamd</w:t>
      </w:r>
      <w:r w:rsidR="00DB4185">
        <w:t>;</w:t>
      </w:r>
      <w:r>
        <w:t xml:space="preserve"> </w:t>
      </w:r>
      <w:r w:rsidR="008A5C2C">
        <w:t xml:space="preserve">bij </w:t>
      </w:r>
      <w:r>
        <w:t xml:space="preserve">de oranje vakjes </w:t>
      </w:r>
      <w:r w:rsidR="008A5C2C">
        <w:t xml:space="preserve">zijn </w:t>
      </w:r>
      <w:r>
        <w:t>de realisaties lager uitgevallen.</w:t>
      </w:r>
      <w:r>
        <w:br/>
      </w:r>
    </w:p>
    <w:p w:rsidR="00DE380E" w:rsidP="00DE380E" w:rsidRDefault="00DE380E">
      <w:r>
        <w:rPr>
          <w:noProof/>
        </w:rPr>
        <w:drawing>
          <wp:inline distT="0" distB="0" distL="0" distR="0">
            <wp:extent cx="5080000" cy="2990850"/>
            <wp:effectExtent l="0" t="0" r="6350" b="0"/>
            <wp:docPr id="11" name="Afbeelding 11" descr="Knipsel economische z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Knipsel economische zak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0000" cy="2990850"/>
                    </a:xfrm>
                    <a:prstGeom prst="rect">
                      <a:avLst/>
                    </a:prstGeom>
                    <a:noFill/>
                    <a:ln>
                      <a:noFill/>
                    </a:ln>
                  </pic:spPr>
                </pic:pic>
              </a:graphicData>
            </a:graphic>
          </wp:inline>
        </w:drawing>
      </w:r>
    </w:p>
    <w:p w:rsidR="00DE380E" w:rsidP="00DE380E" w:rsidRDefault="00DE380E"/>
    <w:p w:rsidR="00DE380E" w:rsidP="00DE380E" w:rsidRDefault="00DE380E">
      <w:pPr>
        <w:rPr>
          <w:i/>
          <w:sz w:val="13"/>
        </w:rPr>
      </w:pPr>
      <w:r>
        <w:rPr>
          <w:sz w:val="13"/>
        </w:rPr>
        <w:t xml:space="preserve">Bron: Algemene Rekenkamer (2017). </w:t>
      </w:r>
      <w:hyperlink w:history="1" r:id="rId14">
        <w:r>
          <w:rPr>
            <w:rStyle w:val="Hyperlink"/>
            <w:i/>
            <w:sz w:val="13"/>
          </w:rPr>
          <w:t>Niet-belastingontvangsten. Raming, beheersing en prikkels van ontvangsten van ministeries</w:t>
        </w:r>
      </w:hyperlink>
      <w:r>
        <w:rPr>
          <w:i/>
          <w:sz w:val="13"/>
        </w:rPr>
        <w:t>, p. 37.</w:t>
      </w:r>
    </w:p>
    <w:p w:rsidR="00DE380E" w:rsidP="00DE380E" w:rsidRDefault="00DE380E">
      <w:pPr>
        <w:pStyle w:val="Lijstalinea"/>
        <w:ind w:left="360"/>
        <w:rPr>
          <w:rFonts w:ascii="Verdana" w:hAnsi="Verdana"/>
          <w:b/>
          <w:sz w:val="18"/>
          <w:szCs w:val="18"/>
        </w:rPr>
      </w:pPr>
    </w:p>
    <w:p w:rsidR="00DE380E" w:rsidP="00DE380E" w:rsidRDefault="00DE380E">
      <w:r>
        <w:t>De Algemene Rekenkamer beveelt de Tweede Kamer aan bij de behandeling van de begroting alert te zijn op de ramingen van de niet-belastingontvangsten.</w:t>
      </w:r>
      <w:r>
        <w:rPr>
          <w:rStyle w:val="Voetnootmarkering"/>
        </w:rPr>
        <w:footnoteReference w:id="14"/>
      </w:r>
      <w:r>
        <w:t xml:space="preserve"> Wij stellen de commissie daarom voor aan de minister te vragen </w:t>
      </w:r>
      <w:r w:rsidR="00A82AD5">
        <w:t xml:space="preserve">hoe de ramingsfouten voortaan voorkomen </w:t>
      </w:r>
      <w:r w:rsidR="008A5C2C">
        <w:t>kunnen</w:t>
      </w:r>
      <w:r w:rsidR="00A82AD5">
        <w:t xml:space="preserve"> worden, </w:t>
      </w:r>
      <w:r w:rsidR="008A5C2C">
        <w:t>en</w:t>
      </w:r>
      <w:r>
        <w:t xml:space="preserve"> aan te geven wat </w:t>
      </w:r>
      <w:r w:rsidR="00A82AD5">
        <w:t>de bevindingen van de Algemene Rekenkamer</w:t>
      </w:r>
      <w:r>
        <w:t xml:space="preserve"> beteken</w:t>
      </w:r>
      <w:r w:rsidR="00A82AD5">
        <w:t>en</w:t>
      </w:r>
      <w:r>
        <w:t xml:space="preserve"> voor de raming van de verschillende niet-belastingontvangsten in de begroting 2018. </w:t>
      </w:r>
      <w:r w:rsidR="00A82AD5">
        <w:t>Tevens vragen we de minister inzichtelijk te maken hoe de ramingsfouten zich verhouden tot de totale niet-belastingontvangsten op het beleidsartikel</w:t>
      </w:r>
      <w:r w:rsidR="002854BE">
        <w:t>,</w:t>
      </w:r>
      <w:r w:rsidR="00A82AD5">
        <w:t xml:space="preserve"> </w:t>
      </w:r>
      <w:r w:rsidR="002854BE">
        <w:t>m</w:t>
      </w:r>
      <w:r w:rsidR="00A82AD5">
        <w:t>et andere woorden</w:t>
      </w:r>
      <w:r w:rsidR="002854BE">
        <w:t>,</w:t>
      </w:r>
      <w:r w:rsidR="00A82AD5">
        <w:t xml:space="preserve"> om welke percentages van het begrotingstotaal het precies gaat.</w:t>
      </w:r>
    </w:p>
    <w:p w:rsidR="00DE380E" w:rsidP="00DE380E" w:rsidRDefault="00DE380E">
      <w:pPr>
        <w:pStyle w:val="BOR-NotitieKop1"/>
        <w:numPr>
          <w:ilvl w:val="0"/>
          <w:numId w:val="39"/>
        </w:numPr>
        <w:textAlignment w:val="auto"/>
      </w:pPr>
      <w:r>
        <w:lastRenderedPageBreak/>
        <w:t>Doelmatigheid en doeltreffendheid</w:t>
      </w:r>
    </w:p>
    <w:p w:rsidR="00DE380E" w:rsidP="00DE380E" w:rsidRDefault="00DE380E">
      <w:pPr>
        <w:pStyle w:val="Geenafstand"/>
        <w:rPr>
          <w:i/>
        </w:rPr>
      </w:pPr>
      <w:r>
        <w:rPr>
          <w:i/>
        </w:rPr>
        <w:t>Terugblik wetgevingsoverleg jaarverslag</w:t>
      </w:r>
    </w:p>
    <w:p w:rsidR="00DE380E" w:rsidP="00DE380E" w:rsidRDefault="00DE380E">
      <w:r>
        <w:t>De Algemene Rekenkamer schreef eind 2016 dat het belangrijk is om meer inzicht te hebben in de maatschappelijke effecten van het kabinetsbeleid.</w:t>
      </w:r>
      <w:r>
        <w:rPr>
          <w:rStyle w:val="Voetnootmarkering"/>
        </w:rPr>
        <w:footnoteReference w:id="15"/>
      </w:r>
      <w:r>
        <w:t xml:space="preserve"> Bij het wetgevings</w:t>
      </w:r>
      <w:r>
        <w:softHyphen/>
        <w:t>overleg over het jaarverslag heeft de rapporteur hiervoor aandacht gevraagd.</w:t>
      </w:r>
      <w:r>
        <w:rPr>
          <w:rStyle w:val="Voetnootmarkering"/>
        </w:rPr>
        <w:footnoteReference w:id="16"/>
      </w:r>
      <w:r>
        <w:t xml:space="preserve"> Zoals </w:t>
      </w:r>
      <w:proofErr w:type="gramStart"/>
      <w:r>
        <w:t>reeds</w:t>
      </w:r>
      <w:proofErr w:type="gramEnd"/>
      <w:r>
        <w:t xml:space="preserve"> aangegeven heeft de minister in de begroting nog geen stappen gezet om de beoogde effecten beter in beeld te brengen.</w:t>
      </w:r>
    </w:p>
    <w:p w:rsidR="00DE380E" w:rsidP="00DE380E" w:rsidRDefault="00DE380E">
      <w:pPr>
        <w:pStyle w:val="Geenafstand"/>
      </w:pPr>
    </w:p>
    <w:p w:rsidR="00DE380E" w:rsidP="00DE380E" w:rsidRDefault="00DE380E">
      <w:pPr>
        <w:rPr>
          <w:i/>
        </w:rPr>
      </w:pPr>
      <w:r>
        <w:rPr>
          <w:i/>
        </w:rPr>
        <w:t>Nadere analyse en voorstel rapporteurs begroting 2018</w:t>
      </w:r>
    </w:p>
    <w:p w:rsidR="00DE380E" w:rsidP="00DE380E" w:rsidRDefault="00DE380E">
      <w:r>
        <w:t xml:space="preserve">Volgens de Regeling Periodiek Evaluatieonderzoek (RPE) moet ieder beleidsartikel op de begroting iedere vijf tot zeven jaar worden geëvalueerd door middel van een beleidsdoorlichting. Beleidsdoorlichtingen zijn belangrijke instrumenten voor de Kamer om de effectiviteit en de doelmatigheid van een geheel beleidsartikel te kunnen controleren. In iedere begroting staat een planning van beleidsdoorlichtingen. </w:t>
      </w:r>
    </w:p>
    <w:p w:rsidR="00DE380E" w:rsidP="00DE380E" w:rsidRDefault="00DE380E"/>
    <w:p w:rsidR="00DE380E" w:rsidP="00DE380E" w:rsidRDefault="00DE380E">
      <w:r>
        <w:rPr>
          <w:noProof/>
        </w:rPr>
        <w:drawing>
          <wp:inline distT="0" distB="0" distL="0" distR="0">
            <wp:extent cx="5080000" cy="2432050"/>
            <wp:effectExtent l="0" t="0" r="6350" b="635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0" cy="2432050"/>
                    </a:xfrm>
                    <a:prstGeom prst="rect">
                      <a:avLst/>
                    </a:prstGeom>
                    <a:noFill/>
                    <a:ln>
                      <a:noFill/>
                    </a:ln>
                  </pic:spPr>
                </pic:pic>
              </a:graphicData>
            </a:graphic>
          </wp:inline>
        </w:drawing>
      </w:r>
    </w:p>
    <w:p w:rsidR="00DE380E" w:rsidP="00DE380E" w:rsidRDefault="00DE380E"/>
    <w:p w:rsidR="00DE380E" w:rsidP="00DE380E" w:rsidRDefault="00DE380E">
      <w:r>
        <w:t xml:space="preserve">Het valt ons op dat de beleidsdoorlichtingen van het ministerie van EZ erg gecentreerd zijn rondom een aantal jaren. In de periode 2016-2018 is er voor de hele begroting bijvoorbeeld slechts één beleidsdoorlichting gepland, terwijl in de periode 2019-2021 alle artikelen worden geëvalueerd. Wij stellen de commissie voor aan de minister te vragen wat de reden </w:t>
      </w:r>
      <w:r w:rsidR="006339B4">
        <w:t xml:space="preserve">is </w:t>
      </w:r>
      <w:r>
        <w:t>achter deze ongelijkmatige planning.</w:t>
      </w:r>
    </w:p>
    <w:p w:rsidR="00DE380E" w:rsidP="00DE380E" w:rsidRDefault="00DE380E"/>
    <w:p w:rsidR="00DE380E" w:rsidP="00DE380E" w:rsidRDefault="00DE380E"/>
    <w:p w:rsidR="00DE380E" w:rsidP="00DE380E" w:rsidRDefault="00DE380E">
      <w:pPr>
        <w:rPr>
          <w:b/>
        </w:rPr>
      </w:pPr>
      <w:r>
        <w:rPr>
          <w:b/>
        </w:rPr>
        <w:br w:type="page"/>
      </w:r>
      <w:r>
        <w:rPr>
          <w:b/>
        </w:rPr>
        <w:lastRenderedPageBreak/>
        <w:t>Bijlage</w:t>
      </w:r>
      <w:r w:rsidR="0025159F">
        <w:rPr>
          <w:b/>
        </w:rPr>
        <w:t>. Indicatoren begroting OCW (voorbeeld, alleen 1</w:t>
      </w:r>
      <w:r w:rsidRPr="0025159F" w:rsidR="0025159F">
        <w:rPr>
          <w:b/>
          <w:vertAlign w:val="superscript"/>
        </w:rPr>
        <w:t>e</w:t>
      </w:r>
      <w:r w:rsidR="0025159F">
        <w:rPr>
          <w:b/>
        </w:rPr>
        <w:t xml:space="preserve"> pagina)</w:t>
      </w:r>
    </w:p>
    <w:p w:rsidR="00DE380E" w:rsidP="00DE380E" w:rsidRDefault="00DE380E">
      <w:pPr>
        <w:rPr>
          <w:b/>
        </w:rPr>
      </w:pPr>
    </w:p>
    <w:p w:rsidR="00DE380E" w:rsidP="00DE380E" w:rsidRDefault="0025159F">
      <w:pPr>
        <w:rPr>
          <w:b/>
          <w:noProof/>
        </w:rPr>
      </w:pPr>
      <w:r>
        <w:rPr>
          <w:b/>
          <w:noProof/>
        </w:rPr>
        <w:drawing>
          <wp:inline distT="0" distB="0" distL="0" distR="0">
            <wp:extent cx="5076190" cy="4208088"/>
            <wp:effectExtent l="0" t="0" r="0" b="2540"/>
            <wp:docPr id="12" name="Afbeelding 12" descr="O:\Bureaublad\Knipse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ureaublad\Knipsel 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6190" cy="4208088"/>
                    </a:xfrm>
                    <a:prstGeom prst="rect">
                      <a:avLst/>
                    </a:prstGeom>
                    <a:noFill/>
                    <a:ln>
                      <a:noFill/>
                    </a:ln>
                  </pic:spPr>
                </pic:pic>
              </a:graphicData>
            </a:graphic>
          </wp:inline>
        </w:drawing>
      </w:r>
    </w:p>
    <w:p w:rsidR="00AB5C43" w:rsidP="00DE380E" w:rsidRDefault="0025159F">
      <w:pPr>
        <w:rPr>
          <w:b/>
          <w:noProof/>
        </w:rPr>
      </w:pPr>
      <w:r>
        <w:rPr>
          <w:b/>
          <w:noProof/>
        </w:rPr>
        <w:drawing>
          <wp:inline distT="0" distB="0" distL="0" distR="0">
            <wp:extent cx="5076190" cy="3063387"/>
            <wp:effectExtent l="0" t="0" r="0" b="3810"/>
            <wp:docPr id="13" name="Afbeelding 13" descr="O:\Bureaublad\Knipse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Bureaublad\Knipsel 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76190" cy="3063387"/>
                    </a:xfrm>
                    <a:prstGeom prst="rect">
                      <a:avLst/>
                    </a:prstGeom>
                    <a:noFill/>
                    <a:ln>
                      <a:noFill/>
                    </a:ln>
                  </pic:spPr>
                </pic:pic>
              </a:graphicData>
            </a:graphic>
          </wp:inline>
        </w:drawing>
      </w:r>
    </w:p>
    <w:p w:rsidRPr="001B0641" w:rsidR="001870C7" w:rsidP="001B0641" w:rsidRDefault="00DE380E">
      <w:pPr>
        <w:rPr>
          <w:sz w:val="13"/>
        </w:rPr>
      </w:pPr>
      <w:r>
        <w:rPr>
          <w:sz w:val="13"/>
        </w:rPr>
        <w:t xml:space="preserve">Bron: begroting van OCW over 2018, Kamerstuk </w:t>
      </w:r>
      <w:hyperlink w:history="1" r:id="rId18">
        <w:r>
          <w:rPr>
            <w:rStyle w:val="Hyperlink"/>
            <w:sz w:val="13"/>
          </w:rPr>
          <w:t>34 775-VIII, nr. 2</w:t>
        </w:r>
      </w:hyperlink>
      <w:r>
        <w:rPr>
          <w:sz w:val="13"/>
        </w:rPr>
        <w:t>, p. 13.</w:t>
      </w:r>
    </w:p>
    <w:sectPr w:rsidRPr="001B0641" w:rsidR="001870C7">
      <w:headerReference w:type="default" r:id="rId19"/>
      <w:footerReference w:type="default" r:id="rId20"/>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063" w:rsidRDefault="00740063">
      <w:r>
        <w:separator/>
      </w:r>
    </w:p>
  </w:endnote>
  <w:endnote w:type="continuationSeparator" w:id="0">
    <w:p w:rsidR="00740063" w:rsidRDefault="0074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MNPG J+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D5" w:rsidRDefault="00A82AD5">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063" w:rsidRDefault="00740063">
      <w:r>
        <w:separator/>
      </w:r>
    </w:p>
  </w:footnote>
  <w:footnote w:type="continuationSeparator" w:id="0">
    <w:p w:rsidR="00740063" w:rsidRDefault="00740063">
      <w:r>
        <w:continuationSeparator/>
      </w:r>
    </w:p>
  </w:footnote>
  <w:footnote w:id="1">
    <w:p w:rsidR="00A82AD5" w:rsidRDefault="00A82AD5" w:rsidP="00DE380E">
      <w:pPr>
        <w:pStyle w:val="Voetnoottekst"/>
      </w:pPr>
      <w:r>
        <w:rPr>
          <w:rStyle w:val="Voetnootmarkering"/>
        </w:rPr>
        <w:footnoteRef/>
      </w:r>
      <w:r>
        <w:t xml:space="preserve"> </w:t>
      </w:r>
      <w:r>
        <w:rPr>
          <w:sz w:val="13"/>
        </w:rPr>
        <w:t>Zie besluitenlijst procedurevergadering d.d. 12 september 2017, agendapunt 69 (</w:t>
      </w:r>
      <w:hyperlink r:id="rId1" w:history="1">
        <w:r>
          <w:rPr>
            <w:rStyle w:val="Hyperlink"/>
            <w:sz w:val="13"/>
          </w:rPr>
          <w:t>2017D25348</w:t>
        </w:r>
      </w:hyperlink>
      <w:r>
        <w:rPr>
          <w:sz w:val="13"/>
        </w:rPr>
        <w:t>).</w:t>
      </w:r>
    </w:p>
  </w:footnote>
  <w:footnote w:id="2">
    <w:p w:rsidR="00A82AD5" w:rsidRDefault="00A82AD5" w:rsidP="00DE380E">
      <w:pPr>
        <w:pStyle w:val="Voetnoottekst"/>
      </w:pPr>
      <w:r>
        <w:rPr>
          <w:rStyle w:val="Voetnootmarkering"/>
        </w:rPr>
        <w:footnoteRef/>
      </w:r>
      <w:r>
        <w:t xml:space="preserve"> </w:t>
      </w:r>
      <w:r>
        <w:rPr>
          <w:sz w:val="13"/>
        </w:rPr>
        <w:t xml:space="preserve">Zie het </w:t>
      </w:r>
      <w:hyperlink r:id="rId2" w:history="1">
        <w:r>
          <w:rPr>
            <w:rStyle w:val="Hyperlink"/>
            <w:sz w:val="13"/>
          </w:rPr>
          <w:t>stemmingsoverzicht</w:t>
        </w:r>
      </w:hyperlink>
      <w:r>
        <w:rPr>
          <w:sz w:val="13"/>
        </w:rPr>
        <w:t>.</w:t>
      </w:r>
    </w:p>
  </w:footnote>
  <w:footnote w:id="3">
    <w:p w:rsidR="00A82AD5" w:rsidRDefault="00A82AD5" w:rsidP="00DE380E">
      <w:pPr>
        <w:pStyle w:val="Voetnoottekst"/>
      </w:pPr>
      <w:r>
        <w:rPr>
          <w:rStyle w:val="Voetnootmarkering"/>
        </w:rPr>
        <w:footnoteRef/>
      </w:r>
      <w:r>
        <w:t xml:space="preserve"> </w:t>
      </w:r>
      <w:r>
        <w:rPr>
          <w:sz w:val="13"/>
        </w:rPr>
        <w:t xml:space="preserve">Zie het verslag van het wetgevingsoverleg in Kamerstuk </w:t>
      </w:r>
      <w:hyperlink r:id="rId3" w:history="1">
        <w:r>
          <w:rPr>
            <w:rStyle w:val="Hyperlink"/>
            <w:sz w:val="13"/>
          </w:rPr>
          <w:t>34 725-XIII, nr. 20</w:t>
        </w:r>
      </w:hyperlink>
      <w:r>
        <w:rPr>
          <w:sz w:val="13"/>
        </w:rPr>
        <w:t xml:space="preserve">. </w:t>
      </w:r>
    </w:p>
  </w:footnote>
  <w:footnote w:id="4">
    <w:p w:rsidR="00A82AD5" w:rsidRDefault="00A82AD5" w:rsidP="00DE380E">
      <w:pPr>
        <w:pStyle w:val="Voetnoottekst"/>
      </w:pPr>
      <w:r>
        <w:rPr>
          <w:rStyle w:val="Voetnootmarkering"/>
        </w:rPr>
        <w:footnoteRef/>
      </w:r>
      <w:r>
        <w:t xml:space="preserve"> </w:t>
      </w:r>
      <w:r>
        <w:rPr>
          <w:sz w:val="13"/>
          <w:szCs w:val="13"/>
        </w:rPr>
        <w:t xml:space="preserve">SMART: </w:t>
      </w:r>
      <w:r>
        <w:rPr>
          <w:rStyle w:val="tgc"/>
          <w:rFonts w:cs="Arial"/>
          <w:color w:val="222222"/>
          <w:sz w:val="13"/>
        </w:rPr>
        <w:t>specifiek, meetbaar, acceptabel, realistisch en tijdgebonden.</w:t>
      </w:r>
    </w:p>
  </w:footnote>
  <w:footnote w:id="5">
    <w:p w:rsidR="00A82AD5" w:rsidRDefault="00A82AD5" w:rsidP="00DE380E">
      <w:pPr>
        <w:pStyle w:val="Voetnoottekst"/>
      </w:pPr>
      <w:r>
        <w:rPr>
          <w:rStyle w:val="Voetnootmarkering"/>
        </w:rPr>
        <w:footnoteRef/>
      </w:r>
      <w:r>
        <w:t xml:space="preserve"> </w:t>
      </w:r>
      <w:r>
        <w:rPr>
          <w:sz w:val="13"/>
          <w:szCs w:val="13"/>
        </w:rPr>
        <w:t xml:space="preserve">Kamerstuk </w:t>
      </w:r>
      <w:hyperlink r:id="rId4" w:history="1">
        <w:r>
          <w:rPr>
            <w:rStyle w:val="Hyperlink"/>
            <w:sz w:val="13"/>
            <w:szCs w:val="13"/>
          </w:rPr>
          <w:t>34 725-XIII, nr. 20</w:t>
        </w:r>
      </w:hyperlink>
      <w:r>
        <w:rPr>
          <w:sz w:val="13"/>
          <w:szCs w:val="13"/>
        </w:rPr>
        <w:t>, p. 5.</w:t>
      </w:r>
    </w:p>
  </w:footnote>
  <w:footnote w:id="6">
    <w:p w:rsidR="00A82AD5" w:rsidRDefault="00A82AD5" w:rsidP="00DE380E">
      <w:pPr>
        <w:pStyle w:val="Voetnoottekst"/>
      </w:pPr>
      <w:r>
        <w:rPr>
          <w:rStyle w:val="Voetnootmarkering"/>
        </w:rPr>
        <w:footnoteRef/>
      </w:r>
      <w:r>
        <w:t xml:space="preserve"> </w:t>
      </w:r>
      <w:r>
        <w:rPr>
          <w:sz w:val="13"/>
        </w:rPr>
        <w:t xml:space="preserve">Kamerstuk </w:t>
      </w:r>
      <w:hyperlink r:id="rId5" w:history="1">
        <w:r>
          <w:rPr>
            <w:rStyle w:val="Hyperlink"/>
            <w:sz w:val="13"/>
            <w:szCs w:val="18"/>
          </w:rPr>
          <w:t>34 725-XIII, nr. 20</w:t>
        </w:r>
      </w:hyperlink>
      <w:r>
        <w:rPr>
          <w:sz w:val="13"/>
          <w:szCs w:val="18"/>
        </w:rPr>
        <w:t>, p. 4-5.</w:t>
      </w:r>
    </w:p>
  </w:footnote>
  <w:footnote w:id="7">
    <w:p w:rsidR="00A82AD5" w:rsidRDefault="00A82AD5" w:rsidP="00DE380E">
      <w:pPr>
        <w:pStyle w:val="Voetnoottekst"/>
      </w:pPr>
      <w:r>
        <w:rPr>
          <w:rStyle w:val="Voetnootmarkering"/>
        </w:rPr>
        <w:footnoteRef/>
      </w:r>
      <w:r>
        <w:t xml:space="preserve"> </w:t>
      </w:r>
      <w:r>
        <w:rPr>
          <w:sz w:val="13"/>
        </w:rPr>
        <w:t xml:space="preserve">Kamerstuk </w:t>
      </w:r>
      <w:hyperlink r:id="rId6" w:history="1">
        <w:r>
          <w:rPr>
            <w:rStyle w:val="Hyperlink"/>
            <w:sz w:val="13"/>
            <w:szCs w:val="18"/>
          </w:rPr>
          <w:t>34 725-XIII, nr. 20</w:t>
        </w:r>
      </w:hyperlink>
      <w:r>
        <w:rPr>
          <w:sz w:val="13"/>
          <w:szCs w:val="18"/>
        </w:rPr>
        <w:t>, p. 4.</w:t>
      </w:r>
    </w:p>
  </w:footnote>
  <w:footnote w:id="8">
    <w:p w:rsidR="00A82AD5" w:rsidRDefault="00A82AD5" w:rsidP="00DE380E">
      <w:pPr>
        <w:pStyle w:val="Voetnoottekst"/>
      </w:pPr>
      <w:r>
        <w:rPr>
          <w:rStyle w:val="Voetnootmarkering"/>
        </w:rPr>
        <w:footnoteRef/>
      </w:r>
      <w:r>
        <w:t xml:space="preserve"> </w:t>
      </w:r>
      <w:r>
        <w:rPr>
          <w:sz w:val="13"/>
        </w:rPr>
        <w:t xml:space="preserve">Bij indicatoren is er een directe link tussen het beleid van de minister en de te behalen resultaten. Kengetallen geven een beeld van het beleidsterrein, zonder dat er een directe link is tussen het beleid van de minister en de te behalen </w:t>
      </w:r>
      <w:proofErr w:type="gramStart"/>
      <w:r>
        <w:rPr>
          <w:sz w:val="13"/>
        </w:rPr>
        <w:t xml:space="preserve">resultaten. </w:t>
      </w:r>
      <w:r>
        <w:t xml:space="preserve"> </w:t>
      </w:r>
      <w:proofErr w:type="gramEnd"/>
    </w:p>
  </w:footnote>
  <w:footnote w:id="9">
    <w:p w:rsidR="00A82AD5" w:rsidRDefault="00A82AD5" w:rsidP="00DE380E">
      <w:pPr>
        <w:pStyle w:val="Voetnoottekst"/>
      </w:pPr>
      <w:r>
        <w:rPr>
          <w:rStyle w:val="Voetnootmarkering"/>
        </w:rPr>
        <w:footnoteRef/>
      </w:r>
      <w:r>
        <w:t xml:space="preserve"> </w:t>
      </w:r>
      <w:r>
        <w:rPr>
          <w:sz w:val="13"/>
        </w:rPr>
        <w:t xml:space="preserve">Kamerstuk </w:t>
      </w:r>
      <w:hyperlink r:id="rId7" w:history="1">
        <w:r>
          <w:rPr>
            <w:rStyle w:val="Hyperlink"/>
            <w:sz w:val="13"/>
            <w:szCs w:val="18"/>
          </w:rPr>
          <w:t>34000-XIII, nr. 152</w:t>
        </w:r>
      </w:hyperlink>
      <w:r>
        <w:rPr>
          <w:sz w:val="13"/>
          <w:szCs w:val="18"/>
        </w:rPr>
        <w:t>.</w:t>
      </w:r>
    </w:p>
  </w:footnote>
  <w:footnote w:id="10">
    <w:p w:rsidR="00A82AD5" w:rsidRDefault="00A82AD5" w:rsidP="00DE380E">
      <w:pPr>
        <w:pStyle w:val="Voetnoottekst"/>
      </w:pPr>
      <w:r>
        <w:rPr>
          <w:rStyle w:val="Voetnootmarkering"/>
        </w:rPr>
        <w:footnoteRef/>
      </w:r>
      <w:r>
        <w:t xml:space="preserve"> </w:t>
      </w:r>
      <w:r>
        <w:rPr>
          <w:sz w:val="13"/>
          <w:szCs w:val="18"/>
        </w:rPr>
        <w:t xml:space="preserve">Kamerstuk </w:t>
      </w:r>
      <w:hyperlink r:id="rId8" w:history="1">
        <w:r>
          <w:rPr>
            <w:rStyle w:val="Hyperlink"/>
            <w:sz w:val="13"/>
            <w:szCs w:val="18"/>
          </w:rPr>
          <w:t>34 725-XIII, nr. 20</w:t>
        </w:r>
      </w:hyperlink>
      <w:r>
        <w:rPr>
          <w:sz w:val="13"/>
          <w:szCs w:val="18"/>
        </w:rPr>
        <w:t>, p. 5.</w:t>
      </w:r>
    </w:p>
  </w:footnote>
  <w:footnote w:id="11">
    <w:p w:rsidR="00A82AD5" w:rsidRDefault="00A82AD5" w:rsidP="00DE380E">
      <w:pPr>
        <w:pStyle w:val="Voetnoottekst"/>
      </w:pPr>
      <w:r>
        <w:rPr>
          <w:rStyle w:val="Voetnootmarkering"/>
        </w:rPr>
        <w:footnoteRef/>
      </w:r>
      <w:r>
        <w:t xml:space="preserve"> </w:t>
      </w:r>
      <w:r>
        <w:rPr>
          <w:sz w:val="13"/>
        </w:rPr>
        <w:t xml:space="preserve">Kamerstuk </w:t>
      </w:r>
      <w:hyperlink r:id="rId9" w:history="1">
        <w:r>
          <w:rPr>
            <w:rStyle w:val="Hyperlink"/>
            <w:sz w:val="13"/>
          </w:rPr>
          <w:t>33009, nr. 36</w:t>
        </w:r>
      </w:hyperlink>
      <w:r>
        <w:rPr>
          <w:sz w:val="13"/>
        </w:rPr>
        <w:t>, p. 2.</w:t>
      </w:r>
    </w:p>
  </w:footnote>
  <w:footnote w:id="12">
    <w:p w:rsidR="00A82AD5" w:rsidRDefault="00A82AD5" w:rsidP="00DE380E">
      <w:pPr>
        <w:pStyle w:val="Voetnoottekst"/>
        <w:rPr>
          <w:sz w:val="13"/>
        </w:rPr>
      </w:pPr>
      <w:r>
        <w:rPr>
          <w:rStyle w:val="Voetnootmarkering"/>
        </w:rPr>
        <w:footnoteRef/>
      </w:r>
      <w:r>
        <w:t xml:space="preserve"> </w:t>
      </w:r>
      <w:r>
        <w:rPr>
          <w:sz w:val="13"/>
        </w:rPr>
        <w:t xml:space="preserve">Zie de begrotingsstaat van de begroting 2018 van EZ (Kamerstuk II 2017/18, </w:t>
      </w:r>
      <w:hyperlink r:id="rId10" w:history="1">
        <w:r>
          <w:rPr>
            <w:rStyle w:val="Hyperlink"/>
            <w:rFonts w:cs="Segoe UI"/>
            <w:sz w:val="13"/>
            <w:szCs w:val="18"/>
          </w:rPr>
          <w:t>34 775-XIII, nr. 1</w:t>
        </w:r>
      </w:hyperlink>
      <w:r>
        <w:rPr>
          <w:sz w:val="13"/>
        </w:rPr>
        <w:t>, p. 3).</w:t>
      </w:r>
    </w:p>
  </w:footnote>
  <w:footnote w:id="13">
    <w:p w:rsidR="00A82AD5" w:rsidRDefault="00A82AD5" w:rsidP="00DE380E">
      <w:pPr>
        <w:pStyle w:val="Voetnoottekst"/>
      </w:pPr>
      <w:r>
        <w:rPr>
          <w:rStyle w:val="Voetnootmarkering"/>
        </w:rPr>
        <w:footnoteRef/>
      </w:r>
      <w:r>
        <w:rPr>
          <w:rFonts w:cs="Segoe UI"/>
          <w:color w:val="000080"/>
          <w:sz w:val="13"/>
          <w:szCs w:val="13"/>
        </w:rPr>
        <w:t xml:space="preserve"> </w:t>
      </w:r>
      <w:proofErr w:type="spellStart"/>
      <w:r>
        <w:rPr>
          <w:rFonts w:cs="Segoe UI"/>
          <w:color w:val="000080"/>
          <w:sz w:val="13"/>
          <w:szCs w:val="13"/>
        </w:rPr>
        <w:t>Parlis</w:t>
      </w:r>
      <w:proofErr w:type="spellEnd"/>
      <w:r>
        <w:rPr>
          <w:rFonts w:cs="Segoe UI"/>
          <w:color w:val="000080"/>
          <w:sz w:val="13"/>
          <w:szCs w:val="13"/>
        </w:rPr>
        <w:t xml:space="preserve">: </w:t>
      </w:r>
      <w:hyperlink r:id="rId11" w:tgtFrame="_blank" w:history="1">
        <w:r>
          <w:rPr>
            <w:rStyle w:val="Hyperlink"/>
            <w:rFonts w:cs="Segoe UI"/>
            <w:sz w:val="13"/>
            <w:szCs w:val="13"/>
          </w:rPr>
          <w:t>2017D25406</w:t>
        </w:r>
      </w:hyperlink>
      <w:r>
        <w:rPr>
          <w:rFonts w:cs="Segoe UI"/>
          <w:color w:val="000080"/>
          <w:sz w:val="13"/>
          <w:szCs w:val="13"/>
        </w:rPr>
        <w:t>.</w:t>
      </w:r>
    </w:p>
  </w:footnote>
  <w:footnote w:id="14">
    <w:p w:rsidR="00A82AD5" w:rsidRDefault="00A82AD5" w:rsidP="00DE380E">
      <w:pPr>
        <w:pStyle w:val="Voetnoottekst"/>
      </w:pPr>
      <w:r>
        <w:rPr>
          <w:rStyle w:val="Voetnootmarkering"/>
        </w:rPr>
        <w:footnoteRef/>
      </w:r>
      <w:r>
        <w:t xml:space="preserve"> </w:t>
      </w:r>
      <w:r>
        <w:rPr>
          <w:sz w:val="13"/>
        </w:rPr>
        <w:t xml:space="preserve">Algemene Rekenkamer (2017). </w:t>
      </w:r>
      <w:hyperlink r:id="rId12" w:history="1">
        <w:r>
          <w:rPr>
            <w:rStyle w:val="Hyperlink"/>
            <w:i/>
            <w:sz w:val="13"/>
          </w:rPr>
          <w:t>Niet-belastingontvangsten. Raming, beheersing en prikkels van ontvangsten van ministeries</w:t>
        </w:r>
      </w:hyperlink>
      <w:r>
        <w:rPr>
          <w:sz w:val="13"/>
        </w:rPr>
        <w:t>, p. 4-5.</w:t>
      </w:r>
    </w:p>
  </w:footnote>
  <w:footnote w:id="15">
    <w:p w:rsidR="00A82AD5" w:rsidRDefault="00A82AD5" w:rsidP="00DE380E">
      <w:pPr>
        <w:pStyle w:val="Voetnoottekst"/>
      </w:pPr>
      <w:r>
        <w:rPr>
          <w:rStyle w:val="Voetnootmarkering"/>
        </w:rPr>
        <w:footnoteRef/>
      </w:r>
      <w:r>
        <w:t xml:space="preserve"> </w:t>
      </w:r>
      <w:r>
        <w:rPr>
          <w:sz w:val="13"/>
          <w:szCs w:val="13"/>
        </w:rPr>
        <w:t xml:space="preserve">Kamerstuk </w:t>
      </w:r>
      <w:hyperlink r:id="rId13" w:history="1">
        <w:r>
          <w:rPr>
            <w:rStyle w:val="Hyperlink"/>
            <w:sz w:val="13"/>
            <w:szCs w:val="13"/>
          </w:rPr>
          <w:t>34298, nr. 16</w:t>
        </w:r>
      </w:hyperlink>
      <w:r>
        <w:rPr>
          <w:sz w:val="13"/>
          <w:szCs w:val="13"/>
        </w:rPr>
        <w:t>, p. 1</w:t>
      </w:r>
      <w:r>
        <w:t xml:space="preserve"> </w:t>
      </w:r>
    </w:p>
  </w:footnote>
  <w:footnote w:id="16">
    <w:p w:rsidR="00A82AD5" w:rsidRDefault="00A82AD5" w:rsidP="00DE380E">
      <w:pPr>
        <w:pStyle w:val="Voetnoottekst"/>
      </w:pPr>
      <w:r>
        <w:rPr>
          <w:rStyle w:val="Voetnootmarkering"/>
        </w:rPr>
        <w:footnoteRef/>
      </w:r>
      <w:r>
        <w:t xml:space="preserve"> </w:t>
      </w:r>
      <w:r>
        <w:rPr>
          <w:sz w:val="13"/>
        </w:rPr>
        <w:t xml:space="preserve">Kamerstuk </w:t>
      </w:r>
      <w:hyperlink r:id="rId14" w:history="1">
        <w:r>
          <w:rPr>
            <w:rStyle w:val="Hyperlink"/>
            <w:sz w:val="13"/>
            <w:szCs w:val="18"/>
          </w:rPr>
          <w:t>34725-XIII, nr. 20</w:t>
        </w:r>
      </w:hyperlink>
      <w:r>
        <w:rPr>
          <w:sz w:val="13"/>
        </w:rPr>
        <w:t>, p.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D5" w:rsidRDefault="00B92167">
    <w:r>
      <w:pict>
        <v:shape id="Shape59b8fd8c499d1" o:spid="_x0000_s2058" style="position:absolute;margin-left:36.85pt;margin-top:167.2pt;width:326.2pt;height:133.2pt;z-index:251654144;mso-position-horizontal-relative:page;mso-position-vertical-relative:page" coordsize="21600,21600" o:spt="100" adj="0,,0" path="" filled="f" stroked="f">
          <v:stroke joinstyle="round"/>
          <v:formulas/>
          <v:path o:connecttype="segments"/>
          <v:textbox inset="0,0,0,0">
            <w:txbxContent>
              <w:p w:rsidR="00A82AD5" w:rsidRDefault="009A1EDB">
                <w:pPr>
                  <w:pStyle w:val="Documenttitel"/>
                </w:pPr>
                <w:r>
                  <w:tab/>
                </w:r>
                <w:r>
                  <w:tab/>
                </w:r>
              </w:p>
              <w:p w:rsidR="00A82AD5" w:rsidRDefault="00A82AD5">
                <w:pPr>
                  <w:pStyle w:val="Witregel65ptdubbel"/>
                </w:pPr>
              </w:p>
              <w:p w:rsidR="00A82AD5" w:rsidRDefault="00A82AD5">
                <w:pPr>
                  <w:pStyle w:val="Standaard65"/>
                </w:pPr>
                <w:r>
                  <w:tab/>
                </w:r>
                <w:proofErr w:type="gramStart"/>
                <w:r>
                  <w:t>aan</w:t>
                </w:r>
                <w:proofErr w:type="gramEnd"/>
                <w:r>
                  <w:tab/>
                  <w:t>Vaste commissie voor Economische Zaken</w:t>
                </w:r>
              </w:p>
              <w:p w:rsidR="00A82AD5" w:rsidRDefault="00A82AD5">
                <w:pPr>
                  <w:pStyle w:val="Standaard65"/>
                </w:pPr>
                <w:r>
                  <w:tab/>
                </w:r>
                <w:proofErr w:type="gramStart"/>
                <w:r>
                  <w:t>van</w:t>
                </w:r>
                <w:proofErr w:type="gramEnd"/>
                <w:r>
                  <w:tab/>
                </w:r>
                <w:proofErr w:type="spellStart"/>
                <w:r>
                  <w:t>Joba</w:t>
                </w:r>
                <w:proofErr w:type="spellEnd"/>
                <w:r>
                  <w:t xml:space="preserve"> van den Berg en Arne Weverling (rapporteurs)</w:t>
                </w:r>
              </w:p>
              <w:p w:rsidR="00A82AD5" w:rsidRDefault="00A82AD5">
                <w:pPr>
                  <w:pStyle w:val="Witregel65ptdubbel"/>
                </w:pPr>
              </w:p>
              <w:p w:rsidR="00A82AD5" w:rsidRDefault="00A82AD5">
                <w:pPr>
                  <w:pStyle w:val="Standaard65"/>
                </w:pPr>
                <w:r>
                  <w:tab/>
                </w:r>
                <w:proofErr w:type="gramStart"/>
                <w:r>
                  <w:t>datum</w:t>
                </w:r>
                <w:proofErr w:type="gramEnd"/>
                <w:r>
                  <w:tab/>
                </w:r>
                <w:sdt>
                  <w:sdtPr>
                    <w:id w:val="-451006939"/>
                    <w:date w:fullDate="2017-10-19T00:00:00Z">
                      <w:dateFormat w:val="d MMMM yyyy"/>
                      <w:lid w:val="nl-NL"/>
                      <w:storeMappedDataAs w:val="dateTime"/>
                      <w:calendar w:val="gregorian"/>
                    </w:date>
                  </w:sdtPr>
                  <w:sdtEndPr/>
                  <w:sdtContent>
                    <w:r>
                      <w:t>19 oktober 2017</w:t>
                    </w:r>
                  </w:sdtContent>
                </w:sdt>
              </w:p>
              <w:p w:rsidR="00A82AD5" w:rsidRDefault="00A82AD5">
                <w:pPr>
                  <w:pStyle w:val="Standaard65"/>
                </w:pPr>
                <w:r>
                  <w:tab/>
                </w:r>
                <w:proofErr w:type="gramStart"/>
                <w:r>
                  <w:t>onderwerp</w:t>
                </w:r>
                <w:proofErr w:type="gramEnd"/>
                <w:r>
                  <w:tab/>
                  <w:t>Begrotingsonderzoek Economische Zaken</w:t>
                </w:r>
              </w:p>
              <w:p w:rsidR="00A82AD5" w:rsidRDefault="00A82AD5">
                <w:pPr>
                  <w:pStyle w:val="Standaard65"/>
                </w:pPr>
                <w:r>
                  <w:tab/>
                </w:r>
                <w:proofErr w:type="gramStart"/>
                <w:r>
                  <w:t>te</w:t>
                </w:r>
                <w:proofErr w:type="gramEnd"/>
                <w:r>
                  <w:t xml:space="preserve"> betrekken bij</w:t>
                </w:r>
                <w:r>
                  <w:tab/>
                  <w:t>Procedurevergadering d.d. 24 oktober 2017</w:t>
                </w:r>
              </w:p>
              <w:p w:rsidR="00A82AD5" w:rsidRPr="00535BAD" w:rsidRDefault="00A82AD5" w:rsidP="00535BAD">
                <w:pPr>
                  <w:pStyle w:val="Standaard65"/>
                </w:pPr>
                <w:r>
                  <w:t xml:space="preserve">            </w:t>
                </w:r>
                <w:r>
                  <w:tab/>
                </w:r>
              </w:p>
              <w:p w:rsidR="00A82AD5" w:rsidRPr="008E6DE1" w:rsidRDefault="00A82AD5" w:rsidP="008E6DE1">
                <w:pPr>
                  <w:rPr>
                    <w:sz w:val="13"/>
                  </w:rPr>
                </w:pPr>
                <w:r>
                  <w:rPr>
                    <w:sz w:val="13"/>
                  </w:rPr>
                  <w:t xml:space="preserve">          </w:t>
                </w:r>
                <w:r w:rsidRPr="008E6DE1">
                  <w:rPr>
                    <w:sz w:val="13"/>
                  </w:rPr>
                  <w:t xml:space="preserve"> </w:t>
                </w:r>
                <w:r>
                  <w:rPr>
                    <w:sz w:val="13"/>
                  </w:rPr>
                  <w:t xml:space="preserve"> </w:t>
                </w:r>
                <w:r w:rsidRPr="008E6DE1">
                  <w:rPr>
                    <w:sz w:val="13"/>
                  </w:rPr>
                  <w:tab/>
                </w:r>
              </w:p>
            </w:txbxContent>
          </v:textbox>
          <w10:wrap anchorx="page" anchory="page"/>
        </v:shape>
      </w:pict>
    </w:r>
  </w:p>
  <w:p w:rsidR="00A82AD5" w:rsidRDefault="00B92167">
    <w:r>
      <w:pict>
        <v:shape id="Shape59b8fd8c4d455" o:spid="_x0000_s2057" style="position:absolute;margin-left:374.15pt;margin-top:170.05pt;width:161.25pt;height:133.2pt;z-index:251655168;mso-position-horizontal-relative:page;mso-position-vertical-relative:page" coordsize="21600,21600" o:spt="100" adj="0,,0" path="" filled="f" stroked="f">
          <v:stroke joinstyle="round"/>
          <v:formulas/>
          <v:path o:connecttype="segments"/>
          <v:textbox inset="0,0,0,0">
            <w:txbxContent>
              <w:p w:rsidR="00A82AD5" w:rsidRDefault="00A82AD5" w:rsidP="00C17317">
                <w:pPr>
                  <w:pStyle w:val="Standaard65rechtsuitgelijnd"/>
                </w:pPr>
              </w:p>
            </w:txbxContent>
          </v:textbox>
          <w10:wrap anchorx="page" anchory="page"/>
        </v:shape>
      </w:pict>
    </w:r>
  </w:p>
  <w:p w:rsidR="00A82AD5" w:rsidRDefault="00B92167">
    <w:r>
      <w:pict>
        <v:shape id="Shape59b8fd8c4e2a6" o:spid="_x0000_s2056" style="position:absolute;margin-left:374.15pt;margin-top:133.2pt;width:161.55pt;height:17pt;z-index:251656192;mso-position-horizontal-relative:page;mso-position-vertical-relative:page" coordsize="21600,21600" o:spt="100" adj="0,,0" path="" filled="f" stroked="f">
          <v:stroke joinstyle="round"/>
          <v:formulas/>
          <v:path o:connecttype="segments"/>
          <v:textbox inset="0,0,0,0">
            <w:txbxContent>
              <w:p w:rsidR="00A82AD5" w:rsidRDefault="00A82AD5">
                <w:pPr>
                  <w:pStyle w:val="Rubricering"/>
                </w:pPr>
                <w:r>
                  <w:t>INTERN GEBRUIK</w:t>
                </w:r>
              </w:p>
            </w:txbxContent>
          </v:textbox>
          <w10:wrap anchorx="page" anchory="page"/>
        </v:shape>
      </w:pict>
    </w:r>
  </w:p>
  <w:p w:rsidR="00A82AD5" w:rsidRDefault="00B92167">
    <w:r>
      <w:pict>
        <v:shape id="Shape59b8fd8c4e6b9" o:spid="_x0000_s2055" style="position:absolute;margin-left:49.3pt;margin-top:29.45pt;width:34pt;height:97.5pt;z-index:251657216;mso-position-horizontal-relative:page;mso-position-vertical-relative:page" coordsize="21600,21600" o:spt="100" adj="0,,0" path="" filled="f" stroked="f">
          <v:stroke joinstyle="round"/>
          <v:formulas/>
          <v:path o:connecttype="segments"/>
          <v:textbox inset="0,0,0,0">
            <w:txbxContent>
              <w:p w:rsidR="00A82AD5" w:rsidRDefault="00A82AD5"/>
            </w:txbxContent>
          </v:textbox>
          <w10:wrap anchorx="page" anchory="page"/>
        </v:shape>
      </w:pict>
    </w:r>
    <w:r w:rsidR="00A82AD5">
      <w:rPr>
        <w:noProof/>
      </w:rPr>
      <w:drawing>
        <wp:anchor distT="0" distB="0" distL="0" distR="0" simplePos="0" relativeHeight="251652096" behindDoc="0" locked="1" layoutInCell="0" allowOverlap="1" wp14:anchorId="70D5E0A1" wp14:editId="58176A70">
          <wp:simplePos x="0" y="0"/>
          <wp:positionH relativeFrom="page">
            <wp:posOffset>626110</wp:posOffset>
          </wp:positionH>
          <wp:positionV relativeFrom="page">
            <wp:posOffset>374015</wp:posOffset>
          </wp:positionV>
          <wp:extent cx="431800" cy="860559"/>
          <wp:effectExtent l="0" t="0" r="0" b="0"/>
          <wp:wrapNone/>
          <wp:docPr id="1"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p>
  <w:p w:rsidR="00A82AD5" w:rsidRDefault="00B92167">
    <w:r>
      <w:pict>
        <v:shape id="Shape59b8fd8c4f693" o:spid="_x0000_s2054" style="position:absolute;margin-left:85pt;margin-top:29.45pt;width:241.75pt;height:97.5pt;z-index:251658240;mso-position-horizontal-relative:page;mso-position-vertical-relative:page" coordsize="21600,21600" o:spt="100" adj="0,,0" path="" filled="f" stroked="f">
          <v:stroke joinstyle="round"/>
          <v:formulas/>
          <v:path o:connecttype="segments"/>
          <v:textbox inset="0,0,0,0">
            <w:txbxContent>
              <w:p w:rsidR="00A82AD5" w:rsidRDefault="00A82AD5"/>
            </w:txbxContent>
          </v:textbox>
          <w10:wrap anchorx="page" anchory="page"/>
        </v:shape>
      </w:pict>
    </w:r>
    <w:r w:rsidR="00A82AD5">
      <w:rPr>
        <w:noProof/>
      </w:rPr>
      <w:drawing>
        <wp:anchor distT="0" distB="0" distL="0" distR="0" simplePos="0" relativeHeight="251653120" behindDoc="0" locked="1" layoutInCell="0" allowOverlap="1" wp14:anchorId="155B1E89" wp14:editId="63AF2B0F">
          <wp:simplePos x="0" y="0"/>
          <wp:positionH relativeFrom="page">
            <wp:posOffset>1079500</wp:posOffset>
          </wp:positionH>
          <wp:positionV relativeFrom="page">
            <wp:posOffset>374015</wp:posOffset>
          </wp:positionV>
          <wp:extent cx="3070225" cy="1238284"/>
          <wp:effectExtent l="0" t="0" r="0" b="0"/>
          <wp:wrapNone/>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3070225" cy="1238284"/>
                  </a:xfrm>
                  <a:prstGeom prst="rect">
                    <a:avLst/>
                  </a:prstGeom>
                </pic:spPr>
              </pic:pic>
            </a:graphicData>
          </a:graphic>
        </wp:anchor>
      </w:drawing>
    </w:r>
  </w:p>
  <w:p w:rsidR="00A82AD5" w:rsidRDefault="00B92167">
    <w:r>
      <w:pict>
        <v:shape id="Shape59b8fd8c4fe00" o:spid="_x0000_s2053" style="position:absolute;margin-left:110.55pt;margin-top:782.35pt;width:400.5pt;height:14.95pt;z-index:251659264;mso-position-horizontal-relative:page;mso-position-vertical-relative:page" coordsize="21600,21600" o:spt="100" adj="0,,0" path="" filled="f" stroked="f">
          <v:stroke joinstyle="round"/>
          <v:formulas/>
          <v:path o:connecttype="segments"/>
          <v:textbox inset="0,0,0,0">
            <w:txbxContent>
              <w:p w:rsidR="00A82AD5" w:rsidRDefault="00A82AD5">
                <w:pPr>
                  <w:pStyle w:val="Standaard65"/>
                </w:pPr>
                <w:r>
                  <w:t>Deze notitie is uitsluitend bestemd voor intern gebruik door de leden.</w:t>
                </w:r>
              </w:p>
            </w:txbxContent>
          </v:textbox>
          <w10:wrap anchorx="page" anchory="page"/>
        </v:shape>
      </w:pict>
    </w:r>
  </w:p>
  <w:p w:rsidR="00A82AD5" w:rsidRDefault="00B92167">
    <w:r>
      <w:pict>
        <v:shape id="Shape59b8fd8c502ba" o:spid="_x0000_s2052" style="position:absolute;margin-left:110.55pt;margin-top:805pt;width:400.5pt;height:14.95pt;z-index:251660288;mso-position-horizontal-relative:page;mso-position-vertical-relative:page" coordsize="21600,21600" o:spt="100" adj="0,,0" path="" filled="f" stroked="f">
          <v:stroke joinstyle="round"/>
          <v:formulas/>
          <v:path o:connecttype="segments"/>
          <v:textbox inset="0,0,0,0">
            <w:txbxContent>
              <w:p w:rsidR="00A82AD5" w:rsidRDefault="00A82AD5">
                <w:pPr>
                  <w:pStyle w:val="Standaard65rechtsuitgelijnd"/>
                </w:pPr>
                <w:proofErr w:type="gramStart"/>
                <w:r>
                  <w:t>pagina</w:t>
                </w:r>
                <w:proofErr w:type="gramEnd"/>
                <w:r>
                  <w:t xml:space="preserve"> </w:t>
                </w:r>
                <w:r>
                  <w:fldChar w:fldCharType="begin"/>
                </w:r>
                <w:r>
                  <w:instrText>PAGE</w:instrText>
                </w:r>
                <w:r>
                  <w:fldChar w:fldCharType="separate"/>
                </w:r>
                <w:r w:rsidR="00B92167">
                  <w:rPr>
                    <w:noProof/>
                  </w:rPr>
                  <w:t>1</w:t>
                </w:r>
                <w:r>
                  <w:fldChar w:fldCharType="end"/>
                </w:r>
                <w:r>
                  <w:t>/</w:t>
                </w:r>
                <w:r>
                  <w:fldChar w:fldCharType="begin"/>
                </w:r>
                <w:r>
                  <w:instrText>NUMPAGES</w:instrText>
                </w:r>
                <w:r>
                  <w:fldChar w:fldCharType="separate"/>
                </w:r>
                <w:r w:rsidR="00B92167">
                  <w:rPr>
                    <w:noProof/>
                  </w:rPr>
                  <w:t>9</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D5" w:rsidRDefault="00A82AD5">
    <w:r>
      <w:rPr>
        <w:noProof/>
      </w:rPr>
      <mc:AlternateContent>
        <mc:Choice Requires="wps">
          <w:drawing>
            <wp:anchor distT="0" distB="0" distL="114300" distR="114300" simplePos="0" relativeHeight="251661312" behindDoc="0" locked="0" layoutInCell="1" allowOverlap="1" wp14:anchorId="19D561CF" wp14:editId="2A160F3A">
              <wp:simplePos x="0" y="0"/>
              <wp:positionH relativeFrom="page">
                <wp:posOffset>323850</wp:posOffset>
              </wp:positionH>
              <wp:positionV relativeFrom="page">
                <wp:posOffset>1424940</wp:posOffset>
              </wp:positionV>
              <wp:extent cx="6155690" cy="395605"/>
              <wp:effectExtent l="0" t="0" r="0" b="0"/>
              <wp:wrapNone/>
              <wp:docPr id="7" name="Vrije v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39560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82AD5" w:rsidRDefault="00A82AD5">
                          <w:pPr>
                            <w:pStyle w:val="Standaard65"/>
                          </w:pPr>
                          <w:r>
                            <w:tab/>
                          </w:r>
                          <w:proofErr w:type="gramStart"/>
                          <w:r>
                            <w:t>datum</w:t>
                          </w:r>
                          <w:proofErr w:type="gramEnd"/>
                          <w:r>
                            <w:tab/>
                          </w:r>
                          <w:sdt>
                            <w:sdtPr>
                              <w:id w:val="695123526"/>
                              <w:date w:fullDate="2017-10-19T00:00:00Z">
                                <w:dateFormat w:val="d MMMM yyyy"/>
                                <w:lid w:val="nl-NL"/>
                                <w:storeMappedDataAs w:val="dateTime"/>
                                <w:calendar w:val="gregorian"/>
                              </w:date>
                            </w:sdtPr>
                            <w:sdtEndPr/>
                            <w:sdtContent>
                              <w:r>
                                <w:t>19 oktober 2017</w:t>
                              </w:r>
                            </w:sdtContent>
                          </w:sdt>
                        </w:p>
                        <w:p w:rsidR="00A82AD5" w:rsidRDefault="00A82AD5">
                          <w:pPr>
                            <w:pStyle w:val="Standaard65"/>
                          </w:pPr>
                          <w:r>
                            <w:tab/>
                          </w:r>
                          <w:proofErr w:type="gramStart"/>
                          <w:r>
                            <w:t>onderwerp</w:t>
                          </w:r>
                          <w:proofErr w:type="gramEnd"/>
                          <w:r>
                            <w:tab/>
                            <w:t>Begrotingsonderzoek Economische Zaken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7" o:spid="_x0000_s1026" style="position:absolute;margin-left:25.5pt;margin-top:112.2pt;width:484.7pt;height:31.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" adj="-11796480,,5400" path="al10800,10800@8@8@4@6,10800,10800,10800,10800@9@7l@30@31@17@18@24@25@15@16@32@33xe" filled="f" stroked="f">
              <v:stroke joinstyle="round"/>
              <v:formulas/>
              <v:path o:connecttype="custom" textboxrect="@1,@1,@1,@1"/>
              <v:textbox inset="0,0,0,0">
                <w:txbxContent>
                  <w:p w:rsidR="00A82AD5" w:rsidRDefault="00A82AD5">
                    <w:pPr>
                      <w:pStyle w:val="Standaard65"/>
                    </w:pPr>
                    <w:r>
                      <w:tab/>
                      <w:t>datum</w:t>
                    </w:r>
                    <w:r>
                      <w:tab/>
                    </w:r>
                    <w:sdt>
                      <w:sdtPr>
                        <w:id w:val="695123526"/>
                        <w:date w:fullDate="2017-10-19T00:00:00Z">
                          <w:dateFormat w:val="d MMMM yyyy"/>
                          <w:lid w:val="nl-NL"/>
                          <w:storeMappedDataAs w:val="dateTime"/>
                          <w:calendar w:val="gregorian"/>
                        </w:date>
                      </w:sdtPr>
                      <w:sdtEndPr/>
                      <w:sdtContent>
                        <w:r>
                          <w:t>19 oktober 2017</w:t>
                        </w:r>
                      </w:sdtContent>
                    </w:sdt>
                  </w:p>
                  <w:p w:rsidR="00A82AD5" w:rsidRDefault="00A82AD5">
                    <w:pPr>
                      <w:pStyle w:val="Standaard65"/>
                    </w:pPr>
                    <w:r>
                      <w:tab/>
                      <w:t>onderwerp</w:t>
                    </w:r>
                    <w:r>
                      <w:tab/>
                      <w:t>Begrotingsonderzoek Economische Zaken</w:t>
                    </w:r>
                  </w:p>
                </w:txbxContent>
              </v:textbox>
              <w10:wrap anchorx="page" anchory="page"/>
            </v:shape>
          </w:pict>
        </mc:Fallback>
      </mc:AlternateContent>
    </w:r>
  </w:p>
  <w:p w:rsidR="00A82AD5" w:rsidRDefault="00A82AD5">
    <w:r>
      <w:rPr>
        <w:noProof/>
      </w:rPr>
      <mc:AlternateContent>
        <mc:Choice Requires="wps">
          <w:drawing>
            <wp:anchor distT="0" distB="0" distL="114300" distR="114300" simplePos="0" relativeHeight="251662336" behindDoc="0" locked="0" layoutInCell="1" allowOverlap="1" wp14:anchorId="2B52F36C" wp14:editId="2851376C">
              <wp:simplePos x="0" y="0"/>
              <wp:positionH relativeFrom="page">
                <wp:posOffset>1403985</wp:posOffset>
              </wp:positionH>
              <wp:positionV relativeFrom="page">
                <wp:posOffset>9935845</wp:posOffset>
              </wp:positionV>
              <wp:extent cx="5076190" cy="180975"/>
              <wp:effectExtent l="3810" t="1270" r="0" b="0"/>
              <wp:wrapNone/>
              <wp:docPr id="6" name="Vrije v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190" cy="1809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82AD5" w:rsidRDefault="00A82AD5">
                          <w:pPr>
                            <w:pStyle w:val="Standaard65"/>
                          </w:pPr>
                          <w:r>
                            <w:t>Deze notitie is uitsluitend bestemd voor intern gebruik door de leden.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6" o:spid="_x0000_s1027" style="position:absolute;margin-left:110.55pt;margin-top:782.35pt;width:399.7pt;height:14.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" adj="-11796480,,5400" path="al10800,10800@8@8@4@6,10800,10800,10800,10800@9@7l@30@31@17@18@24@25@15@16@32@33xe" filled="f" stroked="f">
              <v:stroke joinstyle="round"/>
              <v:formulas/>
              <v:path o:connecttype="custom" textboxrect="@1,@1,@1,@1"/>
              <v:textbox inset="0,0,0,0">
                <w:txbxContent>
                  <w:p w:rsidR="00A82AD5" w:rsidRDefault="00A82AD5">
                    <w:pPr>
                      <w:pStyle w:val="Standaard65"/>
                    </w:pPr>
                    <w:r>
                      <w:t>Deze notitie is uitsluitend bestemd voor intern gebruik door de leden.</w:t>
                    </w:r>
                  </w:p>
                </w:txbxContent>
              </v:textbox>
              <w10:wrap anchorx="page" anchory="page"/>
            </v:shape>
          </w:pict>
        </mc:Fallback>
      </mc:AlternateContent>
    </w:r>
  </w:p>
  <w:p w:rsidR="00A82AD5" w:rsidRDefault="00A82AD5">
    <w:r>
      <w:rPr>
        <w:noProof/>
      </w:rPr>
      <mc:AlternateContent>
        <mc:Choice Requires="wps">
          <w:drawing>
            <wp:anchor distT="0" distB="0" distL="114300" distR="114300" simplePos="0" relativeHeight="251663360" behindDoc="0" locked="0" layoutInCell="1" allowOverlap="1" wp14:anchorId="4EC8051F" wp14:editId="6A795CC3">
              <wp:simplePos x="0" y="0"/>
              <wp:positionH relativeFrom="page">
                <wp:posOffset>1403985</wp:posOffset>
              </wp:positionH>
              <wp:positionV relativeFrom="page">
                <wp:posOffset>10223500</wp:posOffset>
              </wp:positionV>
              <wp:extent cx="5086350" cy="189865"/>
              <wp:effectExtent l="3810" t="3175" r="0" b="0"/>
              <wp:wrapNone/>
              <wp:docPr id="5" name="Vrije v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18986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82AD5" w:rsidRDefault="00A82AD5">
                          <w:pPr>
                            <w:pStyle w:val="Standaard65rechtsuitgelijnd"/>
                          </w:pPr>
                          <w:proofErr w:type="gramStart"/>
                          <w:r>
                            <w:t>pagina</w:t>
                          </w:r>
                          <w:proofErr w:type="gramEnd"/>
                          <w:r>
                            <w:t xml:space="preserve"> </w:t>
                          </w:r>
                          <w:r>
                            <w:fldChar w:fldCharType="begin"/>
                          </w:r>
                          <w:r>
                            <w:instrText>PAGE</w:instrText>
                          </w:r>
                          <w:r>
                            <w:fldChar w:fldCharType="separate"/>
                          </w:r>
                          <w:r w:rsidR="00B92167">
                            <w:rPr>
                              <w:noProof/>
                            </w:rPr>
                            <w:t>2</w:t>
                          </w:r>
                          <w:r>
                            <w:fldChar w:fldCharType="end"/>
                          </w:r>
                          <w:r>
                            <w:t>/</w:t>
                          </w:r>
                          <w:r>
                            <w:fldChar w:fldCharType="begin"/>
                          </w:r>
                          <w:r>
                            <w:instrText>NUMPAGES</w:instrText>
                          </w:r>
                          <w:r>
                            <w:fldChar w:fldCharType="separate"/>
                          </w:r>
                          <w:r w:rsidR="00B92167">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5" o:spid="_x0000_s1028" style="position:absolute;margin-left:110.55pt;margin-top:805pt;width:400.5pt;height:14.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" adj="-11796480,,5400" path="al10800,10800@8@8@4@6,10800,10800,10800,10800@9@7l@30@31@17@18@24@25@15@16@32@33xe" filled="f" stroked="f">
              <v:stroke joinstyle="round"/>
              <v:formulas/>
              <v:path o:connecttype="custom" textboxrect="@1,@1,@1,@1"/>
              <v:textbox inset="0,0,0,0">
                <w:txbxContent>
                  <w:p w:rsidR="00A82AD5" w:rsidRDefault="00A82AD5">
                    <w:pPr>
                      <w:pStyle w:val="Standaard65rechtsuitgelijnd"/>
                    </w:pPr>
                    <w:proofErr w:type="gramStart"/>
                    <w:r>
                      <w:t>pagina</w:t>
                    </w:r>
                    <w:proofErr w:type="gramEnd"/>
                    <w:r>
                      <w:t xml:space="preserve"> </w:t>
                    </w:r>
                    <w:r>
                      <w:fldChar w:fldCharType="begin"/>
                    </w:r>
                    <w:r>
                      <w:instrText>PAGE</w:instrText>
                    </w:r>
                    <w:r>
                      <w:fldChar w:fldCharType="separate"/>
                    </w:r>
                    <w:r w:rsidR="00B92167">
                      <w:rPr>
                        <w:noProof/>
                      </w:rPr>
                      <w:t>2</w:t>
                    </w:r>
                    <w:r>
                      <w:fldChar w:fldCharType="end"/>
                    </w:r>
                    <w:r>
                      <w:t>/</w:t>
                    </w:r>
                    <w:r>
                      <w:fldChar w:fldCharType="begin"/>
                    </w:r>
                    <w:r>
                      <w:instrText>NUMPAGES</w:instrText>
                    </w:r>
                    <w:r>
                      <w:fldChar w:fldCharType="separate"/>
                    </w:r>
                    <w:r w:rsidR="00B92167">
                      <w:rPr>
                        <w:noProof/>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A223D7"/>
    <w:multiLevelType w:val="multilevel"/>
    <w:tmpl w:val="07F5FC51"/>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F168BB6"/>
    <w:multiLevelType w:val="multilevel"/>
    <w:tmpl w:val="7C1E2702"/>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FD147C4"/>
    <w:multiLevelType w:val="multilevel"/>
    <w:tmpl w:val="D805B8DB"/>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CAB30DF8"/>
    <w:multiLevelType w:val="multilevel"/>
    <w:tmpl w:val="24A6C6D0"/>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F0E14502"/>
    <w:multiLevelType w:val="multilevel"/>
    <w:tmpl w:val="F39520F0"/>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88202C"/>
    <w:multiLevelType w:val="hybridMultilevel"/>
    <w:tmpl w:val="CFAA5800"/>
    <w:lvl w:ilvl="0" w:tplc="E0E4455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029541EC"/>
    <w:multiLevelType w:val="hybridMultilevel"/>
    <w:tmpl w:val="D30049E4"/>
    <w:lvl w:ilvl="0" w:tplc="26FAC118">
      <w:start w:val="1"/>
      <w:numFmt w:val="decimal"/>
      <w:lvlText w:val="%1)"/>
      <w:lvlJc w:val="left"/>
      <w:pPr>
        <w:ind w:left="360" w:hanging="360"/>
      </w:pPr>
      <w:rPr>
        <w:rFonts w:ascii="Verdana" w:eastAsia="DejaVu Sans" w:hAnsi="Verdana" w:cs="Lohit Hind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0B4A4B7F"/>
    <w:multiLevelType w:val="hybridMultilevel"/>
    <w:tmpl w:val="768A1ABE"/>
    <w:lvl w:ilvl="0" w:tplc="4A9EEA3A">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0E7B36BF"/>
    <w:multiLevelType w:val="hybridMultilevel"/>
    <w:tmpl w:val="AE3CBDC6"/>
    <w:lvl w:ilvl="0" w:tplc="E0E4455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0F5609EE"/>
    <w:multiLevelType w:val="hybridMultilevel"/>
    <w:tmpl w:val="5A20E04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112E4088"/>
    <w:multiLevelType w:val="hybridMultilevel"/>
    <w:tmpl w:val="5F50DD0C"/>
    <w:lvl w:ilvl="0" w:tplc="8482163C">
      <w:start w:val="1"/>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16E33C5E"/>
    <w:multiLevelType w:val="hybridMultilevel"/>
    <w:tmpl w:val="9F2A9ABC"/>
    <w:lvl w:ilvl="0" w:tplc="A3101ECA">
      <w:start w:val="1"/>
      <w:numFmt w:val="decimal"/>
      <w:lvlText w:val="%1."/>
      <w:lvlJc w:val="left"/>
      <w:pPr>
        <w:ind w:left="360" w:hanging="360"/>
      </w:pPr>
      <w:rPr>
        <w:rFonts w:ascii="Verdana" w:hAnsi="Verdana" w:hint="default"/>
        <w:sz w:val="18"/>
        <w:szCs w:val="18"/>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1AD10683"/>
    <w:multiLevelType w:val="hybridMultilevel"/>
    <w:tmpl w:val="A3A685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1EAC9BF5"/>
    <w:multiLevelType w:val="multilevel"/>
    <w:tmpl w:val="B237C07E"/>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93FBCB"/>
    <w:multiLevelType w:val="multilevel"/>
    <w:tmpl w:val="D400FA22"/>
    <w:lvl w:ilvl="0">
      <w:start w:val="1"/>
      <w:numFmt w:val="decimal"/>
      <w:lvlText w:val="%1."/>
      <w:lvlJc w:val="left"/>
      <w:pPr>
        <w:ind w:left="28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2B71AC"/>
    <w:multiLevelType w:val="hybridMultilevel"/>
    <w:tmpl w:val="3A948A84"/>
    <w:lvl w:ilvl="0" w:tplc="3E4C3D76">
      <w:numFmt w:val="bullet"/>
      <w:lvlText w:val="-"/>
      <w:lvlJc w:val="left"/>
      <w:pPr>
        <w:ind w:left="360" w:hanging="360"/>
      </w:pPr>
      <w:rPr>
        <w:rFonts w:ascii="Calibri" w:eastAsiaTheme="minorHAns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3A8669FD"/>
    <w:multiLevelType w:val="hybridMultilevel"/>
    <w:tmpl w:val="D438077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nsid w:val="3E976E7F"/>
    <w:multiLevelType w:val="hybridMultilevel"/>
    <w:tmpl w:val="96C8F0EE"/>
    <w:lvl w:ilvl="0" w:tplc="6502984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07A21B9"/>
    <w:multiLevelType w:val="multilevel"/>
    <w:tmpl w:val="05FF5F1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FC02A8"/>
    <w:multiLevelType w:val="hybridMultilevel"/>
    <w:tmpl w:val="307C5D9C"/>
    <w:lvl w:ilvl="0" w:tplc="F8907220">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46421577"/>
    <w:multiLevelType w:val="hybridMultilevel"/>
    <w:tmpl w:val="42D8E57E"/>
    <w:lvl w:ilvl="0" w:tplc="F8907220">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499474BC"/>
    <w:multiLevelType w:val="hybridMultilevel"/>
    <w:tmpl w:val="081444C4"/>
    <w:lvl w:ilvl="0" w:tplc="6C66FAB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B4E37AE"/>
    <w:multiLevelType w:val="hybridMultilevel"/>
    <w:tmpl w:val="F7D0ABC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4C2F5FD9"/>
    <w:multiLevelType w:val="hybridMultilevel"/>
    <w:tmpl w:val="ABC05BB2"/>
    <w:lvl w:ilvl="0" w:tplc="15CA345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8F207C1"/>
    <w:multiLevelType w:val="hybridMultilevel"/>
    <w:tmpl w:val="3C12C986"/>
    <w:lvl w:ilvl="0" w:tplc="F890722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5FE17ACB"/>
    <w:multiLevelType w:val="hybridMultilevel"/>
    <w:tmpl w:val="AF5864A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07D6B49"/>
    <w:multiLevelType w:val="hybridMultilevel"/>
    <w:tmpl w:val="F2B83844"/>
    <w:lvl w:ilvl="0" w:tplc="5942CA9A">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60A3271F"/>
    <w:multiLevelType w:val="hybridMultilevel"/>
    <w:tmpl w:val="AF5864A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23F5D3B"/>
    <w:multiLevelType w:val="hybridMultilevel"/>
    <w:tmpl w:val="DD3C0660"/>
    <w:lvl w:ilvl="0" w:tplc="7284AFAC">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62A51A8D"/>
    <w:multiLevelType w:val="hybridMultilevel"/>
    <w:tmpl w:val="A300C3FA"/>
    <w:lvl w:ilvl="0" w:tplc="3BACB7C6">
      <w:start w:val="2017"/>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nsid w:val="6A395E75"/>
    <w:multiLevelType w:val="hybridMultilevel"/>
    <w:tmpl w:val="FA60C792"/>
    <w:lvl w:ilvl="0" w:tplc="15CA345C">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nsid w:val="6ACC711A"/>
    <w:multiLevelType w:val="hybridMultilevel"/>
    <w:tmpl w:val="A406EA16"/>
    <w:lvl w:ilvl="0" w:tplc="15CA345C">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nsid w:val="7064B86B"/>
    <w:multiLevelType w:val="multilevel"/>
    <w:tmpl w:val="54FD93C4"/>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776E0D"/>
    <w:multiLevelType w:val="multilevel"/>
    <w:tmpl w:val="3E7B7B6F"/>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E06741"/>
    <w:multiLevelType w:val="hybridMultilevel"/>
    <w:tmpl w:val="D14CCECC"/>
    <w:lvl w:ilvl="0" w:tplc="E0E4455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nsid w:val="79F80045"/>
    <w:multiLevelType w:val="hybridMultilevel"/>
    <w:tmpl w:val="CF187096"/>
    <w:lvl w:ilvl="0" w:tplc="F890722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nsid w:val="7A224F2F"/>
    <w:multiLevelType w:val="hybridMultilevel"/>
    <w:tmpl w:val="2BB065F4"/>
    <w:lvl w:ilvl="0" w:tplc="E5E8AE02">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nsid w:val="7D1464B2"/>
    <w:multiLevelType w:val="multilevel"/>
    <w:tmpl w:val="7DEF0342"/>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3"/>
  </w:num>
  <w:num w:numId="3">
    <w:abstractNumId w:val="37"/>
  </w:num>
  <w:num w:numId="4">
    <w:abstractNumId w:val="1"/>
  </w:num>
  <w:num w:numId="5">
    <w:abstractNumId w:val="3"/>
  </w:num>
  <w:num w:numId="6">
    <w:abstractNumId w:val="32"/>
  </w:num>
  <w:num w:numId="7">
    <w:abstractNumId w:val="4"/>
  </w:num>
  <w:num w:numId="8">
    <w:abstractNumId w:val="2"/>
  </w:num>
  <w:num w:numId="9">
    <w:abstractNumId w:val="18"/>
  </w:num>
  <w:num w:numId="10">
    <w:abstractNumId w:val="13"/>
  </w:num>
  <w:num w:numId="11">
    <w:abstractNumId w:val="14"/>
  </w:num>
  <w:num w:numId="12">
    <w:abstractNumId w:val="8"/>
  </w:num>
  <w:num w:numId="13">
    <w:abstractNumId w:val="7"/>
  </w:num>
  <w:num w:numId="14">
    <w:abstractNumId w:val="22"/>
  </w:num>
  <w:num w:numId="15">
    <w:abstractNumId w:val="6"/>
  </w:num>
  <w:num w:numId="16">
    <w:abstractNumId w:val="5"/>
  </w:num>
  <w:num w:numId="17">
    <w:abstractNumId w:val="34"/>
  </w:num>
  <w:num w:numId="18">
    <w:abstractNumId w:val="26"/>
  </w:num>
  <w:num w:numId="19">
    <w:abstractNumId w:val="17"/>
  </w:num>
  <w:num w:numId="20">
    <w:abstractNumId w:val="30"/>
  </w:num>
  <w:num w:numId="21">
    <w:abstractNumId w:val="36"/>
  </w:num>
  <w:num w:numId="22">
    <w:abstractNumId w:val="21"/>
  </w:num>
  <w:num w:numId="23">
    <w:abstractNumId w:val="35"/>
  </w:num>
  <w:num w:numId="24">
    <w:abstractNumId w:val="29"/>
  </w:num>
  <w:num w:numId="25">
    <w:abstractNumId w:val="19"/>
  </w:num>
  <w:num w:numId="26">
    <w:abstractNumId w:val="10"/>
  </w:num>
  <w:num w:numId="27">
    <w:abstractNumId w:val="15"/>
  </w:num>
  <w:num w:numId="28">
    <w:abstractNumId w:val="25"/>
  </w:num>
  <w:num w:numId="29">
    <w:abstractNumId w:val="12"/>
  </w:num>
  <w:num w:numId="30">
    <w:abstractNumId w:val="16"/>
  </w:num>
  <w:num w:numId="31">
    <w:abstractNumId w:val="9"/>
  </w:num>
  <w:num w:numId="32">
    <w:abstractNumId w:val="28"/>
  </w:num>
  <w:num w:numId="33">
    <w:abstractNumId w:val="24"/>
  </w:num>
  <w:num w:numId="34">
    <w:abstractNumId w:val="27"/>
  </w:num>
  <w:num w:numId="35">
    <w:abstractNumId w:val="20"/>
  </w:num>
  <w:num w:numId="36">
    <w:abstractNumId w:val="31"/>
  </w:num>
  <w:num w:numId="37">
    <w:abstractNumId w:val="11"/>
  </w:num>
  <w:num w:numId="38">
    <w:abstractNumId w:val="23"/>
  </w:num>
  <w:num w:numId="39">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1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1C7"/>
    <w:rsid w:val="00001160"/>
    <w:rsid w:val="00017BDC"/>
    <w:rsid w:val="00021333"/>
    <w:rsid w:val="000273C0"/>
    <w:rsid w:val="00027F65"/>
    <w:rsid w:val="00030FC7"/>
    <w:rsid w:val="00032A9C"/>
    <w:rsid w:val="00050156"/>
    <w:rsid w:val="00052003"/>
    <w:rsid w:val="000552D7"/>
    <w:rsid w:val="00060AA1"/>
    <w:rsid w:val="00073F57"/>
    <w:rsid w:val="00082C1A"/>
    <w:rsid w:val="00086056"/>
    <w:rsid w:val="000A0FF5"/>
    <w:rsid w:val="000A419B"/>
    <w:rsid w:val="000A7D52"/>
    <w:rsid w:val="000B0131"/>
    <w:rsid w:val="000B7539"/>
    <w:rsid w:val="000C0AFF"/>
    <w:rsid w:val="000C29E8"/>
    <w:rsid w:val="000E268D"/>
    <w:rsid w:val="000E45EC"/>
    <w:rsid w:val="000E6476"/>
    <w:rsid w:val="00102CB5"/>
    <w:rsid w:val="001169A8"/>
    <w:rsid w:val="00123E1F"/>
    <w:rsid w:val="00124290"/>
    <w:rsid w:val="0013023C"/>
    <w:rsid w:val="00133789"/>
    <w:rsid w:val="00140E17"/>
    <w:rsid w:val="0014656A"/>
    <w:rsid w:val="001507C5"/>
    <w:rsid w:val="001539D2"/>
    <w:rsid w:val="00153C5A"/>
    <w:rsid w:val="001573F7"/>
    <w:rsid w:val="00161FE3"/>
    <w:rsid w:val="0017089D"/>
    <w:rsid w:val="0018106F"/>
    <w:rsid w:val="001845C7"/>
    <w:rsid w:val="001870C7"/>
    <w:rsid w:val="00193873"/>
    <w:rsid w:val="00194E07"/>
    <w:rsid w:val="00196360"/>
    <w:rsid w:val="001A1585"/>
    <w:rsid w:val="001A3B06"/>
    <w:rsid w:val="001A6C66"/>
    <w:rsid w:val="001B0641"/>
    <w:rsid w:val="001B7106"/>
    <w:rsid w:val="001C19B1"/>
    <w:rsid w:val="001C4413"/>
    <w:rsid w:val="001D0AD6"/>
    <w:rsid w:val="001D4AA1"/>
    <w:rsid w:val="001D6E56"/>
    <w:rsid w:val="001E21E4"/>
    <w:rsid w:val="001E26C0"/>
    <w:rsid w:val="001E4895"/>
    <w:rsid w:val="001E5227"/>
    <w:rsid w:val="001E7C05"/>
    <w:rsid w:val="001F11E5"/>
    <w:rsid w:val="001F336F"/>
    <w:rsid w:val="001F616F"/>
    <w:rsid w:val="001F75BF"/>
    <w:rsid w:val="00206BEF"/>
    <w:rsid w:val="002074FB"/>
    <w:rsid w:val="002077DF"/>
    <w:rsid w:val="0021632B"/>
    <w:rsid w:val="002219B6"/>
    <w:rsid w:val="002237F9"/>
    <w:rsid w:val="00224458"/>
    <w:rsid w:val="0022627F"/>
    <w:rsid w:val="00226A3B"/>
    <w:rsid w:val="00232C20"/>
    <w:rsid w:val="0023406F"/>
    <w:rsid w:val="00243765"/>
    <w:rsid w:val="00243DDE"/>
    <w:rsid w:val="0025159F"/>
    <w:rsid w:val="002558F4"/>
    <w:rsid w:val="002572A3"/>
    <w:rsid w:val="00265697"/>
    <w:rsid w:val="00277F98"/>
    <w:rsid w:val="002854BE"/>
    <w:rsid w:val="00294560"/>
    <w:rsid w:val="00297C11"/>
    <w:rsid w:val="002B006F"/>
    <w:rsid w:val="002B501A"/>
    <w:rsid w:val="002B55B4"/>
    <w:rsid w:val="002B5E22"/>
    <w:rsid w:val="002C25D7"/>
    <w:rsid w:val="002C37F6"/>
    <w:rsid w:val="002C5C97"/>
    <w:rsid w:val="002D0CC7"/>
    <w:rsid w:val="002D18BB"/>
    <w:rsid w:val="002D45E7"/>
    <w:rsid w:val="002D7109"/>
    <w:rsid w:val="002E6FA5"/>
    <w:rsid w:val="002E7A4D"/>
    <w:rsid w:val="002F347A"/>
    <w:rsid w:val="002F7A5E"/>
    <w:rsid w:val="003036A6"/>
    <w:rsid w:val="003044A4"/>
    <w:rsid w:val="00307637"/>
    <w:rsid w:val="003117FE"/>
    <w:rsid w:val="003133C7"/>
    <w:rsid w:val="003403D7"/>
    <w:rsid w:val="00342B3F"/>
    <w:rsid w:val="00350EB2"/>
    <w:rsid w:val="003552BE"/>
    <w:rsid w:val="0035555D"/>
    <w:rsid w:val="0036337B"/>
    <w:rsid w:val="00363875"/>
    <w:rsid w:val="00371D0D"/>
    <w:rsid w:val="0038294E"/>
    <w:rsid w:val="00392C13"/>
    <w:rsid w:val="0039625C"/>
    <w:rsid w:val="003A03A1"/>
    <w:rsid w:val="003A480D"/>
    <w:rsid w:val="003A544C"/>
    <w:rsid w:val="003A7199"/>
    <w:rsid w:val="003A7838"/>
    <w:rsid w:val="003B1966"/>
    <w:rsid w:val="003B4D29"/>
    <w:rsid w:val="003C0988"/>
    <w:rsid w:val="003C1F2E"/>
    <w:rsid w:val="003C3FBC"/>
    <w:rsid w:val="003D1786"/>
    <w:rsid w:val="003D4B8D"/>
    <w:rsid w:val="003D4D16"/>
    <w:rsid w:val="003D6015"/>
    <w:rsid w:val="003D76D5"/>
    <w:rsid w:val="003E0144"/>
    <w:rsid w:val="003F7C4D"/>
    <w:rsid w:val="00410528"/>
    <w:rsid w:val="00411C3B"/>
    <w:rsid w:val="00414221"/>
    <w:rsid w:val="00414ECE"/>
    <w:rsid w:val="004151BA"/>
    <w:rsid w:val="004152C1"/>
    <w:rsid w:val="00423B9C"/>
    <w:rsid w:val="0043353D"/>
    <w:rsid w:val="0043398C"/>
    <w:rsid w:val="004355B1"/>
    <w:rsid w:val="004360F1"/>
    <w:rsid w:val="00436B70"/>
    <w:rsid w:val="00437274"/>
    <w:rsid w:val="00444A2B"/>
    <w:rsid w:val="00445F62"/>
    <w:rsid w:val="00446036"/>
    <w:rsid w:val="004547FF"/>
    <w:rsid w:val="0046182A"/>
    <w:rsid w:val="00465ED9"/>
    <w:rsid w:val="00474378"/>
    <w:rsid w:val="00480AF9"/>
    <w:rsid w:val="0048148E"/>
    <w:rsid w:val="0048391D"/>
    <w:rsid w:val="00490320"/>
    <w:rsid w:val="00490CE7"/>
    <w:rsid w:val="00497BEE"/>
    <w:rsid w:val="004A595D"/>
    <w:rsid w:val="004B03DA"/>
    <w:rsid w:val="004B5770"/>
    <w:rsid w:val="004C04E4"/>
    <w:rsid w:val="004C2014"/>
    <w:rsid w:val="004C4F2F"/>
    <w:rsid w:val="004C7E02"/>
    <w:rsid w:val="004D1385"/>
    <w:rsid w:val="004D16C0"/>
    <w:rsid w:val="004D3CFD"/>
    <w:rsid w:val="004D71B6"/>
    <w:rsid w:val="004E2943"/>
    <w:rsid w:val="004E2EFC"/>
    <w:rsid w:val="004E6FC0"/>
    <w:rsid w:val="004E75ED"/>
    <w:rsid w:val="004F0D29"/>
    <w:rsid w:val="004F60A0"/>
    <w:rsid w:val="00503AFF"/>
    <w:rsid w:val="0050522E"/>
    <w:rsid w:val="00506200"/>
    <w:rsid w:val="005158E3"/>
    <w:rsid w:val="00526223"/>
    <w:rsid w:val="005279F4"/>
    <w:rsid w:val="00533E41"/>
    <w:rsid w:val="005348BC"/>
    <w:rsid w:val="00535BAD"/>
    <w:rsid w:val="00544EAE"/>
    <w:rsid w:val="005452EC"/>
    <w:rsid w:val="00547EE6"/>
    <w:rsid w:val="00560054"/>
    <w:rsid w:val="00562877"/>
    <w:rsid w:val="00563749"/>
    <w:rsid w:val="00567A98"/>
    <w:rsid w:val="005710A8"/>
    <w:rsid w:val="00571FA8"/>
    <w:rsid w:val="0057618C"/>
    <w:rsid w:val="005777E7"/>
    <w:rsid w:val="00577FF4"/>
    <w:rsid w:val="00583F44"/>
    <w:rsid w:val="00586367"/>
    <w:rsid w:val="005924AE"/>
    <w:rsid w:val="005B3523"/>
    <w:rsid w:val="005B445C"/>
    <w:rsid w:val="005B6173"/>
    <w:rsid w:val="005B7EFD"/>
    <w:rsid w:val="005C56DC"/>
    <w:rsid w:val="005D2173"/>
    <w:rsid w:val="005D2387"/>
    <w:rsid w:val="005E0ABF"/>
    <w:rsid w:val="005E7D22"/>
    <w:rsid w:val="005F3EF5"/>
    <w:rsid w:val="005F53F3"/>
    <w:rsid w:val="005F65DE"/>
    <w:rsid w:val="005F781F"/>
    <w:rsid w:val="005F7E2D"/>
    <w:rsid w:val="006026B8"/>
    <w:rsid w:val="00602DE0"/>
    <w:rsid w:val="00615178"/>
    <w:rsid w:val="00624921"/>
    <w:rsid w:val="00625D4A"/>
    <w:rsid w:val="00625ECF"/>
    <w:rsid w:val="0063170B"/>
    <w:rsid w:val="00633569"/>
    <w:rsid w:val="006339B4"/>
    <w:rsid w:val="006367F4"/>
    <w:rsid w:val="00637F24"/>
    <w:rsid w:val="00641A18"/>
    <w:rsid w:val="006461B0"/>
    <w:rsid w:val="00650BEC"/>
    <w:rsid w:val="00662F54"/>
    <w:rsid w:val="0066356E"/>
    <w:rsid w:val="00667311"/>
    <w:rsid w:val="0067457C"/>
    <w:rsid w:val="006771B9"/>
    <w:rsid w:val="006820BC"/>
    <w:rsid w:val="0068400A"/>
    <w:rsid w:val="006A3B61"/>
    <w:rsid w:val="006B1083"/>
    <w:rsid w:val="006B1800"/>
    <w:rsid w:val="006B1B7A"/>
    <w:rsid w:val="006B234B"/>
    <w:rsid w:val="006B3933"/>
    <w:rsid w:val="006B3FDC"/>
    <w:rsid w:val="006B7F75"/>
    <w:rsid w:val="006C2896"/>
    <w:rsid w:val="006C29A0"/>
    <w:rsid w:val="006C6E02"/>
    <w:rsid w:val="006E0D51"/>
    <w:rsid w:val="006E3E90"/>
    <w:rsid w:val="006E7425"/>
    <w:rsid w:val="006E752D"/>
    <w:rsid w:val="006E7EF9"/>
    <w:rsid w:val="006F025F"/>
    <w:rsid w:val="006F3A13"/>
    <w:rsid w:val="007017E7"/>
    <w:rsid w:val="00707775"/>
    <w:rsid w:val="00707DCE"/>
    <w:rsid w:val="00712B70"/>
    <w:rsid w:val="007133C0"/>
    <w:rsid w:val="00721078"/>
    <w:rsid w:val="00721E20"/>
    <w:rsid w:val="00733389"/>
    <w:rsid w:val="00734660"/>
    <w:rsid w:val="00737522"/>
    <w:rsid w:val="00740063"/>
    <w:rsid w:val="00740918"/>
    <w:rsid w:val="007416E6"/>
    <w:rsid w:val="00742EF8"/>
    <w:rsid w:val="00755E54"/>
    <w:rsid w:val="00761F0D"/>
    <w:rsid w:val="0076460A"/>
    <w:rsid w:val="00772104"/>
    <w:rsid w:val="00772D4A"/>
    <w:rsid w:val="00772FE9"/>
    <w:rsid w:val="00775CF9"/>
    <w:rsid w:val="00776621"/>
    <w:rsid w:val="00785BD4"/>
    <w:rsid w:val="0079267B"/>
    <w:rsid w:val="007977B7"/>
    <w:rsid w:val="007A0C86"/>
    <w:rsid w:val="007A792B"/>
    <w:rsid w:val="007B63A3"/>
    <w:rsid w:val="007C009E"/>
    <w:rsid w:val="007C7791"/>
    <w:rsid w:val="007C7EBA"/>
    <w:rsid w:val="007D64E3"/>
    <w:rsid w:val="007E0DBE"/>
    <w:rsid w:val="007E38D7"/>
    <w:rsid w:val="007E4B58"/>
    <w:rsid w:val="007F10EB"/>
    <w:rsid w:val="007F1392"/>
    <w:rsid w:val="007F1781"/>
    <w:rsid w:val="007F1D05"/>
    <w:rsid w:val="007F4D40"/>
    <w:rsid w:val="00800930"/>
    <w:rsid w:val="00802C96"/>
    <w:rsid w:val="0081257B"/>
    <w:rsid w:val="008168BA"/>
    <w:rsid w:val="00826D6F"/>
    <w:rsid w:val="0083186C"/>
    <w:rsid w:val="00834C4B"/>
    <w:rsid w:val="0084160B"/>
    <w:rsid w:val="00872581"/>
    <w:rsid w:val="00887A9D"/>
    <w:rsid w:val="00890840"/>
    <w:rsid w:val="008927A3"/>
    <w:rsid w:val="00893095"/>
    <w:rsid w:val="0089566A"/>
    <w:rsid w:val="008A01DD"/>
    <w:rsid w:val="008A5C2C"/>
    <w:rsid w:val="008A5EBF"/>
    <w:rsid w:val="008B0719"/>
    <w:rsid w:val="008B19ED"/>
    <w:rsid w:val="008C21D6"/>
    <w:rsid w:val="008D709D"/>
    <w:rsid w:val="008D72E4"/>
    <w:rsid w:val="008D7978"/>
    <w:rsid w:val="008E1BE9"/>
    <w:rsid w:val="008E59A0"/>
    <w:rsid w:val="008E6DE1"/>
    <w:rsid w:val="008E7CBC"/>
    <w:rsid w:val="008F1361"/>
    <w:rsid w:val="008F5E4E"/>
    <w:rsid w:val="00900191"/>
    <w:rsid w:val="009018F2"/>
    <w:rsid w:val="009115A9"/>
    <w:rsid w:val="00914A19"/>
    <w:rsid w:val="00916238"/>
    <w:rsid w:val="00920A31"/>
    <w:rsid w:val="00925EE5"/>
    <w:rsid w:val="009306C8"/>
    <w:rsid w:val="00930EB7"/>
    <w:rsid w:val="00930FE2"/>
    <w:rsid w:val="00932BB7"/>
    <w:rsid w:val="00933974"/>
    <w:rsid w:val="00935EDF"/>
    <w:rsid w:val="009360B6"/>
    <w:rsid w:val="00941473"/>
    <w:rsid w:val="009458C1"/>
    <w:rsid w:val="00946484"/>
    <w:rsid w:val="0095189E"/>
    <w:rsid w:val="00955173"/>
    <w:rsid w:val="00955C97"/>
    <w:rsid w:val="009625FE"/>
    <w:rsid w:val="00963786"/>
    <w:rsid w:val="009669E5"/>
    <w:rsid w:val="00972BE4"/>
    <w:rsid w:val="009765FB"/>
    <w:rsid w:val="00980D7A"/>
    <w:rsid w:val="0098118E"/>
    <w:rsid w:val="00986715"/>
    <w:rsid w:val="00992671"/>
    <w:rsid w:val="009A1EDB"/>
    <w:rsid w:val="009B6692"/>
    <w:rsid w:val="009B7958"/>
    <w:rsid w:val="009C313D"/>
    <w:rsid w:val="009D12B9"/>
    <w:rsid w:val="009E14E2"/>
    <w:rsid w:val="009E4241"/>
    <w:rsid w:val="009E4B84"/>
    <w:rsid w:val="009E5A37"/>
    <w:rsid w:val="009F043A"/>
    <w:rsid w:val="009F0E79"/>
    <w:rsid w:val="009F11DA"/>
    <w:rsid w:val="00A04553"/>
    <w:rsid w:val="00A0799E"/>
    <w:rsid w:val="00A12418"/>
    <w:rsid w:val="00A166B3"/>
    <w:rsid w:val="00A16DE9"/>
    <w:rsid w:val="00A350E0"/>
    <w:rsid w:val="00A3595F"/>
    <w:rsid w:val="00A40BBF"/>
    <w:rsid w:val="00A43112"/>
    <w:rsid w:val="00A455B0"/>
    <w:rsid w:val="00A51549"/>
    <w:rsid w:val="00A5664E"/>
    <w:rsid w:val="00A6098E"/>
    <w:rsid w:val="00A66F16"/>
    <w:rsid w:val="00A67290"/>
    <w:rsid w:val="00A67ED6"/>
    <w:rsid w:val="00A76CEE"/>
    <w:rsid w:val="00A82AD5"/>
    <w:rsid w:val="00A85EE8"/>
    <w:rsid w:val="00A90A56"/>
    <w:rsid w:val="00A90C1C"/>
    <w:rsid w:val="00A90E78"/>
    <w:rsid w:val="00A9202C"/>
    <w:rsid w:val="00A93937"/>
    <w:rsid w:val="00AA1AA3"/>
    <w:rsid w:val="00AA5770"/>
    <w:rsid w:val="00AA7DC4"/>
    <w:rsid w:val="00AB0789"/>
    <w:rsid w:val="00AB5C43"/>
    <w:rsid w:val="00AB696B"/>
    <w:rsid w:val="00AD14A5"/>
    <w:rsid w:val="00AD1553"/>
    <w:rsid w:val="00AD3E4B"/>
    <w:rsid w:val="00AD4B67"/>
    <w:rsid w:val="00AD7D39"/>
    <w:rsid w:val="00AE2D02"/>
    <w:rsid w:val="00AE47B0"/>
    <w:rsid w:val="00AE671F"/>
    <w:rsid w:val="00AE7A7B"/>
    <w:rsid w:val="00AF1AEC"/>
    <w:rsid w:val="00AF2F65"/>
    <w:rsid w:val="00AF505D"/>
    <w:rsid w:val="00AF6829"/>
    <w:rsid w:val="00B02935"/>
    <w:rsid w:val="00B048EC"/>
    <w:rsid w:val="00B11D8A"/>
    <w:rsid w:val="00B20268"/>
    <w:rsid w:val="00B2490C"/>
    <w:rsid w:val="00B31600"/>
    <w:rsid w:val="00B4637F"/>
    <w:rsid w:val="00B54414"/>
    <w:rsid w:val="00B545D1"/>
    <w:rsid w:val="00B568F9"/>
    <w:rsid w:val="00B5697C"/>
    <w:rsid w:val="00B62CFA"/>
    <w:rsid w:val="00B63319"/>
    <w:rsid w:val="00B662D7"/>
    <w:rsid w:val="00B705FD"/>
    <w:rsid w:val="00B708EE"/>
    <w:rsid w:val="00B71BAD"/>
    <w:rsid w:val="00B77114"/>
    <w:rsid w:val="00B7724A"/>
    <w:rsid w:val="00B80B62"/>
    <w:rsid w:val="00B80C55"/>
    <w:rsid w:val="00B81658"/>
    <w:rsid w:val="00B81D41"/>
    <w:rsid w:val="00B822F8"/>
    <w:rsid w:val="00B825E6"/>
    <w:rsid w:val="00B82A0A"/>
    <w:rsid w:val="00B8380A"/>
    <w:rsid w:val="00B9011E"/>
    <w:rsid w:val="00B904C6"/>
    <w:rsid w:val="00B9107E"/>
    <w:rsid w:val="00B92167"/>
    <w:rsid w:val="00B9656E"/>
    <w:rsid w:val="00B96F0A"/>
    <w:rsid w:val="00BA7F2F"/>
    <w:rsid w:val="00BC1535"/>
    <w:rsid w:val="00BC1A92"/>
    <w:rsid w:val="00BC1C25"/>
    <w:rsid w:val="00BD0951"/>
    <w:rsid w:val="00BD0AF5"/>
    <w:rsid w:val="00BD190E"/>
    <w:rsid w:val="00BD3955"/>
    <w:rsid w:val="00BF6C75"/>
    <w:rsid w:val="00BF6E56"/>
    <w:rsid w:val="00C17317"/>
    <w:rsid w:val="00C21AEB"/>
    <w:rsid w:val="00C27DE0"/>
    <w:rsid w:val="00C4012A"/>
    <w:rsid w:val="00C53185"/>
    <w:rsid w:val="00C8001E"/>
    <w:rsid w:val="00C82DFB"/>
    <w:rsid w:val="00C835B3"/>
    <w:rsid w:val="00C83FD3"/>
    <w:rsid w:val="00C93563"/>
    <w:rsid w:val="00C95327"/>
    <w:rsid w:val="00CA34B1"/>
    <w:rsid w:val="00CA7811"/>
    <w:rsid w:val="00CB189C"/>
    <w:rsid w:val="00CB25FA"/>
    <w:rsid w:val="00CB338D"/>
    <w:rsid w:val="00CB73E9"/>
    <w:rsid w:val="00CD12C3"/>
    <w:rsid w:val="00CD1414"/>
    <w:rsid w:val="00CD26CE"/>
    <w:rsid w:val="00CD4A52"/>
    <w:rsid w:val="00CD4ECA"/>
    <w:rsid w:val="00CD64A8"/>
    <w:rsid w:val="00CE2BD8"/>
    <w:rsid w:val="00CE7AD6"/>
    <w:rsid w:val="00CF3E27"/>
    <w:rsid w:val="00CF492D"/>
    <w:rsid w:val="00CF5772"/>
    <w:rsid w:val="00CF7424"/>
    <w:rsid w:val="00D12ECC"/>
    <w:rsid w:val="00D21E79"/>
    <w:rsid w:val="00D226F2"/>
    <w:rsid w:val="00D2309F"/>
    <w:rsid w:val="00D2395A"/>
    <w:rsid w:val="00D263D0"/>
    <w:rsid w:val="00D30F32"/>
    <w:rsid w:val="00D329DE"/>
    <w:rsid w:val="00D332A2"/>
    <w:rsid w:val="00D3334D"/>
    <w:rsid w:val="00D4151C"/>
    <w:rsid w:val="00D44E73"/>
    <w:rsid w:val="00D637E9"/>
    <w:rsid w:val="00D71BD0"/>
    <w:rsid w:val="00D72DB1"/>
    <w:rsid w:val="00D758EA"/>
    <w:rsid w:val="00D95AB1"/>
    <w:rsid w:val="00DA3731"/>
    <w:rsid w:val="00DA7387"/>
    <w:rsid w:val="00DB0446"/>
    <w:rsid w:val="00DB2EBF"/>
    <w:rsid w:val="00DB31D1"/>
    <w:rsid w:val="00DB333A"/>
    <w:rsid w:val="00DB4185"/>
    <w:rsid w:val="00DB750B"/>
    <w:rsid w:val="00DC2BD7"/>
    <w:rsid w:val="00DC2BF3"/>
    <w:rsid w:val="00DC7DD9"/>
    <w:rsid w:val="00DD3F55"/>
    <w:rsid w:val="00DD654E"/>
    <w:rsid w:val="00DD7D3E"/>
    <w:rsid w:val="00DE380E"/>
    <w:rsid w:val="00DF53AD"/>
    <w:rsid w:val="00DF60F2"/>
    <w:rsid w:val="00DF6FBC"/>
    <w:rsid w:val="00E01B5A"/>
    <w:rsid w:val="00E12E2B"/>
    <w:rsid w:val="00E13DEA"/>
    <w:rsid w:val="00E14006"/>
    <w:rsid w:val="00E167AD"/>
    <w:rsid w:val="00E17430"/>
    <w:rsid w:val="00E26C62"/>
    <w:rsid w:val="00E26D76"/>
    <w:rsid w:val="00E30FC7"/>
    <w:rsid w:val="00E33085"/>
    <w:rsid w:val="00E341C7"/>
    <w:rsid w:val="00E427D7"/>
    <w:rsid w:val="00E43021"/>
    <w:rsid w:val="00E43837"/>
    <w:rsid w:val="00E43AD3"/>
    <w:rsid w:val="00E46688"/>
    <w:rsid w:val="00E542B4"/>
    <w:rsid w:val="00E63A7C"/>
    <w:rsid w:val="00E72D9D"/>
    <w:rsid w:val="00E74BF7"/>
    <w:rsid w:val="00E76389"/>
    <w:rsid w:val="00E80424"/>
    <w:rsid w:val="00E81BB5"/>
    <w:rsid w:val="00E828E9"/>
    <w:rsid w:val="00E87EF8"/>
    <w:rsid w:val="00E90EE9"/>
    <w:rsid w:val="00E930E4"/>
    <w:rsid w:val="00E94D22"/>
    <w:rsid w:val="00EA51B2"/>
    <w:rsid w:val="00EA59A1"/>
    <w:rsid w:val="00EA59C1"/>
    <w:rsid w:val="00EB030D"/>
    <w:rsid w:val="00EB2CF6"/>
    <w:rsid w:val="00EC6EEC"/>
    <w:rsid w:val="00ED014E"/>
    <w:rsid w:val="00ED6BA4"/>
    <w:rsid w:val="00ED7351"/>
    <w:rsid w:val="00ED7375"/>
    <w:rsid w:val="00EE4D63"/>
    <w:rsid w:val="00EE6437"/>
    <w:rsid w:val="00F00B82"/>
    <w:rsid w:val="00F01E07"/>
    <w:rsid w:val="00F03A94"/>
    <w:rsid w:val="00F10165"/>
    <w:rsid w:val="00F10C0F"/>
    <w:rsid w:val="00F15C0C"/>
    <w:rsid w:val="00F20C06"/>
    <w:rsid w:val="00F22AEC"/>
    <w:rsid w:val="00F2337A"/>
    <w:rsid w:val="00F32D08"/>
    <w:rsid w:val="00F331C7"/>
    <w:rsid w:val="00F40B34"/>
    <w:rsid w:val="00F45CCD"/>
    <w:rsid w:val="00F46E83"/>
    <w:rsid w:val="00F46FE2"/>
    <w:rsid w:val="00F473E9"/>
    <w:rsid w:val="00F55B88"/>
    <w:rsid w:val="00F627C7"/>
    <w:rsid w:val="00F67C00"/>
    <w:rsid w:val="00F712F3"/>
    <w:rsid w:val="00F71646"/>
    <w:rsid w:val="00F76F2A"/>
    <w:rsid w:val="00F776EF"/>
    <w:rsid w:val="00F823EA"/>
    <w:rsid w:val="00F9343B"/>
    <w:rsid w:val="00F95866"/>
    <w:rsid w:val="00F95E70"/>
    <w:rsid w:val="00F975A4"/>
    <w:rsid w:val="00FA0898"/>
    <w:rsid w:val="00FA1133"/>
    <w:rsid w:val="00FA766C"/>
    <w:rsid w:val="00FB4A2D"/>
    <w:rsid w:val="00FC27ED"/>
    <w:rsid w:val="00FD1D0E"/>
    <w:rsid w:val="00FD3842"/>
    <w:rsid w:val="00FD6C23"/>
    <w:rsid w:val="00FE2578"/>
    <w:rsid w:val="00FE3827"/>
    <w:rsid w:val="00FE7609"/>
    <w:rsid w:val="00FF1D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5"/>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E341C7"/>
    <w:rPr>
      <w:rFonts w:ascii="Tahoma" w:hAnsi="Tahoma" w:cs="Tahoma"/>
      <w:sz w:val="16"/>
      <w:szCs w:val="16"/>
    </w:rPr>
  </w:style>
  <w:style w:type="character" w:customStyle="1" w:styleId="BallontekstChar">
    <w:name w:val="Ballontekst Char"/>
    <w:basedOn w:val="Standaardalinea-lettertype"/>
    <w:link w:val="Ballontekst"/>
    <w:uiPriority w:val="99"/>
    <w:semiHidden/>
    <w:rsid w:val="00E341C7"/>
    <w:rPr>
      <w:rFonts w:ascii="Tahoma" w:hAnsi="Tahoma" w:cs="Tahoma"/>
      <w:color w:val="000000"/>
      <w:sz w:val="16"/>
      <w:szCs w:val="16"/>
    </w:rPr>
  </w:style>
  <w:style w:type="paragraph" w:styleId="Koptekst">
    <w:name w:val="header"/>
    <w:basedOn w:val="Standaard"/>
    <w:link w:val="KoptekstChar"/>
    <w:uiPriority w:val="99"/>
    <w:unhideWhenUsed/>
    <w:rsid w:val="00E341C7"/>
    <w:pPr>
      <w:tabs>
        <w:tab w:val="center" w:pos="4536"/>
        <w:tab w:val="right" w:pos="9072"/>
      </w:tabs>
    </w:pPr>
  </w:style>
  <w:style w:type="character" w:customStyle="1" w:styleId="KoptekstChar">
    <w:name w:val="Koptekst Char"/>
    <w:basedOn w:val="Standaardalinea-lettertype"/>
    <w:link w:val="Koptekst"/>
    <w:uiPriority w:val="99"/>
    <w:rsid w:val="00E341C7"/>
    <w:rPr>
      <w:rFonts w:ascii="Verdana" w:hAnsi="Verdana"/>
      <w:color w:val="000000"/>
      <w:sz w:val="18"/>
      <w:szCs w:val="18"/>
    </w:rPr>
  </w:style>
  <w:style w:type="paragraph" w:styleId="Voettekst">
    <w:name w:val="footer"/>
    <w:basedOn w:val="Standaard"/>
    <w:link w:val="VoettekstChar"/>
    <w:uiPriority w:val="99"/>
    <w:unhideWhenUsed/>
    <w:rsid w:val="00E341C7"/>
    <w:pPr>
      <w:tabs>
        <w:tab w:val="center" w:pos="4536"/>
        <w:tab w:val="right" w:pos="9072"/>
      </w:tabs>
    </w:pPr>
  </w:style>
  <w:style w:type="character" w:customStyle="1" w:styleId="VoettekstChar">
    <w:name w:val="Voettekst Char"/>
    <w:basedOn w:val="Standaardalinea-lettertype"/>
    <w:link w:val="Voettekst"/>
    <w:uiPriority w:val="99"/>
    <w:rsid w:val="00E341C7"/>
    <w:rPr>
      <w:rFonts w:ascii="Verdana" w:hAnsi="Verdana"/>
      <w:color w:val="000000"/>
      <w:sz w:val="18"/>
      <w:szCs w:val="18"/>
    </w:rPr>
  </w:style>
  <w:style w:type="paragraph" w:styleId="Lijstalinea">
    <w:name w:val="List Paragraph"/>
    <w:basedOn w:val="Standaard"/>
    <w:uiPriority w:val="34"/>
    <w:qFormat/>
    <w:rsid w:val="00E341C7"/>
    <w:pPr>
      <w:autoSpaceDN/>
      <w:ind w:left="720"/>
      <w:contextualSpacing/>
      <w:textAlignment w:val="auto"/>
    </w:pPr>
    <w:rPr>
      <w:rFonts w:ascii="Times New Roman" w:eastAsia="Times New Roman" w:hAnsi="Times New Roman" w:cs="Times New Roman"/>
      <w:color w:val="auto"/>
      <w:sz w:val="24"/>
      <w:szCs w:val="24"/>
    </w:rPr>
  </w:style>
  <w:style w:type="paragraph" w:styleId="Voetnoottekst">
    <w:name w:val="footnote text"/>
    <w:aliases w:val="Char"/>
    <w:basedOn w:val="Standaard"/>
    <w:link w:val="VoetnoottekstChar"/>
    <w:unhideWhenUsed/>
    <w:rsid w:val="009115A9"/>
    <w:rPr>
      <w:sz w:val="20"/>
      <w:szCs w:val="20"/>
    </w:rPr>
  </w:style>
  <w:style w:type="character" w:customStyle="1" w:styleId="VoetnoottekstChar">
    <w:name w:val="Voetnoottekst Char"/>
    <w:aliases w:val="Char Char"/>
    <w:basedOn w:val="Standaardalinea-lettertype"/>
    <w:link w:val="Voetnoottekst"/>
    <w:rsid w:val="009115A9"/>
    <w:rPr>
      <w:rFonts w:ascii="Verdana" w:hAnsi="Verdana"/>
      <w:color w:val="000000"/>
    </w:rPr>
  </w:style>
  <w:style w:type="character" w:styleId="Voetnootmarkering">
    <w:name w:val="footnote reference"/>
    <w:aliases w:val="ftref,16 Point,Superscript 6 Point,fr,(NECG) Footnote Reference,Ref,de nota al pie,footnote ref,Footnote Reference Number,Footnote Ref in FtNote,BVI fnr,Référence pied de page,Superscript 6 Point + 11 pt,Char Char2 Char Char"/>
    <w:basedOn w:val="Standaardalinea-lettertype"/>
    <w:unhideWhenUsed/>
    <w:rsid w:val="009115A9"/>
    <w:rPr>
      <w:vertAlign w:val="superscript"/>
    </w:rPr>
  </w:style>
  <w:style w:type="character" w:styleId="Hyperlink">
    <w:name w:val="Hyperlink"/>
    <w:basedOn w:val="Standaardalinea-lettertype"/>
    <w:unhideWhenUsed/>
    <w:rsid w:val="009115A9"/>
    <w:rPr>
      <w:color w:val="0000FF" w:themeColor="hyperlink"/>
      <w:u w:val="single"/>
    </w:rPr>
  </w:style>
  <w:style w:type="character" w:styleId="GevolgdeHyperlink">
    <w:name w:val="FollowedHyperlink"/>
    <w:basedOn w:val="Standaardalinea-lettertype"/>
    <w:uiPriority w:val="99"/>
    <w:semiHidden/>
    <w:unhideWhenUsed/>
    <w:rsid w:val="004C04E4"/>
    <w:rPr>
      <w:color w:val="800080" w:themeColor="followedHyperlink"/>
      <w:u w:val="single"/>
    </w:rPr>
  </w:style>
  <w:style w:type="paragraph" w:styleId="Geenafstand">
    <w:name w:val="No Spacing"/>
    <w:uiPriority w:val="1"/>
    <w:qFormat/>
    <w:rsid w:val="00AF505D"/>
    <w:rPr>
      <w:rFonts w:ascii="Verdana" w:hAnsi="Verdana"/>
      <w:color w:val="000000"/>
      <w:sz w:val="18"/>
      <w:szCs w:val="18"/>
    </w:rPr>
  </w:style>
  <w:style w:type="table" w:styleId="Tabelraster">
    <w:name w:val="Table Grid"/>
    <w:basedOn w:val="Standaardtabel"/>
    <w:rsid w:val="00A92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E2EFC"/>
    <w:rPr>
      <w:sz w:val="16"/>
      <w:szCs w:val="16"/>
    </w:rPr>
  </w:style>
  <w:style w:type="paragraph" w:styleId="Tekstopmerking">
    <w:name w:val="annotation text"/>
    <w:basedOn w:val="Standaard"/>
    <w:link w:val="TekstopmerkingChar"/>
    <w:uiPriority w:val="99"/>
    <w:semiHidden/>
    <w:unhideWhenUsed/>
    <w:rsid w:val="004E2EFC"/>
    <w:rPr>
      <w:sz w:val="20"/>
      <w:szCs w:val="20"/>
    </w:rPr>
  </w:style>
  <w:style w:type="character" w:customStyle="1" w:styleId="TekstopmerkingChar">
    <w:name w:val="Tekst opmerking Char"/>
    <w:basedOn w:val="Standaardalinea-lettertype"/>
    <w:link w:val="Tekstopmerking"/>
    <w:uiPriority w:val="99"/>
    <w:semiHidden/>
    <w:rsid w:val="004E2EF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E2EFC"/>
    <w:rPr>
      <w:b/>
      <w:bCs/>
    </w:rPr>
  </w:style>
  <w:style w:type="character" w:customStyle="1" w:styleId="OnderwerpvanopmerkingChar">
    <w:name w:val="Onderwerp van opmerking Char"/>
    <w:basedOn w:val="TekstopmerkingChar"/>
    <w:link w:val="Onderwerpvanopmerking"/>
    <w:uiPriority w:val="99"/>
    <w:semiHidden/>
    <w:rsid w:val="004E2EFC"/>
    <w:rPr>
      <w:rFonts w:ascii="Verdana" w:hAnsi="Verdana"/>
      <w:b/>
      <w:bCs/>
      <w:color w:val="000000"/>
    </w:rPr>
  </w:style>
  <w:style w:type="character" w:customStyle="1" w:styleId="tgc">
    <w:name w:val="_tgc"/>
    <w:basedOn w:val="Standaardalinea-lettertype"/>
    <w:rsid w:val="009360B6"/>
  </w:style>
  <w:style w:type="paragraph" w:customStyle="1" w:styleId="Default">
    <w:name w:val="Default"/>
    <w:rsid w:val="00FD1D0E"/>
    <w:pPr>
      <w:autoSpaceDE w:val="0"/>
      <w:adjustRightInd w:val="0"/>
      <w:textAlignment w:val="auto"/>
    </w:pPr>
    <w:rPr>
      <w:rFonts w:ascii="MMNPG J+ Univers" w:hAnsi="MMNPG J+ Univers" w:cs="MMNPG J+ Univer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5"/>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E341C7"/>
    <w:rPr>
      <w:rFonts w:ascii="Tahoma" w:hAnsi="Tahoma" w:cs="Tahoma"/>
      <w:sz w:val="16"/>
      <w:szCs w:val="16"/>
    </w:rPr>
  </w:style>
  <w:style w:type="character" w:customStyle="1" w:styleId="BallontekstChar">
    <w:name w:val="Ballontekst Char"/>
    <w:basedOn w:val="Standaardalinea-lettertype"/>
    <w:link w:val="Ballontekst"/>
    <w:uiPriority w:val="99"/>
    <w:semiHidden/>
    <w:rsid w:val="00E341C7"/>
    <w:rPr>
      <w:rFonts w:ascii="Tahoma" w:hAnsi="Tahoma" w:cs="Tahoma"/>
      <w:color w:val="000000"/>
      <w:sz w:val="16"/>
      <w:szCs w:val="16"/>
    </w:rPr>
  </w:style>
  <w:style w:type="paragraph" w:styleId="Koptekst">
    <w:name w:val="header"/>
    <w:basedOn w:val="Standaard"/>
    <w:link w:val="KoptekstChar"/>
    <w:uiPriority w:val="99"/>
    <w:unhideWhenUsed/>
    <w:rsid w:val="00E341C7"/>
    <w:pPr>
      <w:tabs>
        <w:tab w:val="center" w:pos="4536"/>
        <w:tab w:val="right" w:pos="9072"/>
      </w:tabs>
    </w:pPr>
  </w:style>
  <w:style w:type="character" w:customStyle="1" w:styleId="KoptekstChar">
    <w:name w:val="Koptekst Char"/>
    <w:basedOn w:val="Standaardalinea-lettertype"/>
    <w:link w:val="Koptekst"/>
    <w:uiPriority w:val="99"/>
    <w:rsid w:val="00E341C7"/>
    <w:rPr>
      <w:rFonts w:ascii="Verdana" w:hAnsi="Verdana"/>
      <w:color w:val="000000"/>
      <w:sz w:val="18"/>
      <w:szCs w:val="18"/>
    </w:rPr>
  </w:style>
  <w:style w:type="paragraph" w:styleId="Voettekst">
    <w:name w:val="footer"/>
    <w:basedOn w:val="Standaard"/>
    <w:link w:val="VoettekstChar"/>
    <w:uiPriority w:val="99"/>
    <w:unhideWhenUsed/>
    <w:rsid w:val="00E341C7"/>
    <w:pPr>
      <w:tabs>
        <w:tab w:val="center" w:pos="4536"/>
        <w:tab w:val="right" w:pos="9072"/>
      </w:tabs>
    </w:pPr>
  </w:style>
  <w:style w:type="character" w:customStyle="1" w:styleId="VoettekstChar">
    <w:name w:val="Voettekst Char"/>
    <w:basedOn w:val="Standaardalinea-lettertype"/>
    <w:link w:val="Voettekst"/>
    <w:uiPriority w:val="99"/>
    <w:rsid w:val="00E341C7"/>
    <w:rPr>
      <w:rFonts w:ascii="Verdana" w:hAnsi="Verdana"/>
      <w:color w:val="000000"/>
      <w:sz w:val="18"/>
      <w:szCs w:val="18"/>
    </w:rPr>
  </w:style>
  <w:style w:type="paragraph" w:styleId="Lijstalinea">
    <w:name w:val="List Paragraph"/>
    <w:basedOn w:val="Standaard"/>
    <w:uiPriority w:val="34"/>
    <w:qFormat/>
    <w:rsid w:val="00E341C7"/>
    <w:pPr>
      <w:autoSpaceDN/>
      <w:ind w:left="720"/>
      <w:contextualSpacing/>
      <w:textAlignment w:val="auto"/>
    </w:pPr>
    <w:rPr>
      <w:rFonts w:ascii="Times New Roman" w:eastAsia="Times New Roman" w:hAnsi="Times New Roman" w:cs="Times New Roman"/>
      <w:color w:val="auto"/>
      <w:sz w:val="24"/>
      <w:szCs w:val="24"/>
    </w:rPr>
  </w:style>
  <w:style w:type="paragraph" w:styleId="Voetnoottekst">
    <w:name w:val="footnote text"/>
    <w:aliases w:val="Char"/>
    <w:basedOn w:val="Standaard"/>
    <w:link w:val="VoetnoottekstChar"/>
    <w:unhideWhenUsed/>
    <w:rsid w:val="009115A9"/>
    <w:rPr>
      <w:sz w:val="20"/>
      <w:szCs w:val="20"/>
    </w:rPr>
  </w:style>
  <w:style w:type="character" w:customStyle="1" w:styleId="VoetnoottekstChar">
    <w:name w:val="Voetnoottekst Char"/>
    <w:aliases w:val="Char Char"/>
    <w:basedOn w:val="Standaardalinea-lettertype"/>
    <w:link w:val="Voetnoottekst"/>
    <w:rsid w:val="009115A9"/>
    <w:rPr>
      <w:rFonts w:ascii="Verdana" w:hAnsi="Verdana"/>
      <w:color w:val="000000"/>
    </w:rPr>
  </w:style>
  <w:style w:type="character" w:styleId="Voetnootmarkering">
    <w:name w:val="footnote reference"/>
    <w:aliases w:val="ftref,16 Point,Superscript 6 Point,fr,(NECG) Footnote Reference,Ref,de nota al pie,footnote ref,Footnote Reference Number,Footnote Ref in FtNote,BVI fnr,Référence pied de page,Superscript 6 Point + 11 pt,Char Char2 Char Char"/>
    <w:basedOn w:val="Standaardalinea-lettertype"/>
    <w:unhideWhenUsed/>
    <w:rsid w:val="009115A9"/>
    <w:rPr>
      <w:vertAlign w:val="superscript"/>
    </w:rPr>
  </w:style>
  <w:style w:type="character" w:styleId="Hyperlink">
    <w:name w:val="Hyperlink"/>
    <w:basedOn w:val="Standaardalinea-lettertype"/>
    <w:unhideWhenUsed/>
    <w:rsid w:val="009115A9"/>
    <w:rPr>
      <w:color w:val="0000FF" w:themeColor="hyperlink"/>
      <w:u w:val="single"/>
    </w:rPr>
  </w:style>
  <w:style w:type="character" w:styleId="GevolgdeHyperlink">
    <w:name w:val="FollowedHyperlink"/>
    <w:basedOn w:val="Standaardalinea-lettertype"/>
    <w:uiPriority w:val="99"/>
    <w:semiHidden/>
    <w:unhideWhenUsed/>
    <w:rsid w:val="004C04E4"/>
    <w:rPr>
      <w:color w:val="800080" w:themeColor="followedHyperlink"/>
      <w:u w:val="single"/>
    </w:rPr>
  </w:style>
  <w:style w:type="paragraph" w:styleId="Geenafstand">
    <w:name w:val="No Spacing"/>
    <w:uiPriority w:val="1"/>
    <w:qFormat/>
    <w:rsid w:val="00AF505D"/>
    <w:rPr>
      <w:rFonts w:ascii="Verdana" w:hAnsi="Verdana"/>
      <w:color w:val="000000"/>
      <w:sz w:val="18"/>
      <w:szCs w:val="18"/>
    </w:rPr>
  </w:style>
  <w:style w:type="table" w:styleId="Tabelraster">
    <w:name w:val="Table Grid"/>
    <w:basedOn w:val="Standaardtabel"/>
    <w:rsid w:val="00A92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E2EFC"/>
    <w:rPr>
      <w:sz w:val="16"/>
      <w:szCs w:val="16"/>
    </w:rPr>
  </w:style>
  <w:style w:type="paragraph" w:styleId="Tekstopmerking">
    <w:name w:val="annotation text"/>
    <w:basedOn w:val="Standaard"/>
    <w:link w:val="TekstopmerkingChar"/>
    <w:uiPriority w:val="99"/>
    <w:semiHidden/>
    <w:unhideWhenUsed/>
    <w:rsid w:val="004E2EFC"/>
    <w:rPr>
      <w:sz w:val="20"/>
      <w:szCs w:val="20"/>
    </w:rPr>
  </w:style>
  <w:style w:type="character" w:customStyle="1" w:styleId="TekstopmerkingChar">
    <w:name w:val="Tekst opmerking Char"/>
    <w:basedOn w:val="Standaardalinea-lettertype"/>
    <w:link w:val="Tekstopmerking"/>
    <w:uiPriority w:val="99"/>
    <w:semiHidden/>
    <w:rsid w:val="004E2EF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E2EFC"/>
    <w:rPr>
      <w:b/>
      <w:bCs/>
    </w:rPr>
  </w:style>
  <w:style w:type="character" w:customStyle="1" w:styleId="OnderwerpvanopmerkingChar">
    <w:name w:val="Onderwerp van opmerking Char"/>
    <w:basedOn w:val="TekstopmerkingChar"/>
    <w:link w:val="Onderwerpvanopmerking"/>
    <w:uiPriority w:val="99"/>
    <w:semiHidden/>
    <w:rsid w:val="004E2EFC"/>
    <w:rPr>
      <w:rFonts w:ascii="Verdana" w:hAnsi="Verdana"/>
      <w:b/>
      <w:bCs/>
      <w:color w:val="000000"/>
    </w:rPr>
  </w:style>
  <w:style w:type="character" w:customStyle="1" w:styleId="tgc">
    <w:name w:val="_tgc"/>
    <w:basedOn w:val="Standaardalinea-lettertype"/>
    <w:rsid w:val="009360B6"/>
  </w:style>
  <w:style w:type="paragraph" w:customStyle="1" w:styleId="Default">
    <w:name w:val="Default"/>
    <w:rsid w:val="00FD1D0E"/>
    <w:pPr>
      <w:autoSpaceDE w:val="0"/>
      <w:adjustRightInd w:val="0"/>
      <w:textAlignment w:val="auto"/>
    </w:pPr>
    <w:rPr>
      <w:rFonts w:ascii="MMNPG J+ Univers" w:hAnsi="MMNPG J+ Univers" w:cs="MMNPG J+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370189">
      <w:bodyDiv w:val="1"/>
      <w:marLeft w:val="0"/>
      <w:marRight w:val="0"/>
      <w:marTop w:val="0"/>
      <w:marBottom w:val="0"/>
      <w:divBdr>
        <w:top w:val="none" w:sz="0" w:space="0" w:color="auto"/>
        <w:left w:val="none" w:sz="0" w:space="0" w:color="auto"/>
        <w:bottom w:val="none" w:sz="0" w:space="0" w:color="auto"/>
        <w:right w:val="none" w:sz="0" w:space="0" w:color="auto"/>
      </w:divBdr>
    </w:div>
    <w:div w:id="1570578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3.png" Id="rId13" /><Relationship Type="http://schemas.openxmlformats.org/officeDocument/2006/relationships/hyperlink" Target="http://parlisweb/parlis/5c3687f1-cf4e-491d-98b5-ffd06f1439ec.pdf" TargetMode="Externa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parlisweb/parlis/747adce4-8b50-43af-8a90-0e6b93073baa.pdf" TargetMode="External" Id="rId12" /><Relationship Type="http://schemas.openxmlformats.org/officeDocument/2006/relationships/image" Target="media/image6.png" Id="rId17" /><Relationship Type="http://schemas.openxmlformats.org/officeDocument/2006/relationships/numbering" Target="numbering.xml" Id="rId2"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webSettings" Target="webSettings.xml" Id="rId6" /><Relationship Type="http://schemas.openxmlformats.org/officeDocument/2006/relationships/hyperlink" Target="http://parlisweb/parlis/f7a0be9b-5ae8-4c62-a888-fe716b3002ea.pdf" TargetMode="External" Id="rId11" /><Relationship Type="http://schemas.openxmlformats.org/officeDocument/2006/relationships/settings" Target="settings.xml" Id="rId5" /><Relationship Type="http://schemas.openxmlformats.org/officeDocument/2006/relationships/image" Target="media/image4.png" Id="rId15" /><Relationship Type="http://schemas.openxmlformats.org/officeDocument/2006/relationships/hyperlink" Target="http://parlisweb/parlis/f7a0be9b-5ae8-4c62-a888-fe716b3002ea.pdf" TargetMode="External" Id="rId10" /><Relationship Type="http://schemas.openxmlformats.org/officeDocument/2006/relationships/header" Target="header2.xml" Id="rId19"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hyperlink" Target="http://parlisweb/parlis/747adce4-8b50-43af-8a90-0e6b93073baa.pdf"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parlisweb/parlis/ec44400b-0596-43fd-9d16-03405273714b.pdf" TargetMode="External"/><Relationship Id="rId13" Type="http://schemas.openxmlformats.org/officeDocument/2006/relationships/hyperlink" Target="http://parlisweb/parlis/972156c8-0726-4fc7-8e5c-a012cce4f231.pdf" TargetMode="External"/><Relationship Id="rId3" Type="http://schemas.openxmlformats.org/officeDocument/2006/relationships/hyperlink" Target="http://parlisweb/parlis/ec44400b-0596-43fd-9d16-03405273714b.pdf" TargetMode="External"/><Relationship Id="rId7" Type="http://schemas.openxmlformats.org/officeDocument/2006/relationships/hyperlink" Target="http://parlisweb/parlis/41990d02-2e92-4756-b177-953a99d6a333.pdf" TargetMode="External"/><Relationship Id="rId12" Type="http://schemas.openxmlformats.org/officeDocument/2006/relationships/hyperlink" Target="http://parlisweb/parlis/747adce4-8b50-43af-8a90-0e6b93073baa.pdf" TargetMode="External"/><Relationship Id="rId2" Type="http://schemas.openxmlformats.org/officeDocument/2006/relationships/hyperlink" Target="http://parlisweb/parlis/besluit.aspx?id=da76b883-68ae-4e78-b897-bf0b361a2dcd" TargetMode="External"/><Relationship Id="rId1" Type="http://schemas.openxmlformats.org/officeDocument/2006/relationships/hyperlink" Target="http://parlisweb/parlis/6d30d5c7-54ec-4854-83ec-00a550adb0bc.pdf" TargetMode="External"/><Relationship Id="rId6" Type="http://schemas.openxmlformats.org/officeDocument/2006/relationships/hyperlink" Target="http://parlisweb/parlis/ec44400b-0596-43fd-9d16-03405273714b.pdf" TargetMode="External"/><Relationship Id="rId11" Type="http://schemas.openxmlformats.org/officeDocument/2006/relationships/hyperlink" Target="http://parlisweb/parlis/document.aspx?id=747adce4-8b50-43af-8a90-0e6b93073baa" TargetMode="External"/><Relationship Id="rId5" Type="http://schemas.openxmlformats.org/officeDocument/2006/relationships/hyperlink" Target="http://parlisweb/parlis/ec44400b-0596-43fd-9d16-03405273714b.pdf" TargetMode="External"/><Relationship Id="rId10" Type="http://schemas.openxmlformats.org/officeDocument/2006/relationships/hyperlink" Target="http://parlisweb/parlis/f12929ac-d456-4f08-a1e3-5c45c6861575.pdf" TargetMode="External"/><Relationship Id="rId4" Type="http://schemas.openxmlformats.org/officeDocument/2006/relationships/hyperlink" Target="http://parlisweb/parlis/ec44400b-0596-43fd-9d16-03405273714b.pdf" TargetMode="External"/><Relationship Id="rId9" Type="http://schemas.openxmlformats.org/officeDocument/2006/relationships/hyperlink" Target="http://parlisweb/parlis/6ee39969-5fab-4d4e-b1e7-be22620456d8.pdf" TargetMode="External"/><Relationship Id="rId14" Type="http://schemas.openxmlformats.org/officeDocument/2006/relationships/hyperlink" Target="http://parlisweb/parlis/ec44400b-0596-43fd-9d16-03405273714b.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m1104\AppData\Local\Microsoft\Windows\Temporary%20Internet%20Files\Content.IE5\94NQPECX\Stafnotitie%20Commiss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2596</ap:Words>
  <ap:Characters>14278</ap:Characters>
  <ap:DocSecurity>4</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2017-10-18T07:52:00.0000000Z</lastPrinted>
  <dcterms:created xsi:type="dcterms:W3CDTF">2017-10-19T09:04:00.0000000Z</dcterms:created>
  <dcterms:modified xsi:type="dcterms:W3CDTF">2017-10-19T09:04:00.0000000Z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0x010100D80532D4EB73DB45B42DC18C0674FFF5</vt:lpwstr>
  </property>
</Properties>
</file>