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356600" w:rsidR="003B00CB" w:rsidP="003B00CB" w:rsidRDefault="003B00CB">
      <w:pPr>
        <w:rPr>
          <w:rFonts w:asciiTheme="minorHAnsi" w:hAnsiTheme="minorHAnsi"/>
          <w:b/>
          <w:sz w:val="20"/>
          <w:szCs w:val="20"/>
        </w:rPr>
      </w:pPr>
      <w:bookmarkStart w:name="_GoBack" w:id="0"/>
      <w:bookmarkEnd w:id="0"/>
      <w:r w:rsidRPr="00356600">
        <w:rPr>
          <w:rFonts w:asciiTheme="minorHAnsi" w:hAnsiTheme="minorHAnsi"/>
          <w:b/>
          <w:sz w:val="20"/>
          <w:szCs w:val="20"/>
        </w:rPr>
        <w:t xml:space="preserve">Overzicht nieuw gepubliceerde EU-voorstellen </w:t>
      </w:r>
    </w:p>
    <w:p w:rsidRPr="00356600" w:rsidR="003B00CB" w:rsidP="003B00CB" w:rsidRDefault="003B00CB">
      <w:pPr>
        <w:rPr>
          <w:rFonts w:asciiTheme="minorHAnsi" w:hAnsiTheme="minorHAnsi"/>
          <w:sz w:val="20"/>
          <w:szCs w:val="20"/>
        </w:rPr>
      </w:pPr>
    </w:p>
    <w:p w:rsidRPr="005B10A2" w:rsidR="003B00CB" w:rsidP="003B00CB" w:rsidRDefault="003B00CB">
      <w:pPr>
        <w:rPr>
          <w:rFonts w:asciiTheme="minorHAnsi" w:hAnsiTheme="minorHAnsi"/>
          <w:sz w:val="20"/>
          <w:szCs w:val="20"/>
          <w:u w:val="single"/>
        </w:rPr>
      </w:pPr>
      <w:r w:rsidRPr="005B10A2">
        <w:rPr>
          <w:rFonts w:asciiTheme="minorHAnsi" w:hAnsiTheme="minorHAnsi"/>
          <w:sz w:val="20"/>
          <w:szCs w:val="20"/>
          <w:u w:val="single"/>
        </w:rPr>
        <w:t xml:space="preserve">Integraal overzicht met nieuw </w:t>
      </w:r>
      <w:r w:rsidRPr="00A21D8E">
        <w:rPr>
          <w:rFonts w:asciiTheme="minorHAnsi" w:hAnsiTheme="minorHAnsi"/>
          <w:sz w:val="20"/>
          <w:szCs w:val="20"/>
          <w:u w:val="single"/>
        </w:rPr>
        <w:t xml:space="preserve">gepubliceerde EU-voorstellen </w:t>
      </w:r>
      <w:r w:rsidRPr="00A21D8E" w:rsidR="00A21D8E">
        <w:rPr>
          <w:rFonts w:asciiTheme="minorHAnsi" w:hAnsiTheme="minorHAnsi"/>
          <w:sz w:val="20"/>
          <w:szCs w:val="20"/>
          <w:u w:val="single"/>
        </w:rPr>
        <w:t xml:space="preserve">van </w:t>
      </w:r>
      <w:r w:rsidR="00A21D8E">
        <w:rPr>
          <w:rFonts w:asciiTheme="minorHAnsi" w:hAnsiTheme="minorHAnsi"/>
          <w:sz w:val="20"/>
          <w:szCs w:val="20"/>
          <w:u w:val="single"/>
        </w:rPr>
        <w:t>26 september</w:t>
      </w:r>
      <w:r w:rsidRPr="00A21D8E" w:rsidR="00A21D8E">
        <w:rPr>
          <w:rFonts w:asciiTheme="minorHAnsi" w:hAnsiTheme="minorHAnsi"/>
          <w:sz w:val="20"/>
          <w:szCs w:val="20"/>
          <w:u w:val="single"/>
        </w:rPr>
        <w:t xml:space="preserve"> tot</w:t>
      </w:r>
      <w:r w:rsidRPr="00A21D8E" w:rsidR="00EF48F7">
        <w:rPr>
          <w:rFonts w:asciiTheme="minorHAnsi" w:hAnsiTheme="minorHAnsi"/>
          <w:sz w:val="20"/>
          <w:szCs w:val="20"/>
          <w:u w:val="single"/>
        </w:rPr>
        <w:t xml:space="preserve"> </w:t>
      </w:r>
      <w:r w:rsidRPr="00A21D8E" w:rsidR="00A21D8E">
        <w:rPr>
          <w:rFonts w:asciiTheme="minorHAnsi" w:hAnsiTheme="minorHAnsi"/>
          <w:sz w:val="20"/>
          <w:szCs w:val="20"/>
          <w:u w:val="single"/>
        </w:rPr>
        <w:t>10</w:t>
      </w:r>
      <w:r w:rsidRPr="00A21D8E" w:rsidR="0086251C">
        <w:rPr>
          <w:rFonts w:asciiTheme="minorHAnsi" w:hAnsiTheme="minorHAnsi"/>
          <w:sz w:val="20"/>
          <w:szCs w:val="20"/>
          <w:u w:val="single"/>
        </w:rPr>
        <w:t xml:space="preserve"> </w:t>
      </w:r>
      <w:r w:rsidRPr="00A21D8E" w:rsidR="00A21D8E">
        <w:rPr>
          <w:rFonts w:asciiTheme="minorHAnsi" w:hAnsiTheme="minorHAnsi"/>
          <w:sz w:val="20"/>
          <w:szCs w:val="20"/>
          <w:u w:val="single"/>
        </w:rPr>
        <w:t>oktober</w:t>
      </w:r>
      <w:r w:rsidRPr="00A21D8E" w:rsidR="009A7C48">
        <w:rPr>
          <w:rFonts w:asciiTheme="minorHAnsi" w:hAnsiTheme="minorHAnsi"/>
          <w:sz w:val="20"/>
          <w:szCs w:val="20"/>
          <w:u w:val="single"/>
        </w:rPr>
        <w:t xml:space="preserve"> </w:t>
      </w:r>
      <w:r w:rsidRPr="00A21D8E" w:rsidR="0027622B">
        <w:rPr>
          <w:rFonts w:asciiTheme="minorHAnsi" w:hAnsiTheme="minorHAnsi"/>
          <w:sz w:val="20"/>
          <w:szCs w:val="20"/>
          <w:u w:val="single"/>
        </w:rPr>
        <w:t>2017</w:t>
      </w:r>
      <w:r w:rsidRPr="00A21D8E">
        <w:rPr>
          <w:rFonts w:asciiTheme="minorHAnsi" w:hAnsiTheme="minorHAnsi"/>
          <w:sz w:val="20"/>
          <w:szCs w:val="20"/>
          <w:u w:val="single"/>
        </w:rPr>
        <w:t xml:space="preserve"> </w:t>
      </w:r>
      <w:r w:rsidRPr="00A21D8E" w:rsidR="00A21D8E">
        <w:rPr>
          <w:rFonts w:asciiTheme="minorHAnsi" w:hAnsiTheme="minorHAnsi"/>
          <w:sz w:val="20"/>
          <w:szCs w:val="20"/>
          <w:u w:val="single"/>
        </w:rPr>
        <w:t>- d</w:t>
      </w:r>
      <w:r w:rsidRPr="00A21D8E">
        <w:rPr>
          <w:rFonts w:asciiTheme="minorHAnsi" w:hAnsiTheme="minorHAnsi"/>
          <w:sz w:val="20"/>
          <w:szCs w:val="20"/>
          <w:u w:val="single"/>
        </w:rPr>
        <w:t xml:space="preserve">.d. </w:t>
      </w:r>
      <w:r w:rsidRPr="00A21D8E" w:rsidR="00A21D8E">
        <w:rPr>
          <w:rFonts w:asciiTheme="minorHAnsi" w:hAnsiTheme="minorHAnsi"/>
          <w:sz w:val="20"/>
          <w:szCs w:val="20"/>
          <w:u w:val="single"/>
        </w:rPr>
        <w:t>18</w:t>
      </w:r>
      <w:r w:rsidRPr="00A21D8E" w:rsidR="0067641B">
        <w:rPr>
          <w:rFonts w:asciiTheme="minorHAnsi" w:hAnsiTheme="minorHAnsi"/>
          <w:sz w:val="20"/>
          <w:szCs w:val="20"/>
          <w:u w:val="single"/>
        </w:rPr>
        <w:t xml:space="preserve"> oktober </w:t>
      </w:r>
      <w:r w:rsidRPr="00A21D8E" w:rsidR="0027622B">
        <w:rPr>
          <w:rFonts w:asciiTheme="minorHAnsi" w:hAnsiTheme="minorHAnsi"/>
          <w:sz w:val="20"/>
          <w:szCs w:val="20"/>
          <w:u w:val="single"/>
        </w:rPr>
        <w:t>2017</w:t>
      </w:r>
      <w:r w:rsidRPr="00A21D8E">
        <w:rPr>
          <w:rFonts w:asciiTheme="minorHAnsi" w:hAnsiTheme="minorHAnsi"/>
          <w:sz w:val="20"/>
          <w:szCs w:val="20"/>
          <w:u w:val="single"/>
        </w:rPr>
        <w:t>.</w:t>
      </w:r>
    </w:p>
    <w:p w:rsidRPr="00356600" w:rsidR="00AB22DA" w:rsidRDefault="005A03FF">
      <w:pPr>
        <w:rPr>
          <w:rFonts w:asciiTheme="minorHAnsi" w:hAnsiTheme="minorHAnsi"/>
          <w:sz w:val="20"/>
          <w:szCs w:val="20"/>
        </w:rPr>
      </w:pPr>
    </w:p>
    <w:tbl>
      <w:tblPr>
        <w:tblW w:w="14474"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1433"/>
        <w:gridCol w:w="709"/>
        <w:gridCol w:w="1559"/>
        <w:gridCol w:w="5386"/>
        <w:gridCol w:w="709"/>
        <w:gridCol w:w="992"/>
        <w:gridCol w:w="3686"/>
      </w:tblGrid>
      <w:tr w:rsidRPr="00356600" w:rsidR="003B00CB" w:rsidTr="009A7C48">
        <w:trPr>
          <w:trHeight w:val="1550"/>
        </w:trPr>
        <w:tc>
          <w:tcPr>
            <w:tcW w:w="1433" w:type="dxa"/>
            <w:shd w:val="clear" w:color="auto" w:fill="auto"/>
            <w:textDirection w:val="btLr"/>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Publicatie-</w:t>
            </w:r>
          </w:p>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datum</w:t>
            </w:r>
          </w:p>
        </w:tc>
        <w:tc>
          <w:tcPr>
            <w:tcW w:w="709" w:type="dxa"/>
            <w:shd w:val="clear" w:color="auto" w:fill="auto"/>
            <w:textDirection w:val="btLr"/>
            <w:vAlign w:val="bottom"/>
            <w:hideMark/>
          </w:tcPr>
          <w:p w:rsidRPr="009A7C48" w:rsidR="003B00CB" w:rsidP="005944B2" w:rsidRDefault="003B00CB">
            <w:pPr>
              <w:rPr>
                <w:rFonts w:asciiTheme="minorHAnsi" w:hAnsiTheme="minorHAnsi"/>
                <w:b/>
                <w:bCs/>
                <w:color w:val="000000"/>
                <w:sz w:val="20"/>
                <w:szCs w:val="20"/>
              </w:rPr>
            </w:pPr>
            <w:proofErr w:type="gramStart"/>
            <w:r w:rsidRPr="009A7C48">
              <w:rPr>
                <w:rFonts w:asciiTheme="minorHAnsi" w:hAnsiTheme="minorHAnsi"/>
                <w:b/>
                <w:bCs/>
                <w:color w:val="000000"/>
                <w:sz w:val="20"/>
                <w:szCs w:val="20"/>
              </w:rPr>
              <w:t>Voortouw</w:t>
            </w:r>
            <w:proofErr w:type="gramEnd"/>
          </w:p>
        </w:tc>
        <w:tc>
          <w:tcPr>
            <w:tcW w:w="1559" w:type="dxa"/>
            <w:shd w:val="clear" w:color="auto" w:fill="auto"/>
            <w:textDirection w:val="btLr"/>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Soort</w:t>
            </w:r>
          </w:p>
        </w:tc>
        <w:tc>
          <w:tcPr>
            <w:tcW w:w="5386" w:type="dxa"/>
            <w:shd w:val="clear" w:color="auto" w:fill="auto"/>
            <w:textDirection w:val="btLr"/>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Titel</w:t>
            </w:r>
          </w:p>
        </w:tc>
        <w:tc>
          <w:tcPr>
            <w:tcW w:w="709" w:type="dxa"/>
            <w:shd w:val="clear" w:color="auto" w:fill="auto"/>
            <w:textDirection w:val="btLr"/>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COM-nummer</w:t>
            </w:r>
          </w:p>
        </w:tc>
        <w:tc>
          <w:tcPr>
            <w:tcW w:w="992" w:type="dxa"/>
            <w:textDirection w:val="btLr"/>
          </w:tcPr>
          <w:p w:rsidRPr="009A7C48" w:rsidR="003B00CB" w:rsidP="005944B2" w:rsidRDefault="003B00CB">
            <w:pPr>
              <w:rPr>
                <w:rFonts w:asciiTheme="minorHAnsi" w:hAnsiTheme="minorHAnsi"/>
                <w:b/>
                <w:bCs/>
                <w:color w:val="000000"/>
                <w:sz w:val="20"/>
                <w:szCs w:val="20"/>
              </w:rPr>
            </w:pPr>
          </w:p>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Deadline</w:t>
            </w:r>
          </w:p>
          <w:p w:rsidRPr="009A7C48" w:rsidR="003B00CB" w:rsidP="005944B2" w:rsidRDefault="003B00CB">
            <w:pPr>
              <w:rPr>
                <w:rFonts w:asciiTheme="minorHAnsi" w:hAnsiTheme="minorHAnsi"/>
                <w:b/>
                <w:bCs/>
                <w:color w:val="000000"/>
                <w:sz w:val="20"/>
                <w:szCs w:val="20"/>
              </w:rPr>
            </w:pPr>
            <w:proofErr w:type="spellStart"/>
            <w:r w:rsidRPr="009A7C48">
              <w:rPr>
                <w:rFonts w:asciiTheme="minorHAnsi" w:hAnsiTheme="minorHAnsi"/>
                <w:b/>
                <w:bCs/>
                <w:color w:val="000000"/>
                <w:sz w:val="20"/>
                <w:szCs w:val="20"/>
              </w:rPr>
              <w:t>Sub.toets</w:t>
            </w:r>
            <w:proofErr w:type="spellEnd"/>
          </w:p>
        </w:tc>
        <w:tc>
          <w:tcPr>
            <w:tcW w:w="3686" w:type="dxa"/>
            <w:shd w:val="clear" w:color="auto" w:fill="auto"/>
            <w:textDirection w:val="btLr"/>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Opmerking</w:t>
            </w:r>
          </w:p>
        </w:tc>
      </w:tr>
      <w:tr w:rsidRPr="00356600" w:rsidR="003B00CB" w:rsidTr="009A7C48">
        <w:trPr>
          <w:trHeight w:val="300"/>
        </w:trPr>
        <w:tc>
          <w:tcPr>
            <w:tcW w:w="1433" w:type="dxa"/>
            <w:tcBorders>
              <w:bottom w:val="single" w:color="auto" w:sz="4" w:space="0"/>
            </w:tcBorders>
            <w:shd w:val="clear" w:color="000000" w:fill="538DD5"/>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 </w:t>
            </w:r>
          </w:p>
        </w:tc>
        <w:tc>
          <w:tcPr>
            <w:tcW w:w="709" w:type="dxa"/>
            <w:tcBorders>
              <w:bottom w:val="single" w:color="auto" w:sz="4" w:space="0"/>
            </w:tcBorders>
            <w:shd w:val="clear" w:color="000000" w:fill="538DD5"/>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 </w:t>
            </w:r>
          </w:p>
        </w:tc>
        <w:tc>
          <w:tcPr>
            <w:tcW w:w="1559" w:type="dxa"/>
            <w:tcBorders>
              <w:bottom w:val="single" w:color="auto" w:sz="4" w:space="0"/>
            </w:tcBorders>
            <w:shd w:val="clear" w:color="000000" w:fill="538DD5"/>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 </w:t>
            </w:r>
          </w:p>
        </w:tc>
        <w:tc>
          <w:tcPr>
            <w:tcW w:w="5386" w:type="dxa"/>
            <w:tcBorders>
              <w:bottom w:val="single" w:color="auto" w:sz="4" w:space="0"/>
            </w:tcBorders>
            <w:shd w:val="clear" w:color="000000" w:fill="538DD5"/>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 </w:t>
            </w:r>
          </w:p>
        </w:tc>
        <w:tc>
          <w:tcPr>
            <w:tcW w:w="709" w:type="dxa"/>
            <w:tcBorders>
              <w:bottom w:val="single" w:color="auto" w:sz="4" w:space="0"/>
            </w:tcBorders>
            <w:shd w:val="clear" w:color="000000" w:fill="538DD5"/>
            <w:vAlign w:val="bottom"/>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 </w:t>
            </w:r>
          </w:p>
        </w:tc>
        <w:tc>
          <w:tcPr>
            <w:tcW w:w="992" w:type="dxa"/>
            <w:tcBorders>
              <w:bottom w:val="single" w:color="auto" w:sz="4" w:space="0"/>
            </w:tcBorders>
            <w:shd w:val="clear" w:color="000000" w:fill="538DD5"/>
          </w:tcPr>
          <w:p w:rsidRPr="009A7C48" w:rsidR="003B00CB" w:rsidP="005944B2" w:rsidRDefault="003B00CB">
            <w:pPr>
              <w:rPr>
                <w:rFonts w:asciiTheme="minorHAnsi" w:hAnsiTheme="minorHAnsi"/>
                <w:b/>
                <w:bCs/>
                <w:color w:val="000000"/>
                <w:sz w:val="20"/>
                <w:szCs w:val="20"/>
              </w:rPr>
            </w:pPr>
          </w:p>
        </w:tc>
        <w:tc>
          <w:tcPr>
            <w:tcW w:w="3686" w:type="dxa"/>
            <w:tcBorders>
              <w:bottom w:val="single" w:color="auto" w:sz="4" w:space="0"/>
            </w:tcBorders>
            <w:shd w:val="clear" w:color="000000" w:fill="538DD5"/>
            <w:hideMark/>
          </w:tcPr>
          <w:p w:rsidRPr="009A7C48" w:rsidR="003B00CB" w:rsidP="005944B2" w:rsidRDefault="003B00CB">
            <w:pPr>
              <w:rPr>
                <w:rFonts w:asciiTheme="minorHAnsi" w:hAnsiTheme="minorHAnsi"/>
                <w:b/>
                <w:bCs/>
                <w:color w:val="000000"/>
                <w:sz w:val="20"/>
                <w:szCs w:val="20"/>
              </w:rPr>
            </w:pPr>
            <w:r w:rsidRPr="009A7C48">
              <w:rPr>
                <w:rFonts w:asciiTheme="minorHAnsi" w:hAnsiTheme="minorHAnsi"/>
                <w:b/>
                <w:bCs/>
                <w:color w:val="000000"/>
                <w:sz w:val="20"/>
                <w:szCs w:val="20"/>
              </w:rPr>
              <w:t> </w:t>
            </w:r>
          </w:p>
        </w:tc>
      </w:tr>
      <w:tr w:rsidRPr="006E261D" w:rsidR="006E261D" w:rsidTr="006E2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9"/>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6E261D" w:rsidP="006E261D" w:rsidRDefault="006E261D">
            <w:pPr>
              <w:rPr>
                <w:rFonts w:asciiTheme="minorHAnsi" w:hAnsiTheme="minorHAnsi"/>
                <w:color w:val="000000"/>
                <w:sz w:val="20"/>
                <w:szCs w:val="20"/>
              </w:rPr>
            </w:pPr>
            <w:r w:rsidRPr="0001331B">
              <w:rPr>
                <w:rFonts w:asciiTheme="minorHAnsi" w:hAnsiTheme="minorHAnsi"/>
                <w:color w:val="000000"/>
                <w:sz w:val="20"/>
                <w:szCs w:val="20"/>
              </w:rPr>
              <w:t>13-sep-17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01331B" w:rsidR="006E261D" w:rsidP="006E261D" w:rsidRDefault="006E261D">
            <w:pPr>
              <w:rPr>
                <w:rFonts w:asciiTheme="minorHAnsi" w:hAnsiTheme="minorHAnsi"/>
                <w:color w:val="000000"/>
                <w:sz w:val="20"/>
                <w:szCs w:val="20"/>
              </w:rPr>
            </w:pPr>
            <w:r w:rsidRPr="0001331B">
              <w:rPr>
                <w:rFonts w:asciiTheme="minorHAnsi" w:hAnsiTheme="minorHAnsi"/>
                <w:color w:val="000000"/>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01331B" w:rsidR="006E261D" w:rsidP="006E261D" w:rsidRDefault="006E261D">
            <w:pPr>
              <w:rPr>
                <w:rFonts w:asciiTheme="minorHAnsi" w:hAnsiTheme="minorHAnsi"/>
                <w:color w:val="000000"/>
                <w:sz w:val="20"/>
                <w:szCs w:val="20"/>
              </w:rPr>
            </w:pPr>
            <w:r w:rsidRPr="0001331B">
              <w:rPr>
                <w:rFonts w:asciiTheme="minorHAnsi" w:hAnsiTheme="minorHAnsi"/>
                <w:color w:val="000000"/>
                <w:sz w:val="20"/>
                <w:szCs w:val="20"/>
              </w:rPr>
              <w:t>mededeling</w:t>
            </w:r>
          </w:p>
        </w:tc>
        <w:tc>
          <w:tcPr>
            <w:tcW w:w="5386" w:type="dxa"/>
            <w:tcBorders>
              <w:top w:val="single" w:color="auto" w:sz="4" w:space="0"/>
              <w:left w:val="nil"/>
              <w:bottom w:val="single" w:color="auto" w:sz="4" w:space="0"/>
              <w:right w:val="nil"/>
            </w:tcBorders>
            <w:shd w:val="clear" w:color="auto" w:fill="FFFFFF" w:themeFill="background1"/>
            <w:noWrap/>
          </w:tcPr>
          <w:p w:rsidRPr="0001331B" w:rsidR="006E261D" w:rsidP="006E261D" w:rsidRDefault="009C2105">
            <w:pPr>
              <w:rPr>
                <w:rFonts w:asciiTheme="minorHAnsi" w:hAnsiTheme="minorHAnsi"/>
                <w:color w:val="000000"/>
                <w:sz w:val="20"/>
                <w:szCs w:val="20"/>
              </w:rPr>
            </w:pPr>
            <w:r w:rsidRPr="0001331B">
              <w:rPr>
                <w:rFonts w:asciiTheme="minorHAnsi" w:hAnsiTheme="minorHAnsi"/>
                <w:color w:val="000000"/>
                <w:sz w:val="20"/>
                <w:szCs w:val="20"/>
              </w:rPr>
              <w:t xml:space="preserve">COMMUNICATION FROM THE COMMISSION TO THE EUROPEAN PARLIAMENT, THE EUROPEAN COUNCIL, THE COUNCIL, THE EUROPEAN ECONOMIC AND SOCIAL COMMITTEE, THE COMMITTEE OF THE REGIONS AND THE EUROPEAN INVESTMENT BANK </w:t>
            </w:r>
            <w:proofErr w:type="spellStart"/>
            <w:r w:rsidRPr="0001331B">
              <w:rPr>
                <w:rFonts w:asciiTheme="minorHAnsi" w:hAnsiTheme="minorHAnsi"/>
                <w:color w:val="000000"/>
                <w:sz w:val="20"/>
                <w:szCs w:val="20"/>
              </w:rPr>
              <w:t>Investing</w:t>
            </w:r>
            <w:proofErr w:type="spellEnd"/>
            <w:r w:rsidRPr="0001331B">
              <w:rPr>
                <w:rFonts w:asciiTheme="minorHAnsi" w:hAnsiTheme="minorHAnsi"/>
                <w:color w:val="000000"/>
                <w:sz w:val="20"/>
                <w:szCs w:val="20"/>
              </w:rPr>
              <w:t xml:space="preserve"> in a smart, </w:t>
            </w:r>
            <w:proofErr w:type="spellStart"/>
            <w:r w:rsidRPr="0001331B">
              <w:rPr>
                <w:rFonts w:asciiTheme="minorHAnsi" w:hAnsiTheme="minorHAnsi"/>
                <w:color w:val="000000"/>
                <w:sz w:val="20"/>
                <w:szCs w:val="20"/>
              </w:rPr>
              <w:t>innovative</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and</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sustainable</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Industry</w:t>
            </w:r>
            <w:proofErr w:type="spellEnd"/>
            <w:r w:rsidRPr="0001331B">
              <w:rPr>
                <w:rFonts w:asciiTheme="minorHAnsi" w:hAnsiTheme="minorHAnsi"/>
                <w:color w:val="000000"/>
                <w:sz w:val="20"/>
                <w:szCs w:val="20"/>
              </w:rPr>
              <w:t xml:space="preserve"> A </w:t>
            </w:r>
            <w:proofErr w:type="spellStart"/>
            <w:proofErr w:type="gramStart"/>
            <w:r w:rsidRPr="0001331B">
              <w:rPr>
                <w:rFonts w:asciiTheme="minorHAnsi" w:hAnsiTheme="minorHAnsi"/>
                <w:color w:val="000000"/>
                <w:sz w:val="20"/>
                <w:szCs w:val="20"/>
              </w:rPr>
              <w:t>renewed</w:t>
            </w:r>
            <w:proofErr w:type="spellEnd"/>
            <w:proofErr w:type="gramEnd"/>
            <w:r w:rsidRPr="0001331B">
              <w:rPr>
                <w:rFonts w:asciiTheme="minorHAnsi" w:hAnsiTheme="minorHAnsi"/>
                <w:color w:val="000000"/>
                <w:sz w:val="20"/>
                <w:szCs w:val="20"/>
              </w:rPr>
              <w:t xml:space="preserve"> EU Industrial Policy </w:t>
            </w:r>
            <w:proofErr w:type="spellStart"/>
            <w:r w:rsidRPr="0001331B">
              <w:rPr>
                <w:rFonts w:asciiTheme="minorHAnsi" w:hAnsiTheme="minorHAnsi"/>
                <w:color w:val="000000"/>
                <w:sz w:val="20"/>
                <w:szCs w:val="20"/>
              </w:rPr>
              <w:t>Strategy</w:t>
            </w:r>
            <w:proofErr w:type="spellEnd"/>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6E261D" w:rsidP="006E261D" w:rsidRDefault="005A03FF">
            <w:pPr>
              <w:rPr>
                <w:rFonts w:asciiTheme="minorHAnsi" w:hAnsiTheme="minorHAnsi"/>
                <w:sz w:val="20"/>
                <w:szCs w:val="20"/>
              </w:rPr>
            </w:pPr>
            <w:hyperlink w:history="1" r:id="rId11">
              <w:r w:rsidRPr="0001331B" w:rsidR="009C2105">
                <w:rPr>
                  <w:rStyle w:val="Hyperlink"/>
                  <w:rFonts w:asciiTheme="minorHAnsi" w:hAnsiTheme="minorHAnsi"/>
                  <w:sz w:val="20"/>
                  <w:szCs w:val="20"/>
                </w:rPr>
                <w:t>479</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01331B" w:rsidR="006E261D" w:rsidP="006E261D" w:rsidRDefault="006E261D">
            <w:pPr>
              <w:rPr>
                <w:rFonts w:cs="Arial" w:asciiTheme="minorHAnsi" w:hAnsiTheme="minorHAnsi"/>
                <w:sz w:val="20"/>
                <w:szCs w:val="20"/>
              </w:rPr>
            </w:pPr>
            <w:r w:rsidRPr="0001331B">
              <w:rPr>
                <w:rFonts w:cs="Arial" w:asciiTheme="minorHAnsi" w:hAnsiTheme="minorHAnsi"/>
                <w:sz w:val="20"/>
                <w:szCs w:val="20"/>
              </w:rPr>
              <w:t> </w:t>
            </w:r>
          </w:p>
        </w:tc>
        <w:tc>
          <w:tcPr>
            <w:tcW w:w="3686" w:type="dxa"/>
            <w:tcBorders>
              <w:top w:val="single" w:color="auto" w:sz="4" w:space="0"/>
              <w:left w:val="nil"/>
              <w:bottom w:val="single" w:color="auto" w:sz="4" w:space="0"/>
              <w:right w:val="single" w:color="auto" w:sz="4" w:space="0"/>
            </w:tcBorders>
            <w:shd w:val="clear" w:color="auto" w:fill="FFFFFF" w:themeFill="background1"/>
          </w:tcPr>
          <w:p w:rsidRPr="0001331B" w:rsidR="006E261D" w:rsidP="0050503E" w:rsidRDefault="0001331B">
            <w:pPr>
              <w:rPr>
                <w:rFonts w:asciiTheme="minorHAnsi" w:hAnsiTheme="minorHAnsi"/>
                <w:sz w:val="20"/>
                <w:szCs w:val="20"/>
              </w:rPr>
            </w:pPr>
            <w:r>
              <w:rPr>
                <w:rFonts w:asciiTheme="minorHAnsi" w:hAnsiTheme="minorHAnsi"/>
                <w:sz w:val="20"/>
                <w:szCs w:val="20"/>
              </w:rPr>
              <w:t xml:space="preserve">De Kamer </w:t>
            </w:r>
            <w:r w:rsidR="0050503E">
              <w:rPr>
                <w:rFonts w:asciiTheme="minorHAnsi" w:hAnsiTheme="minorHAnsi"/>
                <w:sz w:val="20"/>
                <w:szCs w:val="20"/>
              </w:rPr>
              <w:t>zal</w:t>
            </w:r>
            <w:r>
              <w:rPr>
                <w:rFonts w:asciiTheme="minorHAnsi" w:hAnsiTheme="minorHAnsi"/>
                <w:sz w:val="20"/>
                <w:szCs w:val="20"/>
              </w:rPr>
              <w:t xml:space="preserve"> een BNC-fiche</w:t>
            </w:r>
            <w:r w:rsidR="0050503E">
              <w:rPr>
                <w:rFonts w:asciiTheme="minorHAnsi" w:hAnsiTheme="minorHAnsi"/>
                <w:sz w:val="20"/>
                <w:szCs w:val="20"/>
              </w:rPr>
              <w:t xml:space="preserve"> ontvangen</w:t>
            </w:r>
            <w:r>
              <w:rPr>
                <w:rFonts w:asciiTheme="minorHAnsi" w:hAnsiTheme="minorHAnsi"/>
                <w:sz w:val="20"/>
                <w:szCs w:val="20"/>
              </w:rPr>
              <w:t xml:space="preserve">. </w:t>
            </w:r>
            <w:r w:rsidR="0050503E">
              <w:rPr>
                <w:rFonts w:asciiTheme="minorHAnsi" w:hAnsiTheme="minorHAnsi"/>
                <w:sz w:val="20"/>
                <w:szCs w:val="20"/>
              </w:rPr>
              <w:t xml:space="preserve">Voorstel: BNC-fiche afwachten. </w:t>
            </w:r>
          </w:p>
        </w:tc>
      </w:tr>
      <w:tr w:rsidRPr="006E261D" w:rsidR="006E261D" w:rsidTr="006E2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9"/>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6E261D" w:rsidP="006E261D" w:rsidRDefault="009C2105">
            <w:pPr>
              <w:rPr>
                <w:rFonts w:asciiTheme="minorHAnsi" w:hAnsiTheme="minorHAnsi"/>
                <w:color w:val="000000"/>
                <w:sz w:val="20"/>
                <w:szCs w:val="20"/>
              </w:rPr>
            </w:pPr>
            <w:r w:rsidRPr="0001331B">
              <w:rPr>
                <w:rFonts w:asciiTheme="minorHAnsi" w:hAnsiTheme="minorHAnsi"/>
                <w:color w:val="000000"/>
                <w:sz w:val="20"/>
                <w:szCs w:val="20"/>
              </w:rPr>
              <w:t>13</w:t>
            </w:r>
            <w:r w:rsidRPr="0001331B" w:rsidR="006E261D">
              <w:rPr>
                <w:rFonts w:asciiTheme="minorHAnsi" w:hAnsiTheme="minorHAnsi"/>
                <w:color w:val="000000"/>
                <w:sz w:val="20"/>
                <w:szCs w:val="20"/>
              </w:rPr>
              <w:t>-sep-17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01331B" w:rsidR="006E261D" w:rsidP="006E261D" w:rsidRDefault="006E261D">
            <w:pPr>
              <w:rPr>
                <w:rFonts w:asciiTheme="minorHAnsi" w:hAnsiTheme="minorHAnsi"/>
                <w:color w:val="000000"/>
                <w:sz w:val="20"/>
                <w:szCs w:val="20"/>
              </w:rPr>
            </w:pPr>
            <w:r w:rsidRPr="0001331B">
              <w:rPr>
                <w:rFonts w:asciiTheme="minorHAnsi" w:hAnsiTheme="minorHAnsi"/>
                <w:color w:val="000000"/>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01331B" w:rsidR="006E261D" w:rsidP="006E261D" w:rsidRDefault="009C2105">
            <w:pPr>
              <w:rPr>
                <w:rFonts w:asciiTheme="minorHAnsi" w:hAnsiTheme="minorHAnsi"/>
                <w:color w:val="000000"/>
                <w:sz w:val="20"/>
                <w:szCs w:val="20"/>
              </w:rPr>
            </w:pPr>
            <w:r w:rsidRPr="0001331B">
              <w:rPr>
                <w:rFonts w:asciiTheme="minorHAnsi" w:hAnsiTheme="minorHAnsi"/>
                <w:color w:val="000000"/>
                <w:sz w:val="20"/>
                <w:szCs w:val="20"/>
              </w:rPr>
              <w:t>mededeling</w:t>
            </w:r>
          </w:p>
        </w:tc>
        <w:tc>
          <w:tcPr>
            <w:tcW w:w="5386" w:type="dxa"/>
            <w:tcBorders>
              <w:top w:val="single" w:color="auto" w:sz="4" w:space="0"/>
              <w:left w:val="nil"/>
              <w:bottom w:val="single" w:color="auto" w:sz="4" w:space="0"/>
              <w:right w:val="nil"/>
            </w:tcBorders>
            <w:shd w:val="clear" w:color="auto" w:fill="FFFFFF" w:themeFill="background1"/>
            <w:noWrap/>
          </w:tcPr>
          <w:p w:rsidRPr="0001331B" w:rsidR="006E261D" w:rsidP="006E261D" w:rsidRDefault="009C2105">
            <w:pPr>
              <w:rPr>
                <w:rFonts w:asciiTheme="minorHAnsi" w:hAnsiTheme="minorHAnsi"/>
                <w:color w:val="000000"/>
                <w:sz w:val="20"/>
                <w:szCs w:val="20"/>
              </w:rPr>
            </w:pPr>
            <w:r w:rsidRPr="0001331B">
              <w:rPr>
                <w:rFonts w:asciiTheme="minorHAnsi" w:hAnsiTheme="minorHAnsi"/>
                <w:color w:val="000000"/>
                <w:sz w:val="20"/>
                <w:szCs w:val="20"/>
              </w:rPr>
              <w:t>MEDEDELING VAN DE COMMISSIE AAN HET EUROPEES PARLEMENT, DE EUROPESE RAAD, DE RAAD, HET EUROPEES SOCIAAL COMITÉ EN HET COMITÉ VOOR DE REGIO'S Buitenlandse directe investeringen verwelkomen, maar vitale belangen beschermen</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6E261D" w:rsidP="006E261D" w:rsidRDefault="005A03FF">
            <w:pPr>
              <w:rPr>
                <w:rFonts w:asciiTheme="minorHAnsi" w:hAnsiTheme="minorHAnsi"/>
                <w:sz w:val="20"/>
                <w:szCs w:val="20"/>
              </w:rPr>
            </w:pPr>
            <w:hyperlink w:history="1" r:id="rId12">
              <w:r w:rsidRPr="0001331B" w:rsidR="009C2105">
                <w:rPr>
                  <w:rStyle w:val="Hyperlink"/>
                  <w:rFonts w:asciiTheme="minorHAnsi" w:hAnsiTheme="minorHAnsi"/>
                  <w:sz w:val="20"/>
                  <w:szCs w:val="20"/>
                </w:rPr>
                <w:t>494</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01331B" w:rsidR="006E261D" w:rsidP="006E261D" w:rsidRDefault="006E261D">
            <w:pPr>
              <w:rPr>
                <w:rFonts w:cs="Arial" w:asciiTheme="minorHAnsi" w:hAnsiTheme="minorHAnsi"/>
                <w:sz w:val="20"/>
                <w:szCs w:val="20"/>
              </w:rPr>
            </w:pPr>
          </w:p>
        </w:tc>
        <w:tc>
          <w:tcPr>
            <w:tcW w:w="3686" w:type="dxa"/>
            <w:tcBorders>
              <w:top w:val="single" w:color="auto" w:sz="4" w:space="0"/>
              <w:left w:val="nil"/>
              <w:bottom w:val="single" w:color="auto" w:sz="4" w:space="0"/>
              <w:right w:val="single" w:color="auto" w:sz="4" w:space="0"/>
            </w:tcBorders>
            <w:shd w:val="clear" w:color="auto" w:fill="FFFFFF" w:themeFill="background1"/>
          </w:tcPr>
          <w:p w:rsidRPr="00363547" w:rsidR="006E261D" w:rsidP="0050503E" w:rsidRDefault="00363547">
            <w:r>
              <w:rPr>
                <w:rFonts w:asciiTheme="minorHAnsi" w:hAnsiTheme="minorHAnsi"/>
                <w:sz w:val="20"/>
                <w:szCs w:val="20"/>
              </w:rPr>
              <w:t xml:space="preserve">Dit </w:t>
            </w:r>
            <w:r w:rsidRPr="00363547">
              <w:rPr>
                <w:rFonts w:asciiTheme="minorHAnsi" w:hAnsiTheme="minorHAnsi"/>
                <w:sz w:val="20"/>
                <w:szCs w:val="20"/>
              </w:rPr>
              <w:t xml:space="preserve">voorstel maakt deel uit van het handelspakket. De minister van Buitenlandse Zaken en Ontwikkelingshulp heeft </w:t>
            </w:r>
            <w:r w:rsidR="0050503E">
              <w:rPr>
                <w:rFonts w:asciiTheme="minorHAnsi" w:hAnsiTheme="minorHAnsi"/>
                <w:sz w:val="20"/>
                <w:szCs w:val="20"/>
              </w:rPr>
              <w:t xml:space="preserve">de Kamer </w:t>
            </w:r>
            <w:r w:rsidRPr="00363547">
              <w:rPr>
                <w:rFonts w:asciiTheme="minorHAnsi" w:hAnsiTheme="minorHAnsi"/>
                <w:sz w:val="20"/>
                <w:szCs w:val="20"/>
              </w:rPr>
              <w:t>gemeld dat het fiche niet binnen de zes-wekentermijn aan de Kamer zal worden verzonden omdat het oordeel ten aanzien van dit Commissievoorstel aan het volgend kabinet wordt gelaten. De Kamer zal de fiches zo spoedig mogelijk na aantreden van een nieuw kabinet ontvangen (Kamerstuk 22112, 2406). Voorstel: BNC-fiche afwachten.</w:t>
            </w:r>
            <w:r>
              <w:t xml:space="preserve"> </w:t>
            </w:r>
          </w:p>
        </w:tc>
      </w:tr>
      <w:tr w:rsidRPr="0067641B" w:rsidR="0067641B" w:rsidTr="00676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9"/>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67641B" w:rsidP="0067641B" w:rsidRDefault="009C2105">
            <w:pPr>
              <w:rPr>
                <w:rFonts w:asciiTheme="minorHAnsi" w:hAnsiTheme="minorHAnsi"/>
                <w:color w:val="000000"/>
                <w:sz w:val="20"/>
                <w:szCs w:val="20"/>
              </w:rPr>
            </w:pPr>
            <w:r w:rsidRPr="0001331B">
              <w:rPr>
                <w:rFonts w:asciiTheme="minorHAnsi" w:hAnsiTheme="minorHAnsi"/>
                <w:color w:val="000000"/>
                <w:sz w:val="20"/>
                <w:szCs w:val="20"/>
              </w:rPr>
              <w:t>13</w:t>
            </w:r>
            <w:r w:rsidRPr="0001331B" w:rsidR="0067641B">
              <w:rPr>
                <w:rFonts w:asciiTheme="minorHAnsi" w:hAnsiTheme="minorHAnsi"/>
                <w:color w:val="000000"/>
                <w:sz w:val="20"/>
                <w:szCs w:val="20"/>
              </w:rPr>
              <w:t>-sep-17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01331B" w:rsidR="0067641B" w:rsidP="0067641B" w:rsidRDefault="0067641B">
            <w:pPr>
              <w:rPr>
                <w:rFonts w:asciiTheme="minorHAnsi" w:hAnsiTheme="minorHAnsi"/>
                <w:color w:val="000000"/>
                <w:sz w:val="20"/>
                <w:szCs w:val="20"/>
              </w:rPr>
            </w:pPr>
            <w:r w:rsidRPr="0001331B">
              <w:rPr>
                <w:rFonts w:asciiTheme="minorHAnsi" w:hAnsiTheme="minorHAnsi"/>
                <w:color w:val="000000"/>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01331B" w:rsidR="0067641B" w:rsidP="0067641B" w:rsidRDefault="0067641B">
            <w:pPr>
              <w:rPr>
                <w:rFonts w:asciiTheme="minorHAnsi" w:hAnsiTheme="minorHAnsi"/>
                <w:color w:val="000000"/>
                <w:sz w:val="20"/>
                <w:szCs w:val="20"/>
              </w:rPr>
            </w:pPr>
            <w:r w:rsidRPr="0001331B">
              <w:rPr>
                <w:rFonts w:asciiTheme="minorHAnsi" w:hAnsiTheme="minorHAnsi"/>
                <w:color w:val="000000"/>
                <w:sz w:val="20"/>
                <w:szCs w:val="20"/>
              </w:rPr>
              <w:t>verordening</w:t>
            </w:r>
          </w:p>
        </w:tc>
        <w:tc>
          <w:tcPr>
            <w:tcW w:w="5386" w:type="dxa"/>
            <w:tcBorders>
              <w:top w:val="single" w:color="auto" w:sz="4" w:space="0"/>
              <w:left w:val="nil"/>
              <w:bottom w:val="single" w:color="auto" w:sz="4" w:space="0"/>
              <w:right w:val="nil"/>
            </w:tcBorders>
            <w:shd w:val="clear" w:color="auto" w:fill="FFFFFF" w:themeFill="background1"/>
            <w:noWrap/>
          </w:tcPr>
          <w:p w:rsidRPr="0001331B" w:rsidR="0067641B" w:rsidP="0067641B" w:rsidRDefault="009C2105">
            <w:pPr>
              <w:rPr>
                <w:rFonts w:asciiTheme="minorHAnsi" w:hAnsiTheme="minorHAnsi"/>
                <w:color w:val="000000"/>
                <w:sz w:val="20"/>
                <w:szCs w:val="20"/>
              </w:rPr>
            </w:pPr>
            <w:proofErr w:type="spellStart"/>
            <w:r w:rsidRPr="0001331B">
              <w:rPr>
                <w:rFonts w:asciiTheme="minorHAnsi" w:hAnsiTheme="minorHAnsi"/>
                <w:color w:val="000000"/>
                <w:sz w:val="20"/>
                <w:szCs w:val="20"/>
              </w:rPr>
              <w:t>Proposal</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for</w:t>
            </w:r>
            <w:proofErr w:type="spellEnd"/>
            <w:r w:rsidRPr="0001331B">
              <w:rPr>
                <w:rFonts w:asciiTheme="minorHAnsi" w:hAnsiTheme="minorHAnsi"/>
                <w:color w:val="000000"/>
                <w:sz w:val="20"/>
                <w:szCs w:val="20"/>
              </w:rPr>
              <w:t xml:space="preserve"> a REGULATION OF THE EUROPEAN PARLIAMENT AND OF THE COUNCIL </w:t>
            </w:r>
            <w:proofErr w:type="spellStart"/>
            <w:r w:rsidRPr="0001331B">
              <w:rPr>
                <w:rFonts w:asciiTheme="minorHAnsi" w:hAnsiTheme="minorHAnsi"/>
                <w:color w:val="000000"/>
                <w:sz w:val="20"/>
                <w:szCs w:val="20"/>
              </w:rPr>
              <w:t>establishing</w:t>
            </w:r>
            <w:proofErr w:type="spellEnd"/>
            <w:r w:rsidRPr="0001331B">
              <w:rPr>
                <w:rFonts w:asciiTheme="minorHAnsi" w:hAnsiTheme="minorHAnsi"/>
                <w:color w:val="000000"/>
                <w:sz w:val="20"/>
                <w:szCs w:val="20"/>
              </w:rPr>
              <w:t xml:space="preserve"> a </w:t>
            </w:r>
            <w:proofErr w:type="spellStart"/>
            <w:r w:rsidRPr="0001331B">
              <w:rPr>
                <w:rFonts w:asciiTheme="minorHAnsi" w:hAnsiTheme="minorHAnsi"/>
                <w:color w:val="000000"/>
                <w:sz w:val="20"/>
                <w:szCs w:val="20"/>
              </w:rPr>
              <w:t>framework</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for</w:t>
            </w:r>
            <w:proofErr w:type="spellEnd"/>
            <w:r w:rsidRPr="0001331B">
              <w:rPr>
                <w:rFonts w:asciiTheme="minorHAnsi" w:hAnsiTheme="minorHAnsi"/>
                <w:color w:val="000000"/>
                <w:sz w:val="20"/>
                <w:szCs w:val="20"/>
              </w:rPr>
              <w:t xml:space="preserve"> screening of </w:t>
            </w:r>
            <w:proofErr w:type="spellStart"/>
            <w:r w:rsidRPr="0001331B">
              <w:rPr>
                <w:rFonts w:asciiTheme="minorHAnsi" w:hAnsiTheme="minorHAnsi"/>
                <w:color w:val="000000"/>
                <w:sz w:val="20"/>
                <w:szCs w:val="20"/>
              </w:rPr>
              <w:t>foreign</w:t>
            </w:r>
            <w:proofErr w:type="spellEnd"/>
            <w:r w:rsidRPr="0001331B">
              <w:rPr>
                <w:rFonts w:asciiTheme="minorHAnsi" w:hAnsiTheme="minorHAnsi"/>
                <w:color w:val="000000"/>
                <w:sz w:val="20"/>
                <w:szCs w:val="20"/>
              </w:rPr>
              <w:t xml:space="preserve"> direct </w:t>
            </w:r>
            <w:proofErr w:type="spellStart"/>
            <w:r w:rsidRPr="0001331B">
              <w:rPr>
                <w:rFonts w:asciiTheme="minorHAnsi" w:hAnsiTheme="minorHAnsi"/>
                <w:color w:val="000000"/>
                <w:sz w:val="20"/>
                <w:szCs w:val="20"/>
              </w:rPr>
              <w:t>investments</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into</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the</w:t>
            </w:r>
            <w:proofErr w:type="spellEnd"/>
            <w:r w:rsidRPr="0001331B">
              <w:rPr>
                <w:rFonts w:asciiTheme="minorHAnsi" w:hAnsiTheme="minorHAnsi"/>
                <w:color w:val="000000"/>
                <w:sz w:val="20"/>
                <w:szCs w:val="20"/>
              </w:rPr>
              <w:t xml:space="preserve"> European Union</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67641B" w:rsidP="009C2105" w:rsidRDefault="005A03FF">
            <w:pPr>
              <w:rPr>
                <w:rFonts w:asciiTheme="minorHAnsi" w:hAnsiTheme="minorHAnsi"/>
                <w:sz w:val="20"/>
                <w:szCs w:val="20"/>
              </w:rPr>
            </w:pPr>
            <w:hyperlink w:history="1" r:id="rId13">
              <w:r w:rsidRPr="0001331B" w:rsidR="009C2105">
                <w:rPr>
                  <w:rStyle w:val="Hyperlink"/>
                  <w:rFonts w:asciiTheme="minorHAnsi" w:hAnsiTheme="minorHAnsi"/>
                  <w:sz w:val="20"/>
                  <w:szCs w:val="20"/>
                </w:rPr>
                <w:t>487</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01331B" w:rsidR="0067641B" w:rsidP="0067641B" w:rsidRDefault="0067641B">
            <w:pPr>
              <w:rPr>
                <w:rFonts w:cs="Arial" w:asciiTheme="minorHAnsi" w:hAnsiTheme="minorHAnsi"/>
                <w:sz w:val="20"/>
                <w:szCs w:val="20"/>
              </w:rPr>
            </w:pPr>
            <w:r w:rsidRPr="0001331B">
              <w:rPr>
                <w:rFonts w:cs="Arial" w:asciiTheme="minorHAnsi" w:hAnsiTheme="minorHAnsi"/>
                <w:sz w:val="20"/>
                <w:szCs w:val="20"/>
              </w:rPr>
              <w:t> </w:t>
            </w:r>
          </w:p>
        </w:tc>
        <w:tc>
          <w:tcPr>
            <w:tcW w:w="3686" w:type="dxa"/>
            <w:tcBorders>
              <w:top w:val="single" w:color="auto" w:sz="4" w:space="0"/>
              <w:left w:val="nil"/>
              <w:bottom w:val="single" w:color="auto" w:sz="4" w:space="0"/>
              <w:right w:val="single" w:color="auto" w:sz="4" w:space="0"/>
            </w:tcBorders>
            <w:shd w:val="clear" w:color="auto" w:fill="FFFFFF" w:themeFill="background1"/>
          </w:tcPr>
          <w:p w:rsidRPr="0001331B" w:rsidR="0067641B" w:rsidP="009C2105" w:rsidRDefault="002703E1">
            <w:pPr>
              <w:rPr>
                <w:rFonts w:asciiTheme="minorHAnsi" w:hAnsiTheme="minorHAnsi"/>
                <w:sz w:val="20"/>
                <w:szCs w:val="20"/>
              </w:rPr>
            </w:pPr>
            <w:r>
              <w:rPr>
                <w:rFonts w:asciiTheme="minorHAnsi" w:hAnsiTheme="minorHAnsi"/>
                <w:sz w:val="20"/>
                <w:szCs w:val="20"/>
              </w:rPr>
              <w:t xml:space="preserve">Dit </w:t>
            </w:r>
            <w:r w:rsidRPr="00363547">
              <w:rPr>
                <w:rFonts w:asciiTheme="minorHAnsi" w:hAnsiTheme="minorHAnsi"/>
                <w:sz w:val="20"/>
                <w:szCs w:val="20"/>
              </w:rPr>
              <w:t xml:space="preserve">voorstel maakt deel uit van het handelspakket. De minister van Buitenlandse Zaken en Ontwikkelingshulp heeft </w:t>
            </w:r>
            <w:r>
              <w:rPr>
                <w:rFonts w:asciiTheme="minorHAnsi" w:hAnsiTheme="minorHAnsi"/>
                <w:sz w:val="20"/>
                <w:szCs w:val="20"/>
              </w:rPr>
              <w:t xml:space="preserve">de Kamer </w:t>
            </w:r>
            <w:r w:rsidRPr="00363547">
              <w:rPr>
                <w:rFonts w:asciiTheme="minorHAnsi" w:hAnsiTheme="minorHAnsi"/>
                <w:sz w:val="20"/>
                <w:szCs w:val="20"/>
              </w:rPr>
              <w:t xml:space="preserve">gemeld dat het fiche niet binnen de zes-wekentermijn aan de Kamer zal worden verzonden omdat het oordeel ten aanzien van dit Commissievoorstel aan </w:t>
            </w:r>
            <w:r w:rsidRPr="00363547">
              <w:rPr>
                <w:rFonts w:asciiTheme="minorHAnsi" w:hAnsiTheme="minorHAnsi"/>
                <w:sz w:val="20"/>
                <w:szCs w:val="20"/>
              </w:rPr>
              <w:lastRenderedPageBreak/>
              <w:t>het volgend kabinet wordt gelaten. De Kamer zal de fiches zo spoedig mogelijk na aantreden van een nieuw kabinet ontvangen (Kamerstuk 22112, 2406). Voorstel: BNC-fiche afwachten.</w:t>
            </w:r>
          </w:p>
        </w:tc>
      </w:tr>
      <w:tr w:rsidRPr="0001331B" w:rsidR="0001331B" w:rsidTr="00013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9"/>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lastRenderedPageBreak/>
              <w:t>27-sep-17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raadpleging</w:t>
            </w:r>
          </w:p>
        </w:tc>
        <w:tc>
          <w:tcPr>
            <w:tcW w:w="5386" w:type="dxa"/>
            <w:tcBorders>
              <w:top w:val="single" w:color="auto" w:sz="4" w:space="0"/>
              <w:left w:val="nil"/>
              <w:bottom w:val="single" w:color="auto" w:sz="4" w:space="0"/>
              <w:right w:val="nil"/>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 xml:space="preserve">Public </w:t>
            </w:r>
            <w:proofErr w:type="spellStart"/>
            <w:r w:rsidRPr="0001331B">
              <w:rPr>
                <w:rFonts w:asciiTheme="minorHAnsi" w:hAnsiTheme="minorHAnsi"/>
                <w:color w:val="000000"/>
                <w:sz w:val="20"/>
                <w:szCs w:val="20"/>
              </w:rPr>
              <w:t>consultation</w:t>
            </w:r>
            <w:proofErr w:type="spellEnd"/>
            <w:r w:rsidRPr="0001331B">
              <w:rPr>
                <w:rFonts w:asciiTheme="minorHAnsi" w:hAnsiTheme="minorHAnsi"/>
                <w:color w:val="000000"/>
                <w:sz w:val="20"/>
                <w:szCs w:val="20"/>
              </w:rPr>
              <w:t xml:space="preserve"> on </w:t>
            </w:r>
            <w:proofErr w:type="spellStart"/>
            <w:r w:rsidRPr="0001331B">
              <w:rPr>
                <w:rFonts w:asciiTheme="minorHAnsi" w:hAnsiTheme="minorHAnsi"/>
                <w:color w:val="000000"/>
                <w:sz w:val="20"/>
                <w:szCs w:val="20"/>
              </w:rPr>
              <w:t>priorities</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for</w:t>
            </w:r>
            <w:proofErr w:type="spellEnd"/>
            <w:r w:rsidRPr="0001331B">
              <w:rPr>
                <w:rFonts w:asciiTheme="minorHAnsi" w:hAnsiTheme="minorHAnsi"/>
                <w:color w:val="000000"/>
                <w:sz w:val="20"/>
                <w:szCs w:val="20"/>
              </w:rPr>
              <w:t xml:space="preserve"> Network Codes </w:t>
            </w:r>
            <w:proofErr w:type="spellStart"/>
            <w:r w:rsidRPr="0001331B">
              <w:rPr>
                <w:rFonts w:asciiTheme="minorHAnsi" w:hAnsiTheme="minorHAnsi"/>
                <w:color w:val="000000"/>
                <w:sz w:val="20"/>
                <w:szCs w:val="20"/>
              </w:rPr>
              <w:t>and</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Guidelines</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for</w:t>
            </w:r>
            <w:proofErr w:type="spellEnd"/>
            <w:r w:rsidRPr="0001331B">
              <w:rPr>
                <w:rFonts w:asciiTheme="minorHAnsi" w:hAnsiTheme="minorHAnsi"/>
                <w:color w:val="000000"/>
                <w:sz w:val="20"/>
                <w:szCs w:val="20"/>
              </w:rPr>
              <w:t xml:space="preserve"> 2018 </w:t>
            </w:r>
            <w:proofErr w:type="spellStart"/>
            <w:r w:rsidRPr="0001331B">
              <w:rPr>
                <w:rFonts w:asciiTheme="minorHAnsi" w:hAnsiTheme="minorHAnsi"/>
                <w:color w:val="000000"/>
                <w:sz w:val="20"/>
                <w:szCs w:val="20"/>
              </w:rPr>
              <w:t>based</w:t>
            </w:r>
            <w:proofErr w:type="spellEnd"/>
            <w:r w:rsidRPr="0001331B">
              <w:rPr>
                <w:rFonts w:asciiTheme="minorHAnsi" w:hAnsiTheme="minorHAnsi"/>
                <w:color w:val="000000"/>
                <w:sz w:val="20"/>
                <w:szCs w:val="20"/>
              </w:rPr>
              <w:t xml:space="preserve"> on </w:t>
            </w:r>
            <w:proofErr w:type="spellStart"/>
            <w:r w:rsidRPr="0001331B">
              <w:rPr>
                <w:rFonts w:asciiTheme="minorHAnsi" w:hAnsiTheme="minorHAnsi"/>
                <w:color w:val="000000"/>
                <w:sz w:val="20"/>
                <w:szCs w:val="20"/>
              </w:rPr>
              <w:t>Article</w:t>
            </w:r>
            <w:proofErr w:type="spellEnd"/>
            <w:r w:rsidRPr="0001331B">
              <w:rPr>
                <w:rFonts w:asciiTheme="minorHAnsi" w:hAnsiTheme="minorHAnsi"/>
                <w:color w:val="000000"/>
                <w:sz w:val="20"/>
                <w:szCs w:val="20"/>
              </w:rPr>
              <w:t xml:space="preserve"> 6(1) of </w:t>
            </w:r>
            <w:proofErr w:type="spellStart"/>
            <w:r w:rsidRPr="0001331B">
              <w:rPr>
                <w:rFonts w:asciiTheme="minorHAnsi" w:hAnsiTheme="minorHAnsi"/>
                <w:color w:val="000000"/>
                <w:sz w:val="20"/>
                <w:szCs w:val="20"/>
              </w:rPr>
              <w:t>Regulation</w:t>
            </w:r>
            <w:proofErr w:type="spellEnd"/>
            <w:r w:rsidRPr="0001331B">
              <w:rPr>
                <w:rFonts w:asciiTheme="minorHAnsi" w:hAnsiTheme="minorHAnsi"/>
                <w:color w:val="000000"/>
                <w:sz w:val="20"/>
                <w:szCs w:val="20"/>
              </w:rPr>
              <w:t xml:space="preserve"> (EC) No 714/2009 </w:t>
            </w:r>
            <w:proofErr w:type="spellStart"/>
            <w:r w:rsidRPr="0001331B">
              <w:rPr>
                <w:rFonts w:asciiTheme="minorHAnsi" w:hAnsiTheme="minorHAnsi"/>
                <w:color w:val="000000"/>
                <w:sz w:val="20"/>
                <w:szCs w:val="20"/>
              </w:rPr>
              <w:t>and</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Regulation</w:t>
            </w:r>
            <w:proofErr w:type="spellEnd"/>
            <w:r w:rsidRPr="0001331B">
              <w:rPr>
                <w:rFonts w:asciiTheme="minorHAnsi" w:hAnsiTheme="minorHAnsi"/>
                <w:color w:val="000000"/>
                <w:sz w:val="20"/>
                <w:szCs w:val="20"/>
              </w:rPr>
              <w:t xml:space="preserve"> (EC) No 715/2009</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01331B" w:rsidP="0001331B" w:rsidRDefault="005A03FF">
            <w:pPr>
              <w:rPr>
                <w:rFonts w:asciiTheme="minorHAnsi" w:hAnsiTheme="minorHAnsi"/>
                <w:sz w:val="20"/>
                <w:szCs w:val="20"/>
              </w:rPr>
            </w:pPr>
            <w:hyperlink w:history="1" r:id="rId14">
              <w:r w:rsidRPr="0001331B" w:rsidR="0001331B">
                <w:rPr>
                  <w:rStyle w:val="Hyperlink"/>
                  <w:rFonts w:asciiTheme="minorHAnsi" w:hAnsiTheme="minorHAnsi"/>
                  <w:sz w:val="20"/>
                  <w:szCs w:val="20"/>
                </w:rPr>
                <w:t>OR</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01331B" w:rsidR="0001331B" w:rsidP="0001331B" w:rsidRDefault="002703E1">
            <w:pPr>
              <w:rPr>
                <w:rFonts w:cs="Arial" w:asciiTheme="minorHAnsi" w:hAnsiTheme="minorHAnsi"/>
                <w:sz w:val="20"/>
                <w:szCs w:val="20"/>
              </w:rPr>
            </w:pPr>
            <w:r>
              <w:rPr>
                <w:rFonts w:cs="Arial" w:asciiTheme="minorHAnsi" w:hAnsiTheme="minorHAnsi"/>
                <w:sz w:val="20"/>
                <w:szCs w:val="20"/>
              </w:rPr>
              <w:t>20 december 2017</w:t>
            </w:r>
          </w:p>
        </w:tc>
        <w:tc>
          <w:tcPr>
            <w:tcW w:w="3686" w:type="dxa"/>
            <w:tcBorders>
              <w:top w:val="single" w:color="auto" w:sz="4" w:space="0"/>
              <w:left w:val="nil"/>
              <w:bottom w:val="single" w:color="auto" w:sz="4" w:space="0"/>
              <w:right w:val="single" w:color="auto" w:sz="4" w:space="0"/>
            </w:tcBorders>
            <w:shd w:val="clear" w:color="auto" w:fill="FFFFFF" w:themeFill="background1"/>
          </w:tcPr>
          <w:p w:rsidRPr="0001331B" w:rsidR="0001331B" w:rsidP="002703E1" w:rsidRDefault="002703E1">
            <w:pPr>
              <w:rPr>
                <w:rFonts w:asciiTheme="minorHAnsi" w:hAnsiTheme="minorHAnsi"/>
                <w:sz w:val="20"/>
                <w:szCs w:val="20"/>
              </w:rPr>
            </w:pPr>
            <w:r>
              <w:rPr>
                <w:rFonts w:asciiTheme="minorHAnsi" w:hAnsiTheme="minorHAnsi"/>
                <w:sz w:val="20"/>
                <w:szCs w:val="20"/>
              </w:rPr>
              <w:t xml:space="preserve">De raadpleging loopt tot 20 december 2017. Het is nog niet bekend of het kabinet zal deelnemen. Voorstel: het kabinet verzoeken aan te geven of zij een reactie zal insturen en zo ja, of de Kamer hiervan tijdig een concept kan ontvangen zodat zij zich hierover nog kan uitspreken voordat de reactie aan de Europese Commissie wordt </w:t>
            </w:r>
            <w:proofErr w:type="gramStart"/>
            <w:r>
              <w:rPr>
                <w:rFonts w:asciiTheme="minorHAnsi" w:hAnsiTheme="minorHAnsi"/>
                <w:sz w:val="20"/>
                <w:szCs w:val="20"/>
              </w:rPr>
              <w:t xml:space="preserve">verzonden.  </w:t>
            </w:r>
            <w:proofErr w:type="gramEnd"/>
          </w:p>
        </w:tc>
      </w:tr>
      <w:tr w:rsidRPr="0001331B" w:rsidR="0001331B" w:rsidTr="00013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9"/>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3-okt-17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mededeling</w:t>
            </w:r>
          </w:p>
        </w:tc>
        <w:tc>
          <w:tcPr>
            <w:tcW w:w="5386" w:type="dxa"/>
            <w:tcBorders>
              <w:top w:val="single" w:color="auto" w:sz="4" w:space="0"/>
              <w:left w:val="nil"/>
              <w:bottom w:val="single" w:color="auto" w:sz="4" w:space="0"/>
              <w:right w:val="nil"/>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 xml:space="preserve">MEDEDELING VAN DE COMMISSIE AAN HET EUROPEES PARLEMENT, DE RAAD, HET EUROPEES ECONOMISCH EN SOCIAAL COMITÉ EN HET COMITÉ VAN DE REGIO'S Succesvolle overheidsopdrachten in en voor Europa </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01331B" w:rsidP="0001331B" w:rsidRDefault="005A03FF">
            <w:pPr>
              <w:rPr>
                <w:rFonts w:asciiTheme="minorHAnsi" w:hAnsiTheme="minorHAnsi"/>
                <w:sz w:val="20"/>
                <w:szCs w:val="20"/>
              </w:rPr>
            </w:pPr>
            <w:hyperlink w:history="1" r:id="rId15">
              <w:r w:rsidRPr="0001331B" w:rsidR="0001331B">
                <w:rPr>
                  <w:rStyle w:val="Hyperlink"/>
                  <w:rFonts w:asciiTheme="minorHAnsi" w:hAnsiTheme="minorHAnsi"/>
                  <w:sz w:val="20"/>
                  <w:szCs w:val="20"/>
                </w:rPr>
                <w:t>572</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01331B" w:rsidR="0001331B" w:rsidP="0001331B" w:rsidRDefault="0001331B">
            <w:pPr>
              <w:rPr>
                <w:rFonts w:cs="Arial" w:asciiTheme="minorHAnsi" w:hAnsiTheme="minorHAnsi"/>
                <w:sz w:val="20"/>
                <w:szCs w:val="20"/>
              </w:rPr>
            </w:pPr>
            <w:r w:rsidRPr="0001331B">
              <w:rPr>
                <w:rFonts w:cs="Arial" w:asciiTheme="minorHAnsi" w:hAnsiTheme="minorHAnsi"/>
                <w:sz w:val="20"/>
                <w:szCs w:val="20"/>
              </w:rPr>
              <w:t> </w:t>
            </w:r>
          </w:p>
        </w:tc>
        <w:tc>
          <w:tcPr>
            <w:tcW w:w="3686" w:type="dxa"/>
            <w:tcBorders>
              <w:top w:val="single" w:color="auto" w:sz="4" w:space="0"/>
              <w:left w:val="nil"/>
              <w:bottom w:val="single" w:color="auto" w:sz="4" w:space="0"/>
              <w:right w:val="single" w:color="auto" w:sz="4" w:space="0"/>
            </w:tcBorders>
            <w:shd w:val="clear" w:color="auto" w:fill="FFFFFF" w:themeFill="background1"/>
          </w:tcPr>
          <w:p w:rsidRPr="0001331B" w:rsidR="0001331B" w:rsidP="0001331B" w:rsidRDefault="002703E1">
            <w:pPr>
              <w:rPr>
                <w:rFonts w:asciiTheme="minorHAnsi" w:hAnsiTheme="minorHAnsi"/>
                <w:sz w:val="20"/>
                <w:szCs w:val="20"/>
              </w:rPr>
            </w:pPr>
            <w:r>
              <w:rPr>
                <w:rFonts w:asciiTheme="minorHAnsi" w:hAnsiTheme="minorHAnsi"/>
                <w:sz w:val="20"/>
                <w:szCs w:val="20"/>
              </w:rPr>
              <w:t>De Kamer zal een BNC-fiche ontvangen. Voorstel: BNC-fiche afwachten.</w:t>
            </w:r>
          </w:p>
        </w:tc>
      </w:tr>
      <w:tr w:rsidRPr="0001331B" w:rsidR="0001331B" w:rsidTr="00013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9"/>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10-okt-17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raadpleging</w:t>
            </w:r>
          </w:p>
        </w:tc>
        <w:tc>
          <w:tcPr>
            <w:tcW w:w="5386" w:type="dxa"/>
            <w:tcBorders>
              <w:top w:val="single" w:color="auto" w:sz="4" w:space="0"/>
              <w:left w:val="nil"/>
              <w:bottom w:val="single" w:color="auto" w:sz="4" w:space="0"/>
              <w:right w:val="nil"/>
            </w:tcBorders>
            <w:shd w:val="clear" w:color="auto" w:fill="FFFFFF" w:themeFill="background1"/>
            <w:noWrap/>
          </w:tcPr>
          <w:p w:rsidRPr="0001331B" w:rsidR="0001331B" w:rsidP="0001331B" w:rsidRDefault="0001331B">
            <w:pPr>
              <w:rPr>
                <w:rFonts w:asciiTheme="minorHAnsi" w:hAnsiTheme="minorHAnsi"/>
                <w:color w:val="000000"/>
                <w:sz w:val="20"/>
                <w:szCs w:val="20"/>
              </w:rPr>
            </w:pPr>
            <w:r w:rsidRPr="0001331B">
              <w:rPr>
                <w:rFonts w:asciiTheme="minorHAnsi" w:hAnsiTheme="minorHAnsi"/>
                <w:color w:val="000000"/>
                <w:sz w:val="20"/>
                <w:szCs w:val="20"/>
              </w:rPr>
              <w:t xml:space="preserve">Public </w:t>
            </w:r>
            <w:proofErr w:type="spellStart"/>
            <w:r w:rsidRPr="0001331B">
              <w:rPr>
                <w:rFonts w:asciiTheme="minorHAnsi" w:hAnsiTheme="minorHAnsi"/>
                <w:color w:val="000000"/>
                <w:sz w:val="20"/>
                <w:szCs w:val="20"/>
              </w:rPr>
              <w:t>consultation</w:t>
            </w:r>
            <w:proofErr w:type="spellEnd"/>
            <w:r w:rsidRPr="0001331B">
              <w:rPr>
                <w:rFonts w:asciiTheme="minorHAnsi" w:hAnsiTheme="minorHAnsi"/>
                <w:color w:val="000000"/>
                <w:sz w:val="20"/>
                <w:szCs w:val="20"/>
              </w:rPr>
              <w:t xml:space="preserve"> on </w:t>
            </w:r>
            <w:proofErr w:type="spellStart"/>
            <w:r w:rsidRPr="0001331B">
              <w:rPr>
                <w:rFonts w:asciiTheme="minorHAnsi" w:hAnsiTheme="minorHAnsi"/>
                <w:color w:val="000000"/>
                <w:sz w:val="20"/>
                <w:szCs w:val="20"/>
              </w:rPr>
              <w:t>the</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evaluation</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and</w:t>
            </w:r>
            <w:proofErr w:type="spellEnd"/>
            <w:r w:rsidRPr="0001331B">
              <w:rPr>
                <w:rFonts w:asciiTheme="minorHAnsi" w:hAnsiTheme="minorHAnsi"/>
                <w:color w:val="000000"/>
                <w:sz w:val="20"/>
                <w:szCs w:val="20"/>
              </w:rPr>
              <w:t xml:space="preserve"> review of </w:t>
            </w:r>
            <w:proofErr w:type="spellStart"/>
            <w:r w:rsidRPr="0001331B">
              <w:rPr>
                <w:rFonts w:asciiTheme="minorHAnsi" w:hAnsiTheme="minorHAnsi"/>
                <w:color w:val="000000"/>
                <w:sz w:val="20"/>
                <w:szCs w:val="20"/>
              </w:rPr>
              <w:t>the</w:t>
            </w:r>
            <w:proofErr w:type="spellEnd"/>
            <w:r w:rsidRPr="0001331B">
              <w:rPr>
                <w:rFonts w:asciiTheme="minorHAnsi" w:hAnsiTheme="minorHAnsi"/>
                <w:color w:val="000000"/>
                <w:sz w:val="20"/>
                <w:szCs w:val="20"/>
              </w:rPr>
              <w:t xml:space="preserve"> EU </w:t>
            </w:r>
            <w:proofErr w:type="spellStart"/>
            <w:r w:rsidRPr="0001331B">
              <w:rPr>
                <w:rFonts w:asciiTheme="minorHAnsi" w:hAnsiTheme="minorHAnsi"/>
                <w:color w:val="000000"/>
                <w:sz w:val="20"/>
                <w:szCs w:val="20"/>
              </w:rPr>
              <w:t>tyres</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labelling</w:t>
            </w:r>
            <w:proofErr w:type="spellEnd"/>
            <w:r w:rsidRPr="0001331B">
              <w:rPr>
                <w:rFonts w:asciiTheme="minorHAnsi" w:hAnsiTheme="minorHAnsi"/>
                <w:color w:val="000000"/>
                <w:sz w:val="20"/>
                <w:szCs w:val="20"/>
              </w:rPr>
              <w:t xml:space="preserve"> </w:t>
            </w:r>
            <w:proofErr w:type="spellStart"/>
            <w:r w:rsidRPr="0001331B">
              <w:rPr>
                <w:rFonts w:asciiTheme="minorHAnsi" w:hAnsiTheme="minorHAnsi"/>
                <w:color w:val="000000"/>
                <w:sz w:val="20"/>
                <w:szCs w:val="20"/>
              </w:rPr>
              <w:t>scheme</w:t>
            </w:r>
            <w:proofErr w:type="spellEnd"/>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1331B" w:rsidR="0001331B" w:rsidP="0001331B" w:rsidRDefault="005A03FF">
            <w:pPr>
              <w:rPr>
                <w:rFonts w:asciiTheme="minorHAnsi" w:hAnsiTheme="minorHAnsi"/>
                <w:sz w:val="20"/>
                <w:szCs w:val="20"/>
              </w:rPr>
            </w:pPr>
            <w:hyperlink w:history="1" r:id="rId16">
              <w:r w:rsidRPr="0001331B" w:rsidR="0001331B">
                <w:rPr>
                  <w:rStyle w:val="Hyperlink"/>
                  <w:rFonts w:asciiTheme="minorHAnsi" w:hAnsiTheme="minorHAnsi"/>
                  <w:sz w:val="20"/>
                  <w:szCs w:val="20"/>
                </w:rPr>
                <w:t>OR</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01331B" w:rsidR="0001331B" w:rsidP="0001331B" w:rsidRDefault="002703E1">
            <w:pPr>
              <w:rPr>
                <w:rFonts w:cs="Arial" w:asciiTheme="minorHAnsi" w:hAnsiTheme="minorHAnsi"/>
                <w:sz w:val="20"/>
                <w:szCs w:val="20"/>
              </w:rPr>
            </w:pPr>
            <w:r>
              <w:rPr>
                <w:rFonts w:cs="Arial" w:asciiTheme="minorHAnsi" w:hAnsiTheme="minorHAnsi"/>
                <w:sz w:val="20"/>
                <w:szCs w:val="20"/>
              </w:rPr>
              <w:t>8 januari 2018</w:t>
            </w:r>
          </w:p>
        </w:tc>
        <w:tc>
          <w:tcPr>
            <w:tcW w:w="3686" w:type="dxa"/>
            <w:tcBorders>
              <w:top w:val="single" w:color="auto" w:sz="4" w:space="0"/>
              <w:left w:val="nil"/>
              <w:bottom w:val="single" w:color="auto" w:sz="4" w:space="0"/>
              <w:right w:val="single" w:color="auto" w:sz="4" w:space="0"/>
            </w:tcBorders>
            <w:shd w:val="clear" w:color="auto" w:fill="FFFFFF" w:themeFill="background1"/>
          </w:tcPr>
          <w:p w:rsidRPr="0001331B" w:rsidR="0001331B" w:rsidP="002703E1" w:rsidRDefault="002703E1">
            <w:pPr>
              <w:rPr>
                <w:rFonts w:asciiTheme="minorHAnsi" w:hAnsiTheme="minorHAnsi"/>
                <w:sz w:val="20"/>
                <w:szCs w:val="20"/>
              </w:rPr>
            </w:pPr>
            <w:r>
              <w:rPr>
                <w:rFonts w:asciiTheme="minorHAnsi" w:hAnsiTheme="minorHAnsi"/>
                <w:sz w:val="20"/>
                <w:szCs w:val="20"/>
              </w:rPr>
              <w:t xml:space="preserve">De raadpleging loopt tot 8 januari 2018. Het is nog niet bekend of het kabinet zal deelnemen. Voorstel: het kabinet verzoeken aan te geven of zij een reactie zal insturen en zo ja, of de Kamer hiervan tijdig een concept kan ontvangen zodat zij zich hierover nog kan uitspreken voordat de reactie aan de Europese Commissie wordt </w:t>
            </w:r>
            <w:proofErr w:type="gramStart"/>
            <w:r>
              <w:rPr>
                <w:rFonts w:asciiTheme="minorHAnsi" w:hAnsiTheme="minorHAnsi"/>
                <w:sz w:val="20"/>
                <w:szCs w:val="20"/>
              </w:rPr>
              <w:t xml:space="preserve">verzonden.  </w:t>
            </w:r>
            <w:proofErr w:type="gramEnd"/>
          </w:p>
        </w:tc>
      </w:tr>
    </w:tbl>
    <w:p w:rsidR="00A21D8E" w:rsidP="004E324F" w:rsidRDefault="00A21D8E">
      <w:pPr>
        <w:spacing w:after="200" w:line="276" w:lineRule="auto"/>
        <w:rPr>
          <w:rFonts w:asciiTheme="minorHAnsi" w:hAnsiTheme="minorHAnsi"/>
          <w:b/>
          <w:sz w:val="22"/>
          <w:szCs w:val="22"/>
        </w:rPr>
      </w:pPr>
    </w:p>
    <w:p w:rsidR="00A21D8E" w:rsidRDefault="00A21D8E">
      <w:pPr>
        <w:spacing w:after="200" w:line="276" w:lineRule="auto"/>
        <w:rPr>
          <w:rFonts w:asciiTheme="minorHAnsi" w:hAnsiTheme="minorHAnsi"/>
          <w:b/>
          <w:sz w:val="22"/>
          <w:szCs w:val="22"/>
        </w:rPr>
      </w:pPr>
      <w:r>
        <w:rPr>
          <w:rFonts w:asciiTheme="minorHAnsi" w:hAnsiTheme="minorHAnsi"/>
          <w:b/>
          <w:sz w:val="22"/>
          <w:szCs w:val="22"/>
        </w:rPr>
        <w:br w:type="page"/>
      </w:r>
    </w:p>
    <w:p w:rsidRPr="004E324F" w:rsidR="003B00CB" w:rsidP="004E324F" w:rsidRDefault="003B00CB">
      <w:pPr>
        <w:spacing w:after="200" w:line="276" w:lineRule="auto"/>
        <w:rPr>
          <w:rFonts w:asciiTheme="minorHAnsi" w:hAnsiTheme="minorHAnsi"/>
          <w:b/>
          <w:sz w:val="22"/>
          <w:szCs w:val="22"/>
        </w:rPr>
      </w:pPr>
      <w:r w:rsidRPr="004E324F">
        <w:rPr>
          <w:rFonts w:asciiTheme="minorHAnsi" w:hAnsiTheme="minorHAnsi"/>
          <w:b/>
          <w:sz w:val="22"/>
          <w:szCs w:val="22"/>
        </w:rPr>
        <w:lastRenderedPageBreak/>
        <w:t>Bijlage: behandelmogelijkheden EU-voorstellen</w:t>
      </w:r>
    </w:p>
    <w:p w:rsidRPr="00356600" w:rsidR="003B00CB" w:rsidP="003B00CB" w:rsidRDefault="003B00CB">
      <w:pPr>
        <w:rPr>
          <w:rFonts w:asciiTheme="minorHAnsi" w:hAnsiTheme="minorHAnsi"/>
          <w:sz w:val="20"/>
          <w:szCs w:val="20"/>
        </w:rPr>
      </w:pPr>
      <w:proofErr w:type="gramStart"/>
      <w:r w:rsidRPr="00356600">
        <w:rPr>
          <w:rFonts w:asciiTheme="minorHAnsi" w:hAnsiTheme="minorHAnsi"/>
          <w:sz w:val="20"/>
          <w:szCs w:val="20"/>
        </w:rPr>
        <w:t xml:space="preserve">Hieronder treft u een overzicht aan van vaak voorkomende EU-instrumenten en een (niet uitputtend) overzicht van momenten waarop u als commissie of als fractie invloed kunt uitoefenen op de vorming van EU beleid: hetzij via het kabinet; hetzij zelf in Brussel. </w:t>
      </w:r>
      <w:proofErr w:type="gramEnd"/>
    </w:p>
    <w:p w:rsidRPr="00356600" w:rsidR="003B00CB" w:rsidP="003B00CB" w:rsidRDefault="003B00CB">
      <w:pPr>
        <w:rPr>
          <w:rFonts w:asciiTheme="minorHAnsi" w:hAnsiTheme="minorHAnsi"/>
          <w:sz w:val="20"/>
          <w:szCs w:val="20"/>
        </w:rPr>
      </w:pPr>
      <w:r w:rsidRPr="00356600">
        <w:rPr>
          <w:rFonts w:asciiTheme="minorHAnsi" w:hAnsiTheme="minorHAnsi"/>
          <w:sz w:val="20"/>
          <w:szCs w:val="20"/>
        </w:rPr>
        <w:t xml:space="preserve">Indien de Europese Commissie een als </w:t>
      </w:r>
      <w:proofErr w:type="gramStart"/>
      <w:r w:rsidRPr="00356600">
        <w:rPr>
          <w:rFonts w:asciiTheme="minorHAnsi" w:hAnsiTheme="minorHAnsi"/>
          <w:sz w:val="20"/>
          <w:szCs w:val="20"/>
        </w:rPr>
        <w:t>prioritair</w:t>
      </w:r>
      <w:proofErr w:type="gramEnd"/>
      <w:r w:rsidRPr="00356600">
        <w:rPr>
          <w:rFonts w:asciiTheme="minorHAnsi" w:hAnsiTheme="minorHAnsi"/>
          <w:sz w:val="20"/>
          <w:szCs w:val="20"/>
        </w:rPr>
        <w:t xml:space="preserve">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356600" w:rsidR="003B00CB" w:rsidP="003B00CB" w:rsidRDefault="003B00CB">
      <w:pPr>
        <w:pStyle w:val="Voetnoottekst"/>
        <w:rPr>
          <w:rFonts w:asciiTheme="minorHAnsi" w:hAnsiTheme="minorHAnsi"/>
        </w:rPr>
      </w:pPr>
    </w:p>
    <w:tbl>
      <w:tblPr>
        <w:tblStyle w:val="Tabelraster"/>
        <w:tblW w:w="14142" w:type="dxa"/>
        <w:tblLayout w:type="fixed"/>
        <w:tblLook w:val="04A0" w:firstRow="1" w:lastRow="0" w:firstColumn="1" w:lastColumn="0" w:noHBand="0" w:noVBand="1"/>
      </w:tblPr>
      <w:tblGrid>
        <w:gridCol w:w="2093"/>
        <w:gridCol w:w="6946"/>
        <w:gridCol w:w="5103"/>
      </w:tblGrid>
      <w:tr w:rsidRPr="00356600" w:rsidR="003B00CB" w:rsidTr="005944B2">
        <w:tc>
          <w:tcPr>
            <w:tcW w:w="2093" w:type="dxa"/>
          </w:tcPr>
          <w:p w:rsidRPr="00356600" w:rsidR="003B00CB" w:rsidP="005944B2" w:rsidRDefault="003B00CB">
            <w:pPr>
              <w:pStyle w:val="Voetnoottekst"/>
              <w:rPr>
                <w:rFonts w:asciiTheme="minorHAnsi" w:hAnsiTheme="minorHAnsi"/>
                <w:b/>
              </w:rPr>
            </w:pPr>
            <w:r w:rsidRPr="00356600">
              <w:rPr>
                <w:rFonts w:asciiTheme="minorHAnsi" w:hAnsiTheme="minorHAnsi"/>
                <w:b/>
              </w:rPr>
              <w:t>Soort Instrument</w:t>
            </w:r>
          </w:p>
        </w:tc>
        <w:tc>
          <w:tcPr>
            <w:tcW w:w="6946" w:type="dxa"/>
          </w:tcPr>
          <w:p w:rsidRPr="00356600" w:rsidR="003B00CB" w:rsidP="005944B2" w:rsidRDefault="003B00CB">
            <w:pPr>
              <w:pStyle w:val="Voetnoottekst"/>
              <w:rPr>
                <w:rFonts w:asciiTheme="minorHAnsi" w:hAnsiTheme="minorHAnsi"/>
                <w:b/>
              </w:rPr>
            </w:pPr>
            <w:r w:rsidRPr="00356600">
              <w:rPr>
                <w:rFonts w:asciiTheme="minorHAnsi" w:hAnsiTheme="minorHAnsi"/>
                <w:b/>
              </w:rPr>
              <w:t>Toelichting</w:t>
            </w:r>
          </w:p>
        </w:tc>
        <w:tc>
          <w:tcPr>
            <w:tcW w:w="5103" w:type="dxa"/>
          </w:tcPr>
          <w:p w:rsidRPr="00356600" w:rsidR="003B00CB" w:rsidP="005944B2" w:rsidRDefault="003B00CB">
            <w:pPr>
              <w:pStyle w:val="Voetnoottekst"/>
              <w:rPr>
                <w:rFonts w:asciiTheme="minorHAnsi" w:hAnsiTheme="minorHAnsi"/>
                <w:b/>
              </w:rPr>
            </w:pPr>
            <w:r w:rsidRPr="00356600">
              <w:rPr>
                <w:rFonts w:asciiTheme="minorHAnsi" w:hAnsiTheme="minorHAnsi"/>
                <w:b/>
              </w:rPr>
              <w:t xml:space="preserve">Mogelijke beïnvloedingsmomenten </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p>
          <w:p w:rsidRPr="00356600" w:rsidR="003B00CB" w:rsidP="005944B2" w:rsidRDefault="003B00CB">
            <w:pPr>
              <w:pStyle w:val="Voetnoottekst"/>
              <w:rPr>
                <w:rFonts w:asciiTheme="minorHAnsi" w:hAnsiTheme="minorHAnsi"/>
                <w:i/>
              </w:rPr>
            </w:pPr>
            <w:r w:rsidRPr="00356600">
              <w:rPr>
                <w:rFonts w:asciiTheme="minorHAnsi" w:hAnsiTheme="minorHAnsi"/>
                <w:i/>
              </w:rPr>
              <w:t>Wetgevende, bindende rechtshandelingen</w:t>
            </w:r>
            <w:r w:rsidRPr="00356600">
              <w:rPr>
                <w:rStyle w:val="Voetnootmarkering"/>
                <w:rFonts w:asciiTheme="minorHAnsi" w:hAnsiTheme="minorHAnsi"/>
                <w:i/>
              </w:rPr>
              <w:footnoteReference w:id="1"/>
            </w:r>
            <w:r w:rsidRPr="00356600">
              <w:rPr>
                <w:rFonts w:asciiTheme="minorHAnsi" w:hAnsiTheme="minorHAnsi"/>
                <w:i/>
              </w:rPr>
              <w:t xml:space="preserve">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Verordening</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verordening heeft een algemene strekking, is verbindend in al haar onderdelen en is rechtstreeks toepasselijk in elke lidstaat. Dit betekent dat een verordening algemene regels stelt die voor een ieder gelden, direct van toepassing zijn in de nationale rechtsorde en voorrang hebben op (eventueel strijdig) nationaal recht. Soms is aanvullende wetgeving nodig om de verordening volledig te operationaliseren (bijvoorbeeld bij het aanwijzen van een nationale toezichthouder). Een door de EU wetgever (Raad en/of Europees Parlement) aangenomen verordening komt niet terug in de Kamer voor behandeling. </w:t>
            </w:r>
          </w:p>
        </w:tc>
        <w:tc>
          <w:tcPr>
            <w:tcW w:w="5103" w:type="dxa"/>
            <w:vMerge w:val="restart"/>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ambtenaren of Commissaris Europese Commissie (de ‘auteurs’) uitnodigen voor briefing/gesprek, evt. via videoconferentie.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subsidiariteitstoets </w:t>
            </w:r>
            <w:proofErr w:type="gramStart"/>
            <w:r w:rsidRPr="00356600">
              <w:rPr>
                <w:rFonts w:asciiTheme="minorHAnsi" w:hAnsiTheme="minorHAnsi"/>
              </w:rPr>
              <w:t>overwegen</w:t>
            </w:r>
            <w:proofErr w:type="gramEnd"/>
            <w:r w:rsidRPr="00356600">
              <w:rPr>
                <w:rFonts w:asciiTheme="minorHAnsi" w:hAnsiTheme="minorHAnsi"/>
              </w:rPr>
              <w:t>: let op termijn (zie hieronder).</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behandelvoorbehoud </w:t>
            </w:r>
            <w:proofErr w:type="gramStart"/>
            <w:r w:rsidRPr="00356600">
              <w:rPr>
                <w:rFonts w:asciiTheme="minorHAnsi" w:hAnsiTheme="minorHAnsi"/>
              </w:rPr>
              <w:t>overwegen</w:t>
            </w:r>
            <w:proofErr w:type="gramEnd"/>
            <w:r w:rsidRPr="00356600">
              <w:rPr>
                <w:rFonts w:asciiTheme="minorHAnsi" w:hAnsiTheme="minorHAnsi"/>
              </w:rPr>
              <w:t>: let op termijn (zie hieronder).</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ad-hoc rapporteur(s) binnen de commissie(s) benoemen.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tijdens overleg met kabinet NL onderhandelingsinzet aan de orde stellen, evt. aan de hand van het “BNC-fiche”.</w:t>
            </w:r>
            <w:r w:rsidRPr="00356600">
              <w:rPr>
                <w:rStyle w:val="Voetnootmarkering"/>
                <w:rFonts w:asciiTheme="minorHAnsi" w:hAnsiTheme="minorHAnsi"/>
              </w:rPr>
              <w:footnoteReference w:id="2"/>
            </w:r>
            <w:r w:rsidRPr="00356600">
              <w:rPr>
                <w:rFonts w:asciiTheme="minorHAnsi" w:hAnsiTheme="minorHAnsi"/>
              </w:rPr>
              <w:t xml:space="preserve"> </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EP-rapporteur uitnodigen, evt. via videoconferentie.</w:t>
            </w:r>
            <w:r w:rsidRPr="00356600">
              <w:rPr>
                <w:rFonts w:asciiTheme="minorHAnsi" w:hAnsiTheme="minorHAnsi"/>
              </w:rPr>
              <w:br/>
            </w:r>
            <w:r w:rsidRPr="00356600">
              <w:rPr>
                <w:rFonts w:asciiTheme="minorHAnsi" w:hAnsiTheme="minorHAnsi"/>
              </w:rPr>
              <w:br/>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NB: Pas na afronding van het onderhandelingstraject: nationale wetgevingstraject monitoren (</w:t>
            </w:r>
            <w:proofErr w:type="spellStart"/>
            <w:r w:rsidRPr="00356600">
              <w:rPr>
                <w:rFonts w:asciiTheme="minorHAnsi" w:hAnsiTheme="minorHAnsi"/>
              </w:rPr>
              <w:t>i.h.k.v</w:t>
            </w:r>
            <w:proofErr w:type="spellEnd"/>
            <w:r w:rsidRPr="00356600">
              <w:rPr>
                <w:rFonts w:asciiTheme="minorHAnsi" w:hAnsiTheme="minorHAnsi"/>
              </w:rPr>
              <w:t>. omzetting naar nationale wetgeving).</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Richtlijn </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richtlijn is verbindend ten aanzien van het te bereiken resultaat - aan de nationale instanties wordt de bevoegdheid gelaten vorm en middelen te kiezen. Lidstaten dienen richtlijnen om te zetten in nationaal recht - pas dan treden de regels in werking. Een richtlijn laat zo ruimte aan lidstaten om zelf invulling te 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356600" w:rsidR="003B00CB" w:rsidP="005944B2" w:rsidRDefault="003B00CB">
            <w:pPr>
              <w:pStyle w:val="Voetnoottekst"/>
              <w:numPr>
                <w:ilvl w:val="0"/>
                <w:numId w:val="2"/>
              </w:numPr>
              <w:ind w:left="317" w:hanging="283"/>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(Besluit)</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besluit is verbindend in al zijn onderdelen. Indien de adressanten worden </w:t>
            </w:r>
            <w:r w:rsidRPr="00356600">
              <w:rPr>
                <w:rFonts w:asciiTheme="minorHAnsi" w:hAnsiTheme="minorHAnsi"/>
              </w:rPr>
              <w:lastRenderedPageBreak/>
              <w:t xml:space="preserve">vermeld, is zij alleen voor hen verbindend. Met besluiten kunnen algemeen verbindende voorschriften worden toegepast op een concreet geval. Daarnaast kunnen besluiten ook algemeen verbindende voorschriften bevatten. In dat laatste geval is sprake van een wetgevende handeling, in dat eerste geval niet. </w:t>
            </w:r>
            <w:r w:rsidRPr="00356600">
              <w:rPr>
                <w:rFonts w:asciiTheme="minorHAnsi" w:hAnsiTheme="minorHAnsi"/>
              </w:rPr>
              <w:br/>
              <w:t xml:space="preserve">Voor wetgevende besluiten kan gekozen worden als richtlijnen en verordeningen niet geschikt zijn als instrument. Niet-wetgevende besluiten kunnen gericht zijn tot individuele of alle lidstaten (bv. maatregelen tegen onrechtmatige </w:t>
            </w:r>
            <w:proofErr w:type="gramStart"/>
            <w:r w:rsidRPr="00356600">
              <w:rPr>
                <w:rFonts w:asciiTheme="minorHAnsi" w:hAnsiTheme="minorHAnsi"/>
              </w:rPr>
              <w:t>staatssteun</w:t>
            </w:r>
            <w:proofErr w:type="gramEnd"/>
            <w:r w:rsidRPr="00356600">
              <w:rPr>
                <w:rFonts w:asciiTheme="minorHAnsi" w:hAnsiTheme="minorHAnsi"/>
              </w:rPr>
              <w:t xml:space="preserve">) of individuen (natuurlijke personen en rechtspersonen) (bv in mededingingszaken). Verder is er nog een aantal bijzondere besluiten, zoals direct op de Verdragen gebaseerde uitvoeringsbepalingen; besluiten van de Europese Raad (bv het meerjarenplan op JBZ-gebied); en besluiten op het terrein van het Gemeenschappelijk Buitenlands- en </w:t>
            </w:r>
            <w:proofErr w:type="gramStart"/>
            <w:r w:rsidRPr="00356600">
              <w:rPr>
                <w:rFonts w:asciiTheme="minorHAnsi" w:hAnsiTheme="minorHAnsi"/>
              </w:rPr>
              <w:t xml:space="preserve">Veiligheidsbeleid  </w:t>
            </w:r>
            <w:proofErr w:type="gramEnd"/>
            <w:r w:rsidRPr="00356600">
              <w:rPr>
                <w:rFonts w:asciiTheme="minorHAnsi" w:hAnsiTheme="minorHAnsi"/>
              </w:rPr>
              <w:t xml:space="preserve">en besluiten tot het sluiten van internationale verdragen. Deze zijn in de regel niet wetgevend. Indien een besluit alleen door de Commissie wordt genomen, is het een niet-wetgevend besluit. Besluiten op voorstel van de Europese Commissie, genomen door de Raad en het Parlement zullen in de regel wetgevend zijn. Dit zal van geval tot geval moeten worden beoordeeld. </w:t>
            </w:r>
          </w:p>
        </w:tc>
        <w:tc>
          <w:tcPr>
            <w:tcW w:w="5103" w:type="dxa"/>
            <w:vMerge/>
          </w:tcPr>
          <w:p w:rsidRPr="00356600" w:rsidR="003B00CB" w:rsidP="005944B2" w:rsidRDefault="003B00CB">
            <w:pPr>
              <w:pStyle w:val="Voetnoottekst"/>
              <w:numPr>
                <w:ilvl w:val="0"/>
                <w:numId w:val="2"/>
              </w:numPr>
              <w:ind w:left="317" w:hanging="283"/>
              <w:rPr>
                <w:rFonts w:asciiTheme="minorHAnsi" w:hAnsiTheme="minorHAnsi"/>
              </w:rPr>
            </w:pP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lastRenderedPageBreak/>
              <w:t>Niet-wetgevende bindende rechtshandelingen</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Gedelegeerde handeling</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w:t>
            </w:r>
            <w:proofErr w:type="gramStart"/>
            <w:r w:rsidRPr="00356600">
              <w:rPr>
                <w:rFonts w:asciiTheme="minorHAnsi" w:hAnsiTheme="minorHAnsi"/>
              </w:rPr>
              <w:t>derhalve</w:t>
            </w:r>
            <w:proofErr w:type="gramEnd"/>
            <w:r w:rsidRPr="00356600">
              <w:rPr>
                <w:rFonts w:asciiTheme="minorHAnsi" w:hAnsiTheme="minorHAnsi"/>
              </w:rPr>
              <w:t xml:space="preserve"> niet het voorwerp zijn van bevoegdheidsdelegatie. Experts, o.a. uit nationale lidstaten geven in een expertgroep advies over een voorstel tot gedelegeerde handeling. De Commissie stelt de handeling vast. Raad en Europees Parlement kunnen bezwaar maken of de bevoegdheid van de Commissie om de gedelegeerde handeling vast te stellen intrekken.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kabinet per brief of tijdens overleg </w:t>
            </w:r>
            <w:proofErr w:type="gramStart"/>
            <w:r w:rsidRPr="00356600">
              <w:rPr>
                <w:rFonts w:asciiTheme="minorHAnsi" w:hAnsiTheme="minorHAnsi"/>
              </w:rPr>
              <w:t>bevragen</w:t>
            </w:r>
            <w:proofErr w:type="gramEnd"/>
            <w:r w:rsidRPr="00356600">
              <w:rPr>
                <w:rFonts w:asciiTheme="minorHAnsi" w:hAnsiTheme="minorHAnsi"/>
              </w:rPr>
              <w:t xml:space="preserve"> over stand van zaken en appreciatie EU onderhandelingen en NL inzet, inclusief het voornemen van NL of andere lidstaten om binnen de Raad een bezwaarprocedure te initiëren of een procedure tot intrekking van de delegatie.</w:t>
            </w:r>
          </w:p>
          <w:p w:rsidRPr="00356600" w:rsidR="003B00CB" w:rsidP="005944B2" w:rsidRDefault="003B00CB">
            <w:pPr>
              <w:pStyle w:val="Voetnoottekst"/>
              <w:ind w:left="360"/>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proofErr w:type="spellStart"/>
            <w:r w:rsidRPr="00356600">
              <w:rPr>
                <w:rFonts w:asciiTheme="minorHAnsi" w:hAnsiTheme="minorHAnsi"/>
              </w:rPr>
              <w:t>Uitvoerings-handeling</w:t>
            </w:r>
            <w:proofErr w:type="spellEnd"/>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Indien de </w:t>
            </w:r>
            <w:proofErr w:type="gramStart"/>
            <w:r w:rsidRPr="00356600">
              <w:rPr>
                <w:rFonts w:asciiTheme="minorHAnsi" w:hAnsiTheme="minorHAnsi"/>
              </w:rPr>
              <w:t>implementatie</w:t>
            </w:r>
            <w:proofErr w:type="gramEnd"/>
            <w:r w:rsidRPr="00356600">
              <w:rPr>
                <w:rFonts w:asciiTheme="minorHAnsi" w:hAnsiTheme="minorHAnsi"/>
              </w:rPr>
              <w:t xml:space="preserve"> van Unierecht volgens uniforme standaarden van procedurele aard moeten plaatsvinden, kan de Europese Commissie de bevoegdheid worden overgedragen om uitvoeringshandelingen vast te stellen. Uitvoeringshandelingen gaan vaak om een nadere praktische of technische uitwerking van regels die al bestaan, zoals templates, procedures, deadlines, etc. Er wordt over onderhandeld door comités van nationale ambtenaren, voorgezeten door de Europese Commissie. De Commissie stelt de uitvoeringshandeling vast.</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kabinet per brief of tijdens algemeen overleg/debat </w:t>
            </w:r>
            <w:proofErr w:type="gramStart"/>
            <w:r w:rsidRPr="00356600">
              <w:rPr>
                <w:rFonts w:asciiTheme="minorHAnsi" w:hAnsiTheme="minorHAnsi"/>
              </w:rPr>
              <w:t>bevragen</w:t>
            </w:r>
            <w:proofErr w:type="gramEnd"/>
            <w:r w:rsidRPr="00356600">
              <w:rPr>
                <w:rFonts w:asciiTheme="minorHAnsi" w:hAnsiTheme="minorHAnsi"/>
              </w:rPr>
              <w:t xml:space="preserve"> over stand van zaken en appreciatie EU onderhandelingen en NL inzet.</w:t>
            </w:r>
          </w:p>
          <w:p w:rsidRPr="00356600" w:rsidR="003B00CB" w:rsidP="005944B2" w:rsidRDefault="003B00CB">
            <w:pPr>
              <w:numPr>
                <w:ilvl w:val="0"/>
                <w:numId w:val="1"/>
              </w:numPr>
              <w:rPr>
                <w:rFonts w:asciiTheme="minorHAnsi" w:hAnsiTheme="minorHAnsi"/>
                <w:sz w:val="20"/>
                <w:szCs w:val="20"/>
              </w:rPr>
            </w:pPr>
            <w:r w:rsidRPr="00356600">
              <w:rPr>
                <w:rFonts w:asciiTheme="minorHAnsi" w:hAnsiTheme="minorHAnsi"/>
                <w:color w:val="000000"/>
                <w:sz w:val="20"/>
                <w:szCs w:val="20"/>
              </w:rPr>
              <w:t xml:space="preserve">op basis van </w:t>
            </w:r>
            <w:r w:rsidRPr="00356600">
              <w:rPr>
                <w:rFonts w:asciiTheme="minorHAnsi" w:hAnsiTheme="minorHAnsi"/>
                <w:sz w:val="20"/>
                <w:szCs w:val="20"/>
              </w:rPr>
              <w:t xml:space="preserve">de </w:t>
            </w:r>
            <w:hyperlink w:history="1" r:id="rId17">
              <w:r w:rsidRPr="00356600">
                <w:rPr>
                  <w:rFonts w:asciiTheme="minorHAnsi" w:hAnsiTheme="minorHAnsi"/>
                  <w:sz w:val="20"/>
                  <w:szCs w:val="20"/>
                  <w:u w:val="single"/>
                </w:rPr>
                <w:t>(gewijzigde) motie Van Gent</w:t>
              </w:r>
            </w:hyperlink>
            <w:r w:rsidRPr="00356600">
              <w:rPr>
                <w:rFonts w:asciiTheme="minorHAnsi" w:hAnsiTheme="minorHAnsi"/>
                <w:color w:val="000000"/>
                <w:sz w:val="20"/>
                <w:szCs w:val="20"/>
              </w:rPr>
              <w:t xml:space="preserve"> dient het kabinet de Kamer afschriften te sturen van zijn correspondentie met de Europese Commissie over de uitvoering van Europese regelgeving.</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lastRenderedPageBreak/>
              <w:t>Handelingen vastgesteld volgens de regelgevingsprocedure met toetsing</w:t>
            </w:r>
          </w:p>
        </w:tc>
        <w:tc>
          <w:tcPr>
            <w:tcW w:w="6946" w:type="dxa"/>
          </w:tcPr>
          <w:p w:rsidRPr="00356600" w:rsidR="003B00CB" w:rsidP="005944B2" w:rsidRDefault="003B00CB">
            <w:pPr>
              <w:rPr>
                <w:rFonts w:asciiTheme="minorHAnsi" w:hAnsiTheme="minorHAnsi"/>
                <w:sz w:val="20"/>
                <w:szCs w:val="20"/>
              </w:rPr>
            </w:pPr>
            <w:r w:rsidRPr="00356600">
              <w:rPr>
                <w:rFonts w:asciiTheme="minorHAnsi" w:hAnsiTheme="minorHAnsi"/>
                <w:sz w:val="20"/>
                <w:szCs w:val="20"/>
              </w:rPr>
              <w:t xml:space="preserve">Deze procedure komt nog voor in Europese wetgeving van voor 2009. Bij deze procedure wordt de Europese Commissie geadviseerd  door een zogeheten regelgevend comité met toetsing </w:t>
            </w:r>
            <w:proofErr w:type="gramStart"/>
            <w:r w:rsidRPr="00356600">
              <w:rPr>
                <w:rFonts w:asciiTheme="minorHAnsi" w:hAnsiTheme="minorHAnsi"/>
                <w:sz w:val="20"/>
                <w:szCs w:val="20"/>
              </w:rPr>
              <w:t xml:space="preserve">met  </w:t>
            </w:r>
            <w:proofErr w:type="gramEnd"/>
            <w:r w:rsidRPr="00356600">
              <w:rPr>
                <w:rFonts w:asciiTheme="minorHAnsi" w:hAnsiTheme="minorHAnsi"/>
                <w:sz w:val="20"/>
                <w:szCs w:val="20"/>
              </w:rPr>
              <w:t>vertegenwoordigers van lidstaten. Dit comité spreekt zich met gekwalificeerde meerderheid van stemmen uit over het voorstel. EP en Raad kunnen bezwaar maken.</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kabinet per brief of tijdens overleg </w:t>
            </w:r>
            <w:proofErr w:type="gramStart"/>
            <w:r w:rsidRPr="00356600">
              <w:rPr>
                <w:rFonts w:asciiTheme="minorHAnsi" w:hAnsiTheme="minorHAnsi"/>
              </w:rPr>
              <w:t>bevragen</w:t>
            </w:r>
            <w:proofErr w:type="gramEnd"/>
            <w:r w:rsidRPr="00356600">
              <w:rPr>
                <w:rFonts w:asciiTheme="minorHAnsi" w:hAnsiTheme="minorHAnsi"/>
              </w:rPr>
              <w:t xml:space="preserve"> over stand van zaken en appreciatie EU onderhandelingen en NL inzet, inclusief het voornemen van NL of andere lidstaten om binnen de Raad een bezwaarprocedure te initiëren.</w:t>
            </w:r>
          </w:p>
          <w:p w:rsidRPr="00356600" w:rsidR="003B00CB" w:rsidP="005944B2" w:rsidRDefault="003B00CB">
            <w:pPr>
              <w:pStyle w:val="Voetnoottekst"/>
              <w:numPr>
                <w:ilvl w:val="0"/>
                <w:numId w:val="1"/>
              </w:numPr>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Bijzondere rechtshandelingen</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Er bestaan nog andere typen niet-wetgevende rechtshandelingen waarvan op voorhand niet te zeggen zijn of zij bindend zijn of niet. Bijvoorbeeld meerjarige kaderprogramma’s of actieprogramma’s. Deze programma’s worden vastgesteld volgens dezelfde wetgevingsprocedures als richtlijnen en verordeningen. Het is zaak goed in de teksten te bezien wat de voorgestelde rechtskracht is.</w:t>
            </w:r>
          </w:p>
          <w:p w:rsidRPr="00356600" w:rsidR="003B00CB" w:rsidP="005944B2" w:rsidRDefault="003B00CB">
            <w:pPr>
              <w:pStyle w:val="Voetnoottekst"/>
              <w:rPr>
                <w:rFonts w:asciiTheme="minorHAnsi" w:hAnsiTheme="minorHAnsi"/>
              </w:rPr>
            </w:pP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kabinetsappreciatie (‘BNC-fiche’) vragen, bespreken.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ambtenaren of Commissaris van Europese Commissie (de ‘auteurs’) uitnodigen voor briefing/gesprek, evt. via videoconferentie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indien het Europees Parlement een rapporteur heeft aangesteld kan deze desgewenst worden uitgenodigd voor een gesprek.</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uw commissie kan op dit onderwerp een ad-hoc rapporteur benoemen</w:t>
            </w:r>
          </w:p>
          <w:p w:rsidRPr="00356600" w:rsidR="003B00CB" w:rsidP="005944B2" w:rsidRDefault="003B00CB">
            <w:pPr>
              <w:pStyle w:val="Voetnoottekst"/>
              <w:ind w:left="360"/>
              <w:rPr>
                <w:rFonts w:asciiTheme="minorHAnsi" w:hAnsiTheme="minorHAnsi"/>
              </w:rPr>
            </w:pPr>
            <w:proofErr w:type="gramStart"/>
            <w:r w:rsidRPr="00356600">
              <w:rPr>
                <w:rFonts w:asciiTheme="minorHAnsi" w:hAnsiTheme="minorHAnsi"/>
              </w:rPr>
              <w:t>nationale</w:t>
            </w:r>
            <w:proofErr w:type="gramEnd"/>
            <w:r w:rsidRPr="00356600">
              <w:rPr>
                <w:rFonts w:asciiTheme="minorHAnsi" w:hAnsiTheme="minorHAnsi"/>
              </w:rPr>
              <w:t xml:space="preserve"> wetgevingstraject (</w:t>
            </w:r>
            <w:proofErr w:type="spellStart"/>
            <w:r w:rsidRPr="00356600">
              <w:rPr>
                <w:rFonts w:asciiTheme="minorHAnsi" w:hAnsiTheme="minorHAnsi"/>
              </w:rPr>
              <w:t>i.h.k.v</w:t>
            </w:r>
            <w:proofErr w:type="spellEnd"/>
            <w:r w:rsidRPr="00356600">
              <w:rPr>
                <w:rFonts w:asciiTheme="minorHAnsi" w:hAnsiTheme="minorHAnsi"/>
              </w:rPr>
              <w:t>. omzetting van richtlijn naar nationale wetgeving).</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t>Niet-bindende handelingen (soft-</w:t>
            </w:r>
            <w:proofErr w:type="spellStart"/>
            <w:r w:rsidRPr="00356600">
              <w:rPr>
                <w:rFonts w:asciiTheme="minorHAnsi" w:hAnsiTheme="minorHAnsi"/>
                <w:i/>
              </w:rPr>
              <w:t>law</w:t>
            </w:r>
            <w:proofErr w:type="spellEnd"/>
            <w:r w:rsidRPr="00356600">
              <w:rPr>
                <w:rFonts w:asciiTheme="minorHAnsi" w:hAnsiTheme="minorHAnsi"/>
                <w:i/>
              </w:rPr>
              <w:t>)</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Advies, aanbeveling, mededeling</w:t>
            </w: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tc>
        <w:tc>
          <w:tcPr>
            <w:tcW w:w="6946" w:type="dxa"/>
          </w:tcPr>
          <w:p w:rsidRPr="00356600" w:rsidR="003B00CB" w:rsidP="005944B2" w:rsidRDefault="003B00CB">
            <w:pPr>
              <w:pStyle w:val="Voetnoottekst"/>
              <w:spacing w:before="100" w:beforeAutospacing="1" w:after="100" w:afterAutospacing="1"/>
              <w:rPr>
                <w:rFonts w:asciiTheme="minorHAnsi" w:hAnsiTheme="minorHAnsi"/>
              </w:rPr>
            </w:pPr>
            <w:r w:rsidRPr="00356600">
              <w:rPr>
                <w:rFonts w:asciiTheme="minorHAnsi" w:hAnsiTheme="minorHAnsi"/>
              </w:rPr>
              <w:t>De EU kent een grote hoeveelheid uiteenlopende typen beleid (‘</w:t>
            </w:r>
            <w:proofErr w:type="gramStart"/>
            <w:r w:rsidRPr="00356600">
              <w:rPr>
                <w:rFonts w:asciiTheme="minorHAnsi" w:hAnsiTheme="minorHAnsi"/>
              </w:rPr>
              <w:t>soft</w:t>
            </w:r>
            <w:proofErr w:type="gramEnd"/>
            <w:r w:rsidRPr="00356600">
              <w:rPr>
                <w:rFonts w:asciiTheme="minorHAnsi" w:hAnsiTheme="minorHAnsi"/>
              </w:rPr>
              <w:t xml:space="preserve"> </w:t>
            </w:r>
            <w:proofErr w:type="spellStart"/>
            <w:r w:rsidRPr="00356600">
              <w:rPr>
                <w:rFonts w:asciiTheme="minorHAnsi" w:hAnsiTheme="minorHAnsi"/>
              </w:rPr>
              <w:t>law</w:t>
            </w:r>
            <w:proofErr w:type="spellEnd"/>
            <w:r w:rsidRPr="00356600">
              <w:rPr>
                <w:rFonts w:asciiTheme="minorHAnsi" w:hAnsiTheme="minorHAnsi"/>
              </w:rPr>
              <w:t>’) 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worden naar soft-</w:t>
            </w:r>
            <w:proofErr w:type="spellStart"/>
            <w:r w:rsidRPr="00356600">
              <w:rPr>
                <w:rFonts w:asciiTheme="minorHAnsi" w:hAnsiTheme="minorHAnsi"/>
              </w:rPr>
              <w:t>law</w:t>
            </w:r>
            <w:proofErr w:type="spellEnd"/>
            <w:r w:rsidRPr="00356600">
              <w:rPr>
                <w:rFonts w:asciiTheme="minorHAnsi" w:hAnsiTheme="minorHAnsi"/>
              </w:rPr>
              <w:t xml:space="preserve">.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om appreciatie in de vorm van BNC-fiche verzoeken aangezien over deze categorie niet standaard een fiche wordt gemaakt.</w:t>
            </w: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t xml:space="preserve">Overige handelingen en instrumenten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Routekaart, actieplannen, strategie, agenda </w:t>
            </w:r>
          </w:p>
        </w:tc>
        <w:tc>
          <w:tcPr>
            <w:tcW w:w="6946" w:type="dxa"/>
          </w:tcPr>
          <w:p w:rsidRPr="00356600" w:rsidR="003B00CB" w:rsidP="005944B2" w:rsidRDefault="003B00CB">
            <w:pPr>
              <w:pStyle w:val="Voetnoottekst"/>
              <w:rPr>
                <w:rFonts w:asciiTheme="minorHAnsi" w:hAnsiTheme="minorHAnsi"/>
              </w:rPr>
            </w:pPr>
            <w:r w:rsidRPr="00356600">
              <w:rPr>
                <w:rFonts w:cs="Arial" w:asciiTheme="minorHAnsi" w:hAnsiTheme="minorHAnsi"/>
              </w:rPr>
              <w:t xml:space="preserve">Via routekaarten, actieplannen, strategieën en agenda’s informeert de Europese Commissie belanghebbenden en burgers over nieuwe initiatieven, evaluaties en geschiktheidscontroles. In deze documenten </w:t>
            </w:r>
            <w:r w:rsidRPr="00356600">
              <w:rPr>
                <w:rStyle w:val="Zwaar"/>
                <w:rFonts w:cs="Arial" w:asciiTheme="minorHAnsi" w:hAnsiTheme="minorHAnsi"/>
                <w:b w:val="0"/>
              </w:rPr>
              <w:t>voor nieuwe initiatieven</w:t>
            </w:r>
            <w:r w:rsidRPr="00356600">
              <w:rPr>
                <w:rFonts w:cs="Arial" w:asciiTheme="minorHAnsi" w:hAnsiTheme="minorHAnsi"/>
              </w:rPr>
              <w:t xml:space="preserve"> wordt uitgelegd wat het probleem is, wat de Commissie wil bereiken, waarom juist de EU maatregelen moet nemen, wat de toegevoegde waarde is en welke alternatieven er zijn. </w:t>
            </w:r>
            <w:proofErr w:type="gramStart"/>
            <w:r w:rsidRPr="00356600">
              <w:rPr>
                <w:rFonts w:cs="Arial" w:asciiTheme="minorHAnsi" w:hAnsiTheme="minorHAnsi"/>
              </w:rPr>
              <w:t>In deze documenten</w:t>
            </w:r>
            <w:r w:rsidRPr="00356600">
              <w:rPr>
                <w:rStyle w:val="Zwaar"/>
                <w:rFonts w:cs="Arial" w:asciiTheme="minorHAnsi" w:hAnsiTheme="minorHAnsi"/>
              </w:rPr>
              <w:t xml:space="preserve"> </w:t>
            </w:r>
            <w:r w:rsidRPr="00356600">
              <w:rPr>
                <w:rStyle w:val="Zwaar"/>
                <w:rFonts w:cs="Arial" w:asciiTheme="minorHAnsi" w:hAnsiTheme="minorHAnsi"/>
                <w:b w:val="0"/>
              </w:rPr>
              <w:t>voor evaluaties en geschiktheidscontroles</w:t>
            </w:r>
            <w:r w:rsidRPr="00356600">
              <w:rPr>
                <w:rFonts w:cs="Arial" w:asciiTheme="minorHAnsi" w:hAnsiTheme="minorHAnsi"/>
              </w:rPr>
              <w:t xml:space="preserve"> wordt bepaald wat er geëvalueerd moet worden en welke aspecten moeten worden onderzocht. </w:t>
            </w:r>
            <w:proofErr w:type="gramEnd"/>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om appreciatie in de vorm van BNC-fiche verzoeken aangezien over deze categorie niet standaard een fiche wordt gemaakt</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en/of kabinet vragen om NL inzet (per commissiebrief of tijdens algemeen overleg/debat).</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Groen- en witboek</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Groenboek: een discussiestuk, waarmee de Europese Commissie de stand van </w:t>
            </w:r>
            <w:r w:rsidRPr="00356600">
              <w:rPr>
                <w:rFonts w:asciiTheme="minorHAnsi" w:hAnsiTheme="minorHAnsi"/>
              </w:rPr>
              <w:lastRenderedPageBreak/>
              <w:t xml:space="preserve">zaken inventariseert </w:t>
            </w:r>
            <w:proofErr w:type="gramStart"/>
            <w:r w:rsidRPr="00356600">
              <w:rPr>
                <w:rFonts w:asciiTheme="minorHAnsi" w:hAnsiTheme="minorHAnsi"/>
              </w:rPr>
              <w:t>omtrent</w:t>
            </w:r>
            <w:proofErr w:type="gramEnd"/>
            <w:r w:rsidRPr="00356600">
              <w:rPr>
                <w:rFonts w:asciiTheme="minorHAnsi" w:hAnsiTheme="minorHAnsi"/>
              </w:rPr>
              <w:t xml:space="preserve"> een onderwerp. Ook doet ze aanbevelingen voor nieuw beleid. </w:t>
            </w: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r w:rsidRPr="00356600">
              <w:rPr>
                <w:rFonts w:asciiTheme="minorHAnsi" w:hAnsiTheme="minorHAnsi"/>
              </w:rPr>
              <w:t>Witboek: hierin zet de Europese Commissie uiteen hoe zij bepaalde doelen wil bereiken. Vaak worden in een witboek al concrete voorstellen uitgewerkt en toegelicht.</w:t>
            </w:r>
          </w:p>
          <w:p w:rsidRPr="00356600" w:rsidR="003B00CB" w:rsidP="005944B2" w:rsidRDefault="003B00CB">
            <w:pPr>
              <w:pStyle w:val="Voetnoottekst"/>
              <w:rPr>
                <w:rFonts w:asciiTheme="minorHAnsi" w:hAnsiTheme="minorHAnsi"/>
              </w:rPr>
            </w:pPr>
            <w:r w:rsidRPr="00356600">
              <w:rPr>
                <w:rFonts w:asciiTheme="minorHAnsi" w:hAnsiTheme="minorHAnsi"/>
              </w:rPr>
              <w:t xml:space="preserve">De Europese Commissie nodigt overheden, nationale parlementen en andere organisaties uit om binnen een bepaalde termijn op een Groen- of Witboek te reageren.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lastRenderedPageBreak/>
              <w:t xml:space="preserve">desgewenst ambtenaren EC of Europees Commissaris </w:t>
            </w:r>
            <w:r w:rsidRPr="00356600">
              <w:rPr>
                <w:rFonts w:asciiTheme="minorHAnsi" w:hAnsiTheme="minorHAnsi"/>
              </w:rPr>
              <w:lastRenderedPageBreak/>
              <w:t>uitnodigen voor een toelichting.</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in commissieverband (via schriftelijke inbreng in de vorm van een politieke dialoog) of als lid, burger of via fracties een reactie sturen aan de Europese Commissie.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kabinet stuurt de Kamer het concept van haar reactie op Groen- en Witboeken </w:t>
            </w:r>
            <w:proofErr w:type="gramStart"/>
            <w:r w:rsidRPr="00356600">
              <w:rPr>
                <w:rFonts w:asciiTheme="minorHAnsi" w:hAnsiTheme="minorHAnsi"/>
              </w:rPr>
              <w:t>tenminste</w:t>
            </w:r>
            <w:proofErr w:type="gramEnd"/>
            <w:r w:rsidRPr="00356600">
              <w:rPr>
                <w:rFonts w:asciiTheme="minorHAnsi" w:hAnsiTheme="minorHAnsi"/>
              </w:rPr>
              <w:t xml:space="preserve"> dertig dagen voor het verstrijken van de reactietermijn bij de Europese Commissie. Ook de definitieve reactie wordt in afschrift aan de Kamer gezonden. Deze reactie kan in behandeling worden genomen, bv. door te agenderen voor een algemeen overleg/debat.</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lastRenderedPageBreak/>
              <w:t>Openbare raadpleging (consultatie)</w:t>
            </w:r>
          </w:p>
        </w:tc>
        <w:tc>
          <w:tcPr>
            <w:tcW w:w="6946" w:type="dxa"/>
          </w:tcPr>
          <w:p w:rsidRPr="00356600" w:rsidR="003B00CB" w:rsidP="005944B2" w:rsidRDefault="003B00CB">
            <w:pPr>
              <w:pStyle w:val="Voetnoottekst"/>
              <w:spacing w:before="100" w:beforeAutospacing="1" w:after="100" w:afterAutospacing="1"/>
              <w:rPr>
                <w:rFonts w:asciiTheme="minorHAnsi" w:hAnsiTheme="minorHAnsi"/>
              </w:rPr>
            </w:pPr>
            <w:r w:rsidRPr="00356600">
              <w:rPr>
                <w:rFonts w:asciiTheme="minorHAnsi" w:hAnsiTheme="minorHAnsi"/>
              </w:rPr>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18">
              <w:r w:rsidRPr="00356600">
                <w:rPr>
                  <w:rStyle w:val="Hyperlink"/>
                  <w:rFonts w:asciiTheme="minorHAnsi" w:hAnsiTheme="minorHAnsi"/>
                </w:rPr>
                <w:t>Bekijk alle openbare raadplegingen op "Uw stem in Europa"</w:t>
              </w:r>
            </w:hyperlink>
            <w:r w:rsidRPr="00356600">
              <w:rPr>
                <w:rFonts w:asciiTheme="minorHAnsi" w:hAnsiTheme="minorHAnsi"/>
              </w:rPr>
              <w:t xml:space="preserve"> . </w:t>
            </w:r>
          </w:p>
        </w:tc>
        <w:tc>
          <w:tcPr>
            <w:tcW w:w="5103" w:type="dxa"/>
          </w:tcPr>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als burger, lid, fractie of in commissieverband (via schriftelijke inbreng in de vorm van een politieke dialoog). meedoen aan de openbare raadpleging.</w:t>
            </w:r>
          </w:p>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 xml:space="preserve">kabinet verzoeken om de concept-kabinetsreactie naar de Kamer te sturen voordat de definitieve versie naar de Europese Commissie wordt gestuurd, </w:t>
            </w:r>
            <w:proofErr w:type="gramStart"/>
            <w:r w:rsidRPr="00356600">
              <w:rPr>
                <w:rFonts w:asciiTheme="minorHAnsi" w:hAnsiTheme="minorHAnsi"/>
              </w:rPr>
              <w:t>teneinde</w:t>
            </w:r>
            <w:proofErr w:type="gramEnd"/>
            <w:r w:rsidRPr="00356600">
              <w:rPr>
                <w:rFonts w:asciiTheme="minorHAnsi" w:hAnsiTheme="minorHAnsi"/>
              </w:rPr>
              <w:t xml:space="preserve"> desgewenst hierover met de bewindspersoon in gesprek te treden.</w:t>
            </w:r>
          </w:p>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 xml:space="preserve">de Kamer ontvangt </w:t>
            </w:r>
            <w:proofErr w:type="gramStart"/>
            <w:r w:rsidRPr="00356600">
              <w:rPr>
                <w:rFonts w:asciiTheme="minorHAnsi" w:hAnsiTheme="minorHAnsi"/>
              </w:rPr>
              <w:t>krachtens</w:t>
            </w:r>
            <w:proofErr w:type="gramEnd"/>
            <w:r w:rsidRPr="00356600">
              <w:rPr>
                <w:rFonts w:asciiTheme="minorHAnsi" w:hAnsiTheme="minorHAnsi"/>
              </w:rPr>
              <w:t xml:space="preserve"> de standaard-informatieafspraken de definitieve kabinetsreactie op alle consultaties van de Europese Commissie waarop het kabinet reageert.</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t>Uitgelicht: twee specifieke parlementaire instrumenten bij nieuw gepubliceerde EU-voorstellen</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Subsidiariteitstoets </w:t>
            </w:r>
          </w:p>
          <w:p w:rsidRPr="00356600" w:rsidR="003B00CB" w:rsidP="005944B2" w:rsidRDefault="003B00CB">
            <w:pPr>
              <w:pStyle w:val="Voetnoottekst"/>
              <w:rPr>
                <w:rFonts w:asciiTheme="minorHAnsi" w:hAnsiTheme="minorHAnsi"/>
              </w:rPr>
            </w:pPr>
            <w:r w:rsidRPr="00356600">
              <w:rPr>
                <w:rFonts w:asciiTheme="minorHAnsi" w:hAnsiTheme="minorHAnsi"/>
              </w:rPr>
              <w:t>(richting EU)</w:t>
            </w:r>
          </w:p>
        </w:tc>
        <w:tc>
          <w:tcPr>
            <w:tcW w:w="6946" w:type="dxa"/>
          </w:tcPr>
          <w:p w:rsidRPr="00356600" w:rsidR="003B00CB" w:rsidP="005944B2" w:rsidRDefault="003B00CB">
            <w:pPr>
              <w:pStyle w:val="Lijstalinea"/>
              <w:ind w:left="0"/>
              <w:rPr>
                <w:rFonts w:asciiTheme="minorHAnsi" w:hAnsiTheme="minorHAnsi"/>
                <w:sz w:val="20"/>
                <w:szCs w:val="20"/>
              </w:rPr>
            </w:pPr>
            <w:r w:rsidRPr="00356600">
              <w:rPr>
                <w:rFonts w:asciiTheme="minorHAnsi" w:hAnsiTheme="minorHAnsi"/>
                <w:sz w:val="20"/>
                <w:szCs w:val="20"/>
              </w:rPr>
              <w:t xml:space="preserve">Bij een subsidiariteitstoets toetst een nationale (Kamer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verzonden. De nationale parlementen kunnen binnen acht weken bezwaar maken uit een oogpunt van subsidiariteit. Een zgn. “gele kaart” is voor de Commissie geldig als 1/3 van de nationale parlementen een voorstel in strijd acht met het subsidiariteitsbeginsel. De Europese Commissie moet dan haar voorstel heroverwegen. In totaal zijn er 28 Parlementen met 41 Kamers in de EU. </w:t>
            </w:r>
            <w:r w:rsidRPr="00356600">
              <w:rPr>
                <w:rFonts w:asciiTheme="minorHAnsi" w:hAnsiTheme="minorHAnsi" w:cstheme="minorHAnsi"/>
                <w:color w:val="000000" w:themeColor="text1"/>
                <w:sz w:val="20"/>
                <w:szCs w:val="20"/>
              </w:rPr>
              <w:t xml:space="preserve">Elk parlement krijgt 2 stemmen, maar bij een </w:t>
            </w:r>
            <w:proofErr w:type="spellStart"/>
            <w:r w:rsidRPr="00356600">
              <w:rPr>
                <w:rFonts w:asciiTheme="minorHAnsi" w:hAnsiTheme="minorHAnsi" w:cstheme="minorHAnsi"/>
                <w:color w:val="000000" w:themeColor="text1"/>
                <w:sz w:val="20"/>
                <w:szCs w:val="20"/>
              </w:rPr>
              <w:t>bicameraal</w:t>
            </w:r>
            <w:proofErr w:type="spellEnd"/>
            <w:r w:rsidRPr="00356600">
              <w:rPr>
                <w:rFonts w:asciiTheme="minorHAnsi" w:hAnsiTheme="minorHAnsi" w:cstheme="minorHAnsi"/>
                <w:color w:val="000000" w:themeColor="text1"/>
                <w:sz w:val="20"/>
                <w:szCs w:val="20"/>
              </w:rPr>
              <w:t xml:space="preserve"> stelsel, zoals in Nederland, krijgt elke kamer 1 stem</w:t>
            </w:r>
            <w:r w:rsidRPr="00356600">
              <w:rPr>
                <w:rFonts w:asciiTheme="minorHAnsi" w:hAnsiTheme="minorHAnsi"/>
                <w:sz w:val="20"/>
                <w:szCs w:val="20"/>
              </w:rPr>
              <w:t>.</w:t>
            </w:r>
            <w:r w:rsidRPr="00356600">
              <w:rPr>
                <w:rFonts w:asciiTheme="minorHAnsi" w:hAnsiTheme="minorHAnsi" w:cstheme="minorHAnsi"/>
                <w:color w:val="000000" w:themeColor="text1"/>
                <w:sz w:val="20"/>
                <w:szCs w:val="20"/>
              </w:rPr>
              <w:t xml:space="preserve"> Om een gele kaart te trekken moeten er 19 stemmen worden gehaald.</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bij wetgevende EU-voorstellen kan een Kamercommissie besluiten tot het uitvoeren van een subsidiariteitstoets. Let op: dit moet binnen acht weken na het uitkomen van alle taalversies van het voorstel.</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kabinetsappreciatie (‘BNC-fiche’) komt voor aangekondigde subsidiariteitstoetsen binnen drie weken t.b.v. een snelle behandeling.</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met andere parlementen in overleg treden t.b.v. behalen meerderheid voor ’gele kaart’ (</w:t>
            </w:r>
            <w:proofErr w:type="gramStart"/>
            <w:r w:rsidRPr="00356600">
              <w:rPr>
                <w:rFonts w:asciiTheme="minorHAnsi" w:hAnsiTheme="minorHAnsi"/>
              </w:rPr>
              <w:t>1</w:t>
            </w:r>
            <w:proofErr w:type="gramEnd"/>
            <w:r w:rsidRPr="00356600">
              <w:rPr>
                <w:rFonts w:asciiTheme="minorHAnsi" w:hAnsiTheme="minorHAnsi"/>
              </w:rPr>
              <w:t xml:space="preserve">/3 stemmen) via parlementaire vertegenwoordiging en/of fractielijnen.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lastRenderedPageBreak/>
              <w:t>Behandel-voorbehoud (richting regering)</w:t>
            </w:r>
          </w:p>
        </w:tc>
        <w:tc>
          <w:tcPr>
            <w:tcW w:w="6946" w:type="dxa"/>
          </w:tcPr>
          <w:p w:rsidRPr="00356600" w:rsidR="003B00CB" w:rsidP="005944B2" w:rsidRDefault="003B00CB">
            <w:pPr>
              <w:pStyle w:val="Lijstalinea"/>
              <w:ind w:left="34"/>
              <w:rPr>
                <w:rFonts w:asciiTheme="minorHAnsi" w:hAnsiTheme="minorHAnsi"/>
                <w:sz w:val="20"/>
                <w:szCs w:val="20"/>
              </w:rPr>
            </w:pPr>
            <w:r w:rsidRPr="00356600">
              <w:rPr>
                <w:rFonts w:asciiTheme="minorHAnsi" w:hAnsiTheme="minorHAnsi"/>
                <w:sz w:val="20"/>
                <w:szCs w:val="20"/>
              </w:rPr>
              <w:t xml:space="preserve">Zodra de Europese Commissie een wetgevend voorstel heeft gepresenteerd, kan de Kamer binnen 8 weken besluiten dat zij het voorstel van dusdanig politiek belang acht, dat de Kamer door de regering op bijzondere wijze geïnformeerd wil blijven worden over de EU onderhandelingen. De Kamer stelt het kabinet hiervan schriftelijk op de hoogte. Binnen vier weken na dit besluit vindt er een overleg plaats met het kabinet - tot aan dit overleg wordt het kabinet geacht op de onderhandelingen </w:t>
            </w:r>
            <w:proofErr w:type="gramStart"/>
            <w:r w:rsidRPr="00356600">
              <w:rPr>
                <w:rFonts w:asciiTheme="minorHAnsi" w:hAnsiTheme="minorHAnsi"/>
                <w:sz w:val="20"/>
                <w:szCs w:val="20"/>
              </w:rPr>
              <w:t>inzake</w:t>
            </w:r>
            <w:proofErr w:type="gramEnd"/>
            <w:r w:rsidRPr="00356600">
              <w:rPr>
                <w:rFonts w:asciiTheme="minorHAnsi" w:hAnsiTheme="minorHAnsi"/>
                <w:sz w:val="20"/>
                <w:szCs w:val="20"/>
              </w:rPr>
              <w:t xml:space="preserve"> dit dossier in de EU geen onomkeerbare beslissingen te nemen. Tijdens dit overleg worden afspraken gemaakt over de informatieverstrekking door het kabinet aan de Kamer, over het verloop van de onderhandelingen en over een eventueel vervolgoverleg. Deze afspraken worden in een brief aan het kabinet vastgelegd. Zodra het nadere overleg heeft plaatsgevonden, wordt het behandelvoorbehoud opgeheven.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bij wetgevende EU-voorstellen kan een commissie besluiten tot het uitvoeren van een zgn. ‘behandelvoorbehoud’. Over deze brief moet </w:t>
            </w:r>
            <w:proofErr w:type="gramStart"/>
            <w:r w:rsidRPr="00356600">
              <w:rPr>
                <w:rFonts w:asciiTheme="minorHAnsi" w:hAnsiTheme="minorHAnsi"/>
              </w:rPr>
              <w:t>plenair</w:t>
            </w:r>
            <w:proofErr w:type="gramEnd"/>
            <w:r w:rsidRPr="00356600">
              <w:rPr>
                <w:rFonts w:asciiTheme="minorHAnsi" w:hAnsiTheme="minorHAnsi"/>
              </w:rPr>
              <w:t xml:space="preserve"> gestemd worden (let op de termijnen).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tijdens een speciaal overleg kan de commissie afspraken maken over informatieverstrekking (bv. in kwartaalrapportages) zolang het desbetreffende dossier in onderhandeling is.</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kabinetsappreciatie (‘BNC-fiche’) komt voor aangekondigde </w:t>
            </w:r>
            <w:proofErr w:type="spellStart"/>
            <w:r w:rsidRPr="00356600">
              <w:rPr>
                <w:rFonts w:asciiTheme="minorHAnsi" w:hAnsiTheme="minorHAnsi"/>
              </w:rPr>
              <w:t>behandelvoorbehouden</w:t>
            </w:r>
            <w:proofErr w:type="spellEnd"/>
            <w:r w:rsidRPr="00356600">
              <w:rPr>
                <w:rFonts w:asciiTheme="minorHAnsi" w:hAnsiTheme="minorHAnsi"/>
              </w:rPr>
              <w:t xml:space="preserve"> binnen drie weken t.b.v. een snelle behandeling.</w:t>
            </w:r>
          </w:p>
          <w:p w:rsidRPr="00356600" w:rsidR="003B00CB" w:rsidP="005944B2" w:rsidRDefault="003B00CB">
            <w:pPr>
              <w:pStyle w:val="Voetnoottekst"/>
              <w:rPr>
                <w:rFonts w:asciiTheme="minorHAnsi" w:hAnsiTheme="minorHAnsi"/>
              </w:rPr>
            </w:pPr>
          </w:p>
        </w:tc>
      </w:tr>
    </w:tbl>
    <w:p w:rsidRPr="00356600" w:rsidR="003B00CB" w:rsidRDefault="003B00CB">
      <w:pPr>
        <w:rPr>
          <w:rFonts w:asciiTheme="minorHAnsi" w:hAnsiTheme="minorHAnsi"/>
          <w:sz w:val="20"/>
          <w:szCs w:val="20"/>
        </w:rPr>
      </w:pPr>
    </w:p>
    <w:sectPr w:rsidRPr="00356600" w:rsidR="003B00CB" w:rsidSect="00C30329">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3C6" w:rsidRDefault="00EC53C6" w:rsidP="003B00CB">
      <w:r>
        <w:separator/>
      </w:r>
    </w:p>
  </w:endnote>
  <w:endnote w:type="continuationSeparator" w:id="0">
    <w:p w:rsidR="00EC53C6" w:rsidRDefault="00EC53C6" w:rsidP="003B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3C6" w:rsidRDefault="00EC53C6" w:rsidP="003B00CB">
      <w:r>
        <w:separator/>
      </w:r>
    </w:p>
  </w:footnote>
  <w:footnote w:type="continuationSeparator" w:id="0">
    <w:p w:rsidR="00EC53C6" w:rsidRDefault="00EC53C6" w:rsidP="003B00CB">
      <w:r>
        <w:continuationSeparator/>
      </w:r>
    </w:p>
  </w:footnote>
  <w:footnote w:id="1">
    <w:p w:rsidR="003B00CB" w:rsidRDefault="003B00CB" w:rsidP="003B00CB">
      <w:pPr>
        <w:pStyle w:val="Voetnoottekst"/>
      </w:pPr>
      <w:r>
        <w:rPr>
          <w:rStyle w:val="Voetnootmarkering"/>
        </w:rPr>
        <w:footnoteRef/>
      </w:r>
      <w:r w:rsidRPr="0015137B">
        <w:rPr>
          <w:rFonts w:ascii="Verdana" w:hAnsi="Verdana"/>
          <w:sz w:val="16"/>
        </w:rPr>
        <w:t>Wetgevingshandelingen moeten zijn vastgesteld volgens een zogeheten wetgevingsprocedure</w:t>
      </w:r>
      <w:r>
        <w:rPr>
          <w:rFonts w:ascii="Verdana" w:hAnsi="Verdana"/>
          <w:sz w:val="16"/>
        </w:rPr>
        <w:t>, zoals omschreven</w:t>
      </w:r>
      <w:r w:rsidRPr="0015137B">
        <w:rPr>
          <w:rFonts w:ascii="Verdana" w:hAnsi="Verdana"/>
          <w:sz w:val="16"/>
        </w:rPr>
        <w:t xml:space="preserve"> in de Europese verdragen. Het kan gaan om de gewone wetgevingsprocedure op grond van art. 294 EU-Werkingsverdrag (VWEU) of een bijzondere wetgevingsprocedure. In het verdragsartikel </w:t>
      </w:r>
      <w:r>
        <w:rPr>
          <w:rFonts w:ascii="Verdana" w:hAnsi="Verdana"/>
          <w:sz w:val="16"/>
        </w:rPr>
        <w:t xml:space="preserve">waarin de bevoegdheid om wetgeving op een bepaald terrein te maken </w:t>
      </w:r>
      <w:r w:rsidRPr="0015137B">
        <w:rPr>
          <w:rFonts w:ascii="Verdana" w:hAnsi="Verdana"/>
          <w:sz w:val="16"/>
        </w:rPr>
        <w:t>moet letterlijk het woord ‘wetgevingsprocedure’ staan.</w:t>
      </w:r>
    </w:p>
  </w:footnote>
  <w:footnote w:id="2">
    <w:p w:rsidR="003B00CB" w:rsidRPr="00B45904" w:rsidRDefault="003B00CB" w:rsidP="003B00CB">
      <w:pPr>
        <w:pStyle w:val="Voetnoottekst"/>
        <w:rPr>
          <w:rFonts w:ascii="Verdana" w:hAnsi="Verdana"/>
          <w:sz w:val="16"/>
          <w:szCs w:val="16"/>
        </w:rPr>
      </w:pPr>
      <w:r w:rsidRPr="00B45904">
        <w:rPr>
          <w:rStyle w:val="Voetnootmarkering"/>
          <w:rFonts w:ascii="Verdana" w:hAnsi="Verdana"/>
          <w:sz w:val="16"/>
          <w:szCs w:val="16"/>
        </w:rPr>
        <w:footnoteRef/>
      </w:r>
      <w:r>
        <w:rPr>
          <w:rFonts w:ascii="Verdana" w:hAnsi="Verdana"/>
          <w:sz w:val="16"/>
          <w:szCs w:val="16"/>
        </w:rPr>
        <w:t xml:space="preserve"> </w:t>
      </w:r>
      <w:proofErr w:type="gramStart"/>
      <w:r w:rsidRPr="00B45904">
        <w:rPr>
          <w:rFonts w:ascii="Verdana" w:hAnsi="Verdana"/>
          <w:sz w:val="16"/>
          <w:szCs w:val="16"/>
        </w:rPr>
        <w:t>Krachtens</w:t>
      </w:r>
      <w:proofErr w:type="gramEnd"/>
      <w:r w:rsidRPr="00B45904">
        <w:rPr>
          <w:rFonts w:ascii="Verdana" w:hAnsi="Verdana"/>
          <w:sz w:val="16"/>
          <w:szCs w:val="16"/>
        </w:rPr>
        <w:t xml:space="preserve"> de standaard EU</w:t>
      </w:r>
      <w:r>
        <w:rPr>
          <w:rFonts w:ascii="Verdana" w:hAnsi="Verdana"/>
          <w:sz w:val="16"/>
          <w:szCs w:val="16"/>
        </w:rPr>
        <w:t>-</w:t>
      </w:r>
      <w:r w:rsidRPr="00B45904">
        <w:rPr>
          <w:rFonts w:ascii="Verdana" w:hAnsi="Verdana"/>
          <w:sz w:val="16"/>
          <w:szCs w:val="16"/>
        </w:rPr>
        <w:t>informatieafspraken</w:t>
      </w:r>
      <w:r>
        <w:rPr>
          <w:rFonts w:ascii="Verdana" w:hAnsi="Verdana"/>
          <w:sz w:val="16"/>
          <w:szCs w:val="16"/>
        </w:rPr>
        <w:t xml:space="preserve"> </w:t>
      </w:r>
      <w:r w:rsidRPr="00B45904">
        <w:rPr>
          <w:rFonts w:ascii="Verdana" w:hAnsi="Verdana"/>
          <w:sz w:val="16"/>
          <w:szCs w:val="16"/>
        </w:rPr>
        <w:t xml:space="preserve">(Parlis </w:t>
      </w:r>
      <w:hyperlink r:id="rId1"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ontvangt de Kamer over alle nieuwe wetgevende en niet-wetgevende EU voorstellen een kabinetsappreciatie in de vorm van een zgn. “BNC fiche</w:t>
      </w:r>
      <w:proofErr w:type="gramStart"/>
      <w:r w:rsidRPr="00B45904">
        <w:rPr>
          <w:rFonts w:ascii="Verdana" w:hAnsi="Verdana"/>
          <w:sz w:val="16"/>
          <w:szCs w:val="16"/>
        </w:rPr>
        <w:t>”</w:t>
      </w:r>
      <w:proofErr w:type="gramEnd"/>
      <w:r w:rsidRPr="00B45904">
        <w:rPr>
          <w:rFonts w:ascii="Verdana" w:hAnsi="Verdana"/>
          <w:sz w:val="16"/>
          <w:szCs w:val="16"/>
        </w:rPr>
        <w:t xml:space="preserve"> (‘Beoordeling nieuwe commissievoorstellen). met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 xml:space="preserve">De Kamer ontvangt elk fiche binnen zes weken, of binnen drie weken als in de prioriteitenlijst </w:t>
      </w:r>
      <w:proofErr w:type="gramStart"/>
      <w:r w:rsidRPr="00B45904">
        <w:rPr>
          <w:rFonts w:ascii="Verdana" w:hAnsi="Verdana"/>
          <w:sz w:val="16"/>
          <w:szCs w:val="16"/>
        </w:rPr>
        <w:t>reeds</w:t>
      </w:r>
      <w:proofErr w:type="gramEnd"/>
      <w:r w:rsidRPr="00B45904">
        <w:rPr>
          <w:rFonts w:ascii="Verdana" w:hAnsi="Verdana"/>
          <w:sz w:val="16"/>
          <w:szCs w:val="16"/>
        </w:rPr>
        <w:t xml:space="preserve"> een subsidiariteitstoets of behandelvoorbehoud is voorzien.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0CB"/>
    <w:rsid w:val="00004EF5"/>
    <w:rsid w:val="00011166"/>
    <w:rsid w:val="0001331B"/>
    <w:rsid w:val="000167D3"/>
    <w:rsid w:val="000240FB"/>
    <w:rsid w:val="0005004F"/>
    <w:rsid w:val="000538C6"/>
    <w:rsid w:val="00111A2B"/>
    <w:rsid w:val="001257B9"/>
    <w:rsid w:val="001641B2"/>
    <w:rsid w:val="0016420D"/>
    <w:rsid w:val="00175685"/>
    <w:rsid w:val="001A7A62"/>
    <w:rsid w:val="001C5CB5"/>
    <w:rsid w:val="00225895"/>
    <w:rsid w:val="00254069"/>
    <w:rsid w:val="002703E1"/>
    <w:rsid w:val="0027622B"/>
    <w:rsid w:val="00291102"/>
    <w:rsid w:val="002A4BA8"/>
    <w:rsid w:val="0031357F"/>
    <w:rsid w:val="00356600"/>
    <w:rsid w:val="00363547"/>
    <w:rsid w:val="00394DAC"/>
    <w:rsid w:val="003A4D14"/>
    <w:rsid w:val="003B00CB"/>
    <w:rsid w:val="003F2EE4"/>
    <w:rsid w:val="004058AE"/>
    <w:rsid w:val="00436E4A"/>
    <w:rsid w:val="00451237"/>
    <w:rsid w:val="00456106"/>
    <w:rsid w:val="00467106"/>
    <w:rsid w:val="0047022E"/>
    <w:rsid w:val="00482E2E"/>
    <w:rsid w:val="00497A86"/>
    <w:rsid w:val="004C6BA4"/>
    <w:rsid w:val="004E324F"/>
    <w:rsid w:val="004F61E3"/>
    <w:rsid w:val="0050503E"/>
    <w:rsid w:val="005059B0"/>
    <w:rsid w:val="005A03FF"/>
    <w:rsid w:val="005B10A2"/>
    <w:rsid w:val="005B323D"/>
    <w:rsid w:val="005D308F"/>
    <w:rsid w:val="005E086B"/>
    <w:rsid w:val="005E4AFC"/>
    <w:rsid w:val="0060426E"/>
    <w:rsid w:val="00624124"/>
    <w:rsid w:val="006404DB"/>
    <w:rsid w:val="0067641B"/>
    <w:rsid w:val="0069271C"/>
    <w:rsid w:val="006934BC"/>
    <w:rsid w:val="006A16F2"/>
    <w:rsid w:val="006C55D1"/>
    <w:rsid w:val="006E1B67"/>
    <w:rsid w:val="006E261D"/>
    <w:rsid w:val="00730CC3"/>
    <w:rsid w:val="00746FC1"/>
    <w:rsid w:val="00755BB0"/>
    <w:rsid w:val="007604EB"/>
    <w:rsid w:val="0086251C"/>
    <w:rsid w:val="00975411"/>
    <w:rsid w:val="009A7C48"/>
    <w:rsid w:val="009C2105"/>
    <w:rsid w:val="00A0121B"/>
    <w:rsid w:val="00A21D8E"/>
    <w:rsid w:val="00A64A58"/>
    <w:rsid w:val="00AB569C"/>
    <w:rsid w:val="00AD6887"/>
    <w:rsid w:val="00AE09BD"/>
    <w:rsid w:val="00AF0709"/>
    <w:rsid w:val="00B129F0"/>
    <w:rsid w:val="00B306F2"/>
    <w:rsid w:val="00B42D2E"/>
    <w:rsid w:val="00B51D2E"/>
    <w:rsid w:val="00B86BB8"/>
    <w:rsid w:val="00B92D04"/>
    <w:rsid w:val="00BA0AEF"/>
    <w:rsid w:val="00BA5136"/>
    <w:rsid w:val="00BE146F"/>
    <w:rsid w:val="00C30329"/>
    <w:rsid w:val="00C60B45"/>
    <w:rsid w:val="00C8738C"/>
    <w:rsid w:val="00C87458"/>
    <w:rsid w:val="00CA7C04"/>
    <w:rsid w:val="00CD5AF9"/>
    <w:rsid w:val="00D825E6"/>
    <w:rsid w:val="00DA2B58"/>
    <w:rsid w:val="00DA780E"/>
    <w:rsid w:val="00DC20FA"/>
    <w:rsid w:val="00E033E1"/>
    <w:rsid w:val="00E30201"/>
    <w:rsid w:val="00E3653D"/>
    <w:rsid w:val="00E41E69"/>
    <w:rsid w:val="00E70347"/>
    <w:rsid w:val="00EA2497"/>
    <w:rsid w:val="00EC53C6"/>
    <w:rsid w:val="00EF091E"/>
    <w:rsid w:val="00EF48F7"/>
    <w:rsid w:val="00F5752D"/>
    <w:rsid w:val="00F84DCA"/>
    <w:rsid w:val="00FA72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 w:type="paragraph" w:customStyle="1" w:styleId="Default">
    <w:name w:val="Default"/>
    <w:rsid w:val="00BE146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 w:type="paragraph" w:customStyle="1" w:styleId="Default">
    <w:name w:val="Default"/>
    <w:rsid w:val="00BE146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68402">
      <w:bodyDiv w:val="1"/>
      <w:marLeft w:val="0"/>
      <w:marRight w:val="0"/>
      <w:marTop w:val="0"/>
      <w:marBottom w:val="0"/>
      <w:divBdr>
        <w:top w:val="none" w:sz="0" w:space="0" w:color="auto"/>
        <w:left w:val="none" w:sz="0" w:space="0" w:color="auto"/>
        <w:bottom w:val="none" w:sz="0" w:space="0" w:color="auto"/>
        <w:right w:val="none" w:sz="0" w:space="0" w:color="auto"/>
      </w:divBdr>
    </w:div>
    <w:div w:id="92749357">
      <w:bodyDiv w:val="1"/>
      <w:marLeft w:val="0"/>
      <w:marRight w:val="0"/>
      <w:marTop w:val="0"/>
      <w:marBottom w:val="0"/>
      <w:divBdr>
        <w:top w:val="none" w:sz="0" w:space="0" w:color="auto"/>
        <w:left w:val="none" w:sz="0" w:space="0" w:color="auto"/>
        <w:bottom w:val="none" w:sz="0" w:space="0" w:color="auto"/>
        <w:right w:val="none" w:sz="0" w:space="0" w:color="auto"/>
      </w:divBdr>
    </w:div>
    <w:div w:id="143937299">
      <w:bodyDiv w:val="1"/>
      <w:marLeft w:val="0"/>
      <w:marRight w:val="0"/>
      <w:marTop w:val="0"/>
      <w:marBottom w:val="0"/>
      <w:divBdr>
        <w:top w:val="none" w:sz="0" w:space="0" w:color="auto"/>
        <w:left w:val="none" w:sz="0" w:space="0" w:color="auto"/>
        <w:bottom w:val="none" w:sz="0" w:space="0" w:color="auto"/>
        <w:right w:val="none" w:sz="0" w:space="0" w:color="auto"/>
      </w:divBdr>
    </w:div>
    <w:div w:id="163085671">
      <w:bodyDiv w:val="1"/>
      <w:marLeft w:val="0"/>
      <w:marRight w:val="0"/>
      <w:marTop w:val="0"/>
      <w:marBottom w:val="0"/>
      <w:divBdr>
        <w:top w:val="none" w:sz="0" w:space="0" w:color="auto"/>
        <w:left w:val="none" w:sz="0" w:space="0" w:color="auto"/>
        <w:bottom w:val="none" w:sz="0" w:space="0" w:color="auto"/>
        <w:right w:val="none" w:sz="0" w:space="0" w:color="auto"/>
      </w:divBdr>
    </w:div>
    <w:div w:id="167447000">
      <w:bodyDiv w:val="1"/>
      <w:marLeft w:val="0"/>
      <w:marRight w:val="0"/>
      <w:marTop w:val="0"/>
      <w:marBottom w:val="0"/>
      <w:divBdr>
        <w:top w:val="none" w:sz="0" w:space="0" w:color="auto"/>
        <w:left w:val="none" w:sz="0" w:space="0" w:color="auto"/>
        <w:bottom w:val="none" w:sz="0" w:space="0" w:color="auto"/>
        <w:right w:val="none" w:sz="0" w:space="0" w:color="auto"/>
      </w:divBdr>
    </w:div>
    <w:div w:id="179784802">
      <w:bodyDiv w:val="1"/>
      <w:marLeft w:val="0"/>
      <w:marRight w:val="0"/>
      <w:marTop w:val="0"/>
      <w:marBottom w:val="0"/>
      <w:divBdr>
        <w:top w:val="none" w:sz="0" w:space="0" w:color="auto"/>
        <w:left w:val="none" w:sz="0" w:space="0" w:color="auto"/>
        <w:bottom w:val="none" w:sz="0" w:space="0" w:color="auto"/>
        <w:right w:val="none" w:sz="0" w:space="0" w:color="auto"/>
      </w:divBdr>
    </w:div>
    <w:div w:id="189884143">
      <w:bodyDiv w:val="1"/>
      <w:marLeft w:val="0"/>
      <w:marRight w:val="0"/>
      <w:marTop w:val="0"/>
      <w:marBottom w:val="0"/>
      <w:divBdr>
        <w:top w:val="none" w:sz="0" w:space="0" w:color="auto"/>
        <w:left w:val="none" w:sz="0" w:space="0" w:color="auto"/>
        <w:bottom w:val="none" w:sz="0" w:space="0" w:color="auto"/>
        <w:right w:val="none" w:sz="0" w:space="0" w:color="auto"/>
      </w:divBdr>
    </w:div>
    <w:div w:id="214243146">
      <w:bodyDiv w:val="1"/>
      <w:marLeft w:val="0"/>
      <w:marRight w:val="0"/>
      <w:marTop w:val="0"/>
      <w:marBottom w:val="0"/>
      <w:divBdr>
        <w:top w:val="none" w:sz="0" w:space="0" w:color="auto"/>
        <w:left w:val="none" w:sz="0" w:space="0" w:color="auto"/>
        <w:bottom w:val="none" w:sz="0" w:space="0" w:color="auto"/>
        <w:right w:val="none" w:sz="0" w:space="0" w:color="auto"/>
      </w:divBdr>
    </w:div>
    <w:div w:id="223103748">
      <w:bodyDiv w:val="1"/>
      <w:marLeft w:val="0"/>
      <w:marRight w:val="0"/>
      <w:marTop w:val="0"/>
      <w:marBottom w:val="0"/>
      <w:divBdr>
        <w:top w:val="none" w:sz="0" w:space="0" w:color="auto"/>
        <w:left w:val="none" w:sz="0" w:space="0" w:color="auto"/>
        <w:bottom w:val="none" w:sz="0" w:space="0" w:color="auto"/>
        <w:right w:val="none" w:sz="0" w:space="0" w:color="auto"/>
      </w:divBdr>
    </w:div>
    <w:div w:id="226065530">
      <w:bodyDiv w:val="1"/>
      <w:marLeft w:val="0"/>
      <w:marRight w:val="0"/>
      <w:marTop w:val="0"/>
      <w:marBottom w:val="0"/>
      <w:divBdr>
        <w:top w:val="none" w:sz="0" w:space="0" w:color="auto"/>
        <w:left w:val="none" w:sz="0" w:space="0" w:color="auto"/>
        <w:bottom w:val="none" w:sz="0" w:space="0" w:color="auto"/>
        <w:right w:val="none" w:sz="0" w:space="0" w:color="auto"/>
      </w:divBdr>
    </w:div>
    <w:div w:id="236407620">
      <w:bodyDiv w:val="1"/>
      <w:marLeft w:val="0"/>
      <w:marRight w:val="0"/>
      <w:marTop w:val="0"/>
      <w:marBottom w:val="0"/>
      <w:divBdr>
        <w:top w:val="none" w:sz="0" w:space="0" w:color="auto"/>
        <w:left w:val="none" w:sz="0" w:space="0" w:color="auto"/>
        <w:bottom w:val="none" w:sz="0" w:space="0" w:color="auto"/>
        <w:right w:val="none" w:sz="0" w:space="0" w:color="auto"/>
      </w:divBdr>
    </w:div>
    <w:div w:id="251208393">
      <w:bodyDiv w:val="1"/>
      <w:marLeft w:val="0"/>
      <w:marRight w:val="0"/>
      <w:marTop w:val="0"/>
      <w:marBottom w:val="0"/>
      <w:divBdr>
        <w:top w:val="none" w:sz="0" w:space="0" w:color="auto"/>
        <w:left w:val="none" w:sz="0" w:space="0" w:color="auto"/>
        <w:bottom w:val="none" w:sz="0" w:space="0" w:color="auto"/>
        <w:right w:val="none" w:sz="0" w:space="0" w:color="auto"/>
      </w:divBdr>
    </w:div>
    <w:div w:id="257980645">
      <w:bodyDiv w:val="1"/>
      <w:marLeft w:val="0"/>
      <w:marRight w:val="0"/>
      <w:marTop w:val="0"/>
      <w:marBottom w:val="0"/>
      <w:divBdr>
        <w:top w:val="none" w:sz="0" w:space="0" w:color="auto"/>
        <w:left w:val="none" w:sz="0" w:space="0" w:color="auto"/>
        <w:bottom w:val="none" w:sz="0" w:space="0" w:color="auto"/>
        <w:right w:val="none" w:sz="0" w:space="0" w:color="auto"/>
      </w:divBdr>
    </w:div>
    <w:div w:id="268008910">
      <w:bodyDiv w:val="1"/>
      <w:marLeft w:val="0"/>
      <w:marRight w:val="0"/>
      <w:marTop w:val="0"/>
      <w:marBottom w:val="0"/>
      <w:divBdr>
        <w:top w:val="none" w:sz="0" w:space="0" w:color="auto"/>
        <w:left w:val="none" w:sz="0" w:space="0" w:color="auto"/>
        <w:bottom w:val="none" w:sz="0" w:space="0" w:color="auto"/>
        <w:right w:val="none" w:sz="0" w:space="0" w:color="auto"/>
      </w:divBdr>
    </w:div>
    <w:div w:id="275529423">
      <w:bodyDiv w:val="1"/>
      <w:marLeft w:val="0"/>
      <w:marRight w:val="0"/>
      <w:marTop w:val="0"/>
      <w:marBottom w:val="0"/>
      <w:divBdr>
        <w:top w:val="none" w:sz="0" w:space="0" w:color="auto"/>
        <w:left w:val="none" w:sz="0" w:space="0" w:color="auto"/>
        <w:bottom w:val="none" w:sz="0" w:space="0" w:color="auto"/>
        <w:right w:val="none" w:sz="0" w:space="0" w:color="auto"/>
      </w:divBdr>
    </w:div>
    <w:div w:id="290986162">
      <w:bodyDiv w:val="1"/>
      <w:marLeft w:val="0"/>
      <w:marRight w:val="0"/>
      <w:marTop w:val="0"/>
      <w:marBottom w:val="0"/>
      <w:divBdr>
        <w:top w:val="none" w:sz="0" w:space="0" w:color="auto"/>
        <w:left w:val="none" w:sz="0" w:space="0" w:color="auto"/>
        <w:bottom w:val="none" w:sz="0" w:space="0" w:color="auto"/>
        <w:right w:val="none" w:sz="0" w:space="0" w:color="auto"/>
      </w:divBdr>
    </w:div>
    <w:div w:id="301007285">
      <w:bodyDiv w:val="1"/>
      <w:marLeft w:val="0"/>
      <w:marRight w:val="0"/>
      <w:marTop w:val="0"/>
      <w:marBottom w:val="0"/>
      <w:divBdr>
        <w:top w:val="none" w:sz="0" w:space="0" w:color="auto"/>
        <w:left w:val="none" w:sz="0" w:space="0" w:color="auto"/>
        <w:bottom w:val="none" w:sz="0" w:space="0" w:color="auto"/>
        <w:right w:val="none" w:sz="0" w:space="0" w:color="auto"/>
      </w:divBdr>
    </w:div>
    <w:div w:id="355808670">
      <w:bodyDiv w:val="1"/>
      <w:marLeft w:val="0"/>
      <w:marRight w:val="0"/>
      <w:marTop w:val="0"/>
      <w:marBottom w:val="0"/>
      <w:divBdr>
        <w:top w:val="none" w:sz="0" w:space="0" w:color="auto"/>
        <w:left w:val="none" w:sz="0" w:space="0" w:color="auto"/>
        <w:bottom w:val="none" w:sz="0" w:space="0" w:color="auto"/>
        <w:right w:val="none" w:sz="0" w:space="0" w:color="auto"/>
      </w:divBdr>
    </w:div>
    <w:div w:id="399787098">
      <w:bodyDiv w:val="1"/>
      <w:marLeft w:val="0"/>
      <w:marRight w:val="0"/>
      <w:marTop w:val="0"/>
      <w:marBottom w:val="0"/>
      <w:divBdr>
        <w:top w:val="none" w:sz="0" w:space="0" w:color="auto"/>
        <w:left w:val="none" w:sz="0" w:space="0" w:color="auto"/>
        <w:bottom w:val="none" w:sz="0" w:space="0" w:color="auto"/>
        <w:right w:val="none" w:sz="0" w:space="0" w:color="auto"/>
      </w:divBdr>
    </w:div>
    <w:div w:id="512645461">
      <w:bodyDiv w:val="1"/>
      <w:marLeft w:val="0"/>
      <w:marRight w:val="0"/>
      <w:marTop w:val="0"/>
      <w:marBottom w:val="0"/>
      <w:divBdr>
        <w:top w:val="none" w:sz="0" w:space="0" w:color="auto"/>
        <w:left w:val="none" w:sz="0" w:space="0" w:color="auto"/>
        <w:bottom w:val="none" w:sz="0" w:space="0" w:color="auto"/>
        <w:right w:val="none" w:sz="0" w:space="0" w:color="auto"/>
      </w:divBdr>
    </w:div>
    <w:div w:id="548881601">
      <w:bodyDiv w:val="1"/>
      <w:marLeft w:val="0"/>
      <w:marRight w:val="0"/>
      <w:marTop w:val="0"/>
      <w:marBottom w:val="0"/>
      <w:divBdr>
        <w:top w:val="none" w:sz="0" w:space="0" w:color="auto"/>
        <w:left w:val="none" w:sz="0" w:space="0" w:color="auto"/>
        <w:bottom w:val="none" w:sz="0" w:space="0" w:color="auto"/>
        <w:right w:val="none" w:sz="0" w:space="0" w:color="auto"/>
      </w:divBdr>
    </w:div>
    <w:div w:id="688142859">
      <w:bodyDiv w:val="1"/>
      <w:marLeft w:val="0"/>
      <w:marRight w:val="0"/>
      <w:marTop w:val="0"/>
      <w:marBottom w:val="0"/>
      <w:divBdr>
        <w:top w:val="none" w:sz="0" w:space="0" w:color="auto"/>
        <w:left w:val="none" w:sz="0" w:space="0" w:color="auto"/>
        <w:bottom w:val="none" w:sz="0" w:space="0" w:color="auto"/>
        <w:right w:val="none" w:sz="0" w:space="0" w:color="auto"/>
      </w:divBdr>
    </w:div>
    <w:div w:id="705527700">
      <w:bodyDiv w:val="1"/>
      <w:marLeft w:val="0"/>
      <w:marRight w:val="0"/>
      <w:marTop w:val="0"/>
      <w:marBottom w:val="0"/>
      <w:divBdr>
        <w:top w:val="none" w:sz="0" w:space="0" w:color="auto"/>
        <w:left w:val="none" w:sz="0" w:space="0" w:color="auto"/>
        <w:bottom w:val="none" w:sz="0" w:space="0" w:color="auto"/>
        <w:right w:val="none" w:sz="0" w:space="0" w:color="auto"/>
      </w:divBdr>
    </w:div>
    <w:div w:id="836306931">
      <w:bodyDiv w:val="1"/>
      <w:marLeft w:val="0"/>
      <w:marRight w:val="0"/>
      <w:marTop w:val="0"/>
      <w:marBottom w:val="0"/>
      <w:divBdr>
        <w:top w:val="none" w:sz="0" w:space="0" w:color="auto"/>
        <w:left w:val="none" w:sz="0" w:space="0" w:color="auto"/>
        <w:bottom w:val="none" w:sz="0" w:space="0" w:color="auto"/>
        <w:right w:val="none" w:sz="0" w:space="0" w:color="auto"/>
      </w:divBdr>
    </w:div>
    <w:div w:id="862090524">
      <w:bodyDiv w:val="1"/>
      <w:marLeft w:val="0"/>
      <w:marRight w:val="0"/>
      <w:marTop w:val="0"/>
      <w:marBottom w:val="0"/>
      <w:divBdr>
        <w:top w:val="none" w:sz="0" w:space="0" w:color="auto"/>
        <w:left w:val="none" w:sz="0" w:space="0" w:color="auto"/>
        <w:bottom w:val="none" w:sz="0" w:space="0" w:color="auto"/>
        <w:right w:val="none" w:sz="0" w:space="0" w:color="auto"/>
      </w:divBdr>
    </w:div>
    <w:div w:id="928730540">
      <w:bodyDiv w:val="1"/>
      <w:marLeft w:val="0"/>
      <w:marRight w:val="0"/>
      <w:marTop w:val="0"/>
      <w:marBottom w:val="0"/>
      <w:divBdr>
        <w:top w:val="none" w:sz="0" w:space="0" w:color="auto"/>
        <w:left w:val="none" w:sz="0" w:space="0" w:color="auto"/>
        <w:bottom w:val="none" w:sz="0" w:space="0" w:color="auto"/>
        <w:right w:val="none" w:sz="0" w:space="0" w:color="auto"/>
      </w:divBdr>
    </w:div>
    <w:div w:id="932251265">
      <w:bodyDiv w:val="1"/>
      <w:marLeft w:val="0"/>
      <w:marRight w:val="0"/>
      <w:marTop w:val="0"/>
      <w:marBottom w:val="0"/>
      <w:divBdr>
        <w:top w:val="none" w:sz="0" w:space="0" w:color="auto"/>
        <w:left w:val="none" w:sz="0" w:space="0" w:color="auto"/>
        <w:bottom w:val="none" w:sz="0" w:space="0" w:color="auto"/>
        <w:right w:val="none" w:sz="0" w:space="0" w:color="auto"/>
      </w:divBdr>
    </w:div>
    <w:div w:id="934941272">
      <w:bodyDiv w:val="1"/>
      <w:marLeft w:val="0"/>
      <w:marRight w:val="0"/>
      <w:marTop w:val="0"/>
      <w:marBottom w:val="0"/>
      <w:divBdr>
        <w:top w:val="none" w:sz="0" w:space="0" w:color="auto"/>
        <w:left w:val="none" w:sz="0" w:space="0" w:color="auto"/>
        <w:bottom w:val="none" w:sz="0" w:space="0" w:color="auto"/>
        <w:right w:val="none" w:sz="0" w:space="0" w:color="auto"/>
      </w:divBdr>
    </w:div>
    <w:div w:id="1044448852">
      <w:bodyDiv w:val="1"/>
      <w:marLeft w:val="0"/>
      <w:marRight w:val="0"/>
      <w:marTop w:val="0"/>
      <w:marBottom w:val="0"/>
      <w:divBdr>
        <w:top w:val="none" w:sz="0" w:space="0" w:color="auto"/>
        <w:left w:val="none" w:sz="0" w:space="0" w:color="auto"/>
        <w:bottom w:val="none" w:sz="0" w:space="0" w:color="auto"/>
        <w:right w:val="none" w:sz="0" w:space="0" w:color="auto"/>
      </w:divBdr>
    </w:div>
    <w:div w:id="1052465559">
      <w:bodyDiv w:val="1"/>
      <w:marLeft w:val="0"/>
      <w:marRight w:val="0"/>
      <w:marTop w:val="0"/>
      <w:marBottom w:val="0"/>
      <w:divBdr>
        <w:top w:val="none" w:sz="0" w:space="0" w:color="auto"/>
        <w:left w:val="none" w:sz="0" w:space="0" w:color="auto"/>
        <w:bottom w:val="none" w:sz="0" w:space="0" w:color="auto"/>
        <w:right w:val="none" w:sz="0" w:space="0" w:color="auto"/>
      </w:divBdr>
    </w:div>
    <w:div w:id="1062828667">
      <w:bodyDiv w:val="1"/>
      <w:marLeft w:val="0"/>
      <w:marRight w:val="0"/>
      <w:marTop w:val="0"/>
      <w:marBottom w:val="0"/>
      <w:divBdr>
        <w:top w:val="none" w:sz="0" w:space="0" w:color="auto"/>
        <w:left w:val="none" w:sz="0" w:space="0" w:color="auto"/>
        <w:bottom w:val="none" w:sz="0" w:space="0" w:color="auto"/>
        <w:right w:val="none" w:sz="0" w:space="0" w:color="auto"/>
      </w:divBdr>
    </w:div>
    <w:div w:id="1070541168">
      <w:bodyDiv w:val="1"/>
      <w:marLeft w:val="0"/>
      <w:marRight w:val="0"/>
      <w:marTop w:val="0"/>
      <w:marBottom w:val="0"/>
      <w:divBdr>
        <w:top w:val="none" w:sz="0" w:space="0" w:color="auto"/>
        <w:left w:val="none" w:sz="0" w:space="0" w:color="auto"/>
        <w:bottom w:val="none" w:sz="0" w:space="0" w:color="auto"/>
        <w:right w:val="none" w:sz="0" w:space="0" w:color="auto"/>
      </w:divBdr>
    </w:div>
    <w:div w:id="1104764268">
      <w:bodyDiv w:val="1"/>
      <w:marLeft w:val="0"/>
      <w:marRight w:val="0"/>
      <w:marTop w:val="0"/>
      <w:marBottom w:val="0"/>
      <w:divBdr>
        <w:top w:val="none" w:sz="0" w:space="0" w:color="auto"/>
        <w:left w:val="none" w:sz="0" w:space="0" w:color="auto"/>
        <w:bottom w:val="none" w:sz="0" w:space="0" w:color="auto"/>
        <w:right w:val="none" w:sz="0" w:space="0" w:color="auto"/>
      </w:divBdr>
    </w:div>
    <w:div w:id="1105420154">
      <w:bodyDiv w:val="1"/>
      <w:marLeft w:val="0"/>
      <w:marRight w:val="0"/>
      <w:marTop w:val="0"/>
      <w:marBottom w:val="0"/>
      <w:divBdr>
        <w:top w:val="none" w:sz="0" w:space="0" w:color="auto"/>
        <w:left w:val="none" w:sz="0" w:space="0" w:color="auto"/>
        <w:bottom w:val="none" w:sz="0" w:space="0" w:color="auto"/>
        <w:right w:val="none" w:sz="0" w:space="0" w:color="auto"/>
      </w:divBdr>
    </w:div>
    <w:div w:id="1113282251">
      <w:bodyDiv w:val="1"/>
      <w:marLeft w:val="0"/>
      <w:marRight w:val="0"/>
      <w:marTop w:val="0"/>
      <w:marBottom w:val="0"/>
      <w:divBdr>
        <w:top w:val="none" w:sz="0" w:space="0" w:color="auto"/>
        <w:left w:val="none" w:sz="0" w:space="0" w:color="auto"/>
        <w:bottom w:val="none" w:sz="0" w:space="0" w:color="auto"/>
        <w:right w:val="none" w:sz="0" w:space="0" w:color="auto"/>
      </w:divBdr>
    </w:div>
    <w:div w:id="1169753287">
      <w:bodyDiv w:val="1"/>
      <w:marLeft w:val="0"/>
      <w:marRight w:val="0"/>
      <w:marTop w:val="0"/>
      <w:marBottom w:val="0"/>
      <w:divBdr>
        <w:top w:val="none" w:sz="0" w:space="0" w:color="auto"/>
        <w:left w:val="none" w:sz="0" w:space="0" w:color="auto"/>
        <w:bottom w:val="none" w:sz="0" w:space="0" w:color="auto"/>
        <w:right w:val="none" w:sz="0" w:space="0" w:color="auto"/>
      </w:divBdr>
    </w:div>
    <w:div w:id="1174300185">
      <w:bodyDiv w:val="1"/>
      <w:marLeft w:val="0"/>
      <w:marRight w:val="0"/>
      <w:marTop w:val="0"/>
      <w:marBottom w:val="0"/>
      <w:divBdr>
        <w:top w:val="none" w:sz="0" w:space="0" w:color="auto"/>
        <w:left w:val="none" w:sz="0" w:space="0" w:color="auto"/>
        <w:bottom w:val="none" w:sz="0" w:space="0" w:color="auto"/>
        <w:right w:val="none" w:sz="0" w:space="0" w:color="auto"/>
      </w:divBdr>
    </w:div>
    <w:div w:id="1232961212">
      <w:bodyDiv w:val="1"/>
      <w:marLeft w:val="0"/>
      <w:marRight w:val="0"/>
      <w:marTop w:val="0"/>
      <w:marBottom w:val="0"/>
      <w:divBdr>
        <w:top w:val="none" w:sz="0" w:space="0" w:color="auto"/>
        <w:left w:val="none" w:sz="0" w:space="0" w:color="auto"/>
        <w:bottom w:val="none" w:sz="0" w:space="0" w:color="auto"/>
        <w:right w:val="none" w:sz="0" w:space="0" w:color="auto"/>
      </w:divBdr>
    </w:div>
    <w:div w:id="1237132658">
      <w:bodyDiv w:val="1"/>
      <w:marLeft w:val="0"/>
      <w:marRight w:val="0"/>
      <w:marTop w:val="0"/>
      <w:marBottom w:val="0"/>
      <w:divBdr>
        <w:top w:val="none" w:sz="0" w:space="0" w:color="auto"/>
        <w:left w:val="none" w:sz="0" w:space="0" w:color="auto"/>
        <w:bottom w:val="none" w:sz="0" w:space="0" w:color="auto"/>
        <w:right w:val="none" w:sz="0" w:space="0" w:color="auto"/>
      </w:divBdr>
    </w:div>
    <w:div w:id="1248149743">
      <w:bodyDiv w:val="1"/>
      <w:marLeft w:val="0"/>
      <w:marRight w:val="0"/>
      <w:marTop w:val="0"/>
      <w:marBottom w:val="0"/>
      <w:divBdr>
        <w:top w:val="none" w:sz="0" w:space="0" w:color="auto"/>
        <w:left w:val="none" w:sz="0" w:space="0" w:color="auto"/>
        <w:bottom w:val="none" w:sz="0" w:space="0" w:color="auto"/>
        <w:right w:val="none" w:sz="0" w:space="0" w:color="auto"/>
      </w:divBdr>
    </w:div>
    <w:div w:id="1265460519">
      <w:bodyDiv w:val="1"/>
      <w:marLeft w:val="0"/>
      <w:marRight w:val="0"/>
      <w:marTop w:val="0"/>
      <w:marBottom w:val="0"/>
      <w:divBdr>
        <w:top w:val="none" w:sz="0" w:space="0" w:color="auto"/>
        <w:left w:val="none" w:sz="0" w:space="0" w:color="auto"/>
        <w:bottom w:val="none" w:sz="0" w:space="0" w:color="auto"/>
        <w:right w:val="none" w:sz="0" w:space="0" w:color="auto"/>
      </w:divBdr>
    </w:div>
    <w:div w:id="1269001532">
      <w:bodyDiv w:val="1"/>
      <w:marLeft w:val="0"/>
      <w:marRight w:val="0"/>
      <w:marTop w:val="0"/>
      <w:marBottom w:val="0"/>
      <w:divBdr>
        <w:top w:val="none" w:sz="0" w:space="0" w:color="auto"/>
        <w:left w:val="none" w:sz="0" w:space="0" w:color="auto"/>
        <w:bottom w:val="none" w:sz="0" w:space="0" w:color="auto"/>
        <w:right w:val="none" w:sz="0" w:space="0" w:color="auto"/>
      </w:divBdr>
    </w:div>
    <w:div w:id="1290629084">
      <w:bodyDiv w:val="1"/>
      <w:marLeft w:val="0"/>
      <w:marRight w:val="0"/>
      <w:marTop w:val="0"/>
      <w:marBottom w:val="0"/>
      <w:divBdr>
        <w:top w:val="none" w:sz="0" w:space="0" w:color="auto"/>
        <w:left w:val="none" w:sz="0" w:space="0" w:color="auto"/>
        <w:bottom w:val="none" w:sz="0" w:space="0" w:color="auto"/>
        <w:right w:val="none" w:sz="0" w:space="0" w:color="auto"/>
      </w:divBdr>
    </w:div>
    <w:div w:id="1293095611">
      <w:bodyDiv w:val="1"/>
      <w:marLeft w:val="0"/>
      <w:marRight w:val="0"/>
      <w:marTop w:val="0"/>
      <w:marBottom w:val="0"/>
      <w:divBdr>
        <w:top w:val="none" w:sz="0" w:space="0" w:color="auto"/>
        <w:left w:val="none" w:sz="0" w:space="0" w:color="auto"/>
        <w:bottom w:val="none" w:sz="0" w:space="0" w:color="auto"/>
        <w:right w:val="none" w:sz="0" w:space="0" w:color="auto"/>
      </w:divBdr>
    </w:div>
    <w:div w:id="1334381360">
      <w:bodyDiv w:val="1"/>
      <w:marLeft w:val="0"/>
      <w:marRight w:val="0"/>
      <w:marTop w:val="0"/>
      <w:marBottom w:val="0"/>
      <w:divBdr>
        <w:top w:val="none" w:sz="0" w:space="0" w:color="auto"/>
        <w:left w:val="none" w:sz="0" w:space="0" w:color="auto"/>
        <w:bottom w:val="none" w:sz="0" w:space="0" w:color="auto"/>
        <w:right w:val="none" w:sz="0" w:space="0" w:color="auto"/>
      </w:divBdr>
    </w:div>
    <w:div w:id="1340543274">
      <w:bodyDiv w:val="1"/>
      <w:marLeft w:val="0"/>
      <w:marRight w:val="0"/>
      <w:marTop w:val="0"/>
      <w:marBottom w:val="0"/>
      <w:divBdr>
        <w:top w:val="none" w:sz="0" w:space="0" w:color="auto"/>
        <w:left w:val="none" w:sz="0" w:space="0" w:color="auto"/>
        <w:bottom w:val="none" w:sz="0" w:space="0" w:color="auto"/>
        <w:right w:val="none" w:sz="0" w:space="0" w:color="auto"/>
      </w:divBdr>
    </w:div>
    <w:div w:id="1371150019">
      <w:bodyDiv w:val="1"/>
      <w:marLeft w:val="0"/>
      <w:marRight w:val="0"/>
      <w:marTop w:val="0"/>
      <w:marBottom w:val="0"/>
      <w:divBdr>
        <w:top w:val="none" w:sz="0" w:space="0" w:color="auto"/>
        <w:left w:val="none" w:sz="0" w:space="0" w:color="auto"/>
        <w:bottom w:val="none" w:sz="0" w:space="0" w:color="auto"/>
        <w:right w:val="none" w:sz="0" w:space="0" w:color="auto"/>
      </w:divBdr>
    </w:div>
    <w:div w:id="1391078381">
      <w:bodyDiv w:val="1"/>
      <w:marLeft w:val="0"/>
      <w:marRight w:val="0"/>
      <w:marTop w:val="0"/>
      <w:marBottom w:val="0"/>
      <w:divBdr>
        <w:top w:val="none" w:sz="0" w:space="0" w:color="auto"/>
        <w:left w:val="none" w:sz="0" w:space="0" w:color="auto"/>
        <w:bottom w:val="none" w:sz="0" w:space="0" w:color="auto"/>
        <w:right w:val="none" w:sz="0" w:space="0" w:color="auto"/>
      </w:divBdr>
    </w:div>
    <w:div w:id="1398360617">
      <w:bodyDiv w:val="1"/>
      <w:marLeft w:val="0"/>
      <w:marRight w:val="0"/>
      <w:marTop w:val="0"/>
      <w:marBottom w:val="0"/>
      <w:divBdr>
        <w:top w:val="none" w:sz="0" w:space="0" w:color="auto"/>
        <w:left w:val="none" w:sz="0" w:space="0" w:color="auto"/>
        <w:bottom w:val="none" w:sz="0" w:space="0" w:color="auto"/>
        <w:right w:val="none" w:sz="0" w:space="0" w:color="auto"/>
      </w:divBdr>
    </w:div>
    <w:div w:id="1415277040">
      <w:bodyDiv w:val="1"/>
      <w:marLeft w:val="0"/>
      <w:marRight w:val="0"/>
      <w:marTop w:val="0"/>
      <w:marBottom w:val="0"/>
      <w:divBdr>
        <w:top w:val="none" w:sz="0" w:space="0" w:color="auto"/>
        <w:left w:val="none" w:sz="0" w:space="0" w:color="auto"/>
        <w:bottom w:val="none" w:sz="0" w:space="0" w:color="auto"/>
        <w:right w:val="none" w:sz="0" w:space="0" w:color="auto"/>
      </w:divBdr>
    </w:div>
    <w:div w:id="1442801536">
      <w:bodyDiv w:val="1"/>
      <w:marLeft w:val="0"/>
      <w:marRight w:val="0"/>
      <w:marTop w:val="0"/>
      <w:marBottom w:val="0"/>
      <w:divBdr>
        <w:top w:val="none" w:sz="0" w:space="0" w:color="auto"/>
        <w:left w:val="none" w:sz="0" w:space="0" w:color="auto"/>
        <w:bottom w:val="none" w:sz="0" w:space="0" w:color="auto"/>
        <w:right w:val="none" w:sz="0" w:space="0" w:color="auto"/>
      </w:divBdr>
    </w:div>
    <w:div w:id="1453596214">
      <w:bodyDiv w:val="1"/>
      <w:marLeft w:val="0"/>
      <w:marRight w:val="0"/>
      <w:marTop w:val="0"/>
      <w:marBottom w:val="0"/>
      <w:divBdr>
        <w:top w:val="none" w:sz="0" w:space="0" w:color="auto"/>
        <w:left w:val="none" w:sz="0" w:space="0" w:color="auto"/>
        <w:bottom w:val="none" w:sz="0" w:space="0" w:color="auto"/>
        <w:right w:val="none" w:sz="0" w:space="0" w:color="auto"/>
      </w:divBdr>
    </w:div>
    <w:div w:id="1461995372">
      <w:bodyDiv w:val="1"/>
      <w:marLeft w:val="0"/>
      <w:marRight w:val="0"/>
      <w:marTop w:val="0"/>
      <w:marBottom w:val="0"/>
      <w:divBdr>
        <w:top w:val="none" w:sz="0" w:space="0" w:color="auto"/>
        <w:left w:val="none" w:sz="0" w:space="0" w:color="auto"/>
        <w:bottom w:val="none" w:sz="0" w:space="0" w:color="auto"/>
        <w:right w:val="none" w:sz="0" w:space="0" w:color="auto"/>
      </w:divBdr>
    </w:div>
    <w:div w:id="1490487549">
      <w:bodyDiv w:val="1"/>
      <w:marLeft w:val="0"/>
      <w:marRight w:val="0"/>
      <w:marTop w:val="0"/>
      <w:marBottom w:val="0"/>
      <w:divBdr>
        <w:top w:val="none" w:sz="0" w:space="0" w:color="auto"/>
        <w:left w:val="none" w:sz="0" w:space="0" w:color="auto"/>
        <w:bottom w:val="none" w:sz="0" w:space="0" w:color="auto"/>
        <w:right w:val="none" w:sz="0" w:space="0" w:color="auto"/>
      </w:divBdr>
    </w:div>
    <w:div w:id="1491755882">
      <w:bodyDiv w:val="1"/>
      <w:marLeft w:val="0"/>
      <w:marRight w:val="0"/>
      <w:marTop w:val="0"/>
      <w:marBottom w:val="0"/>
      <w:divBdr>
        <w:top w:val="none" w:sz="0" w:space="0" w:color="auto"/>
        <w:left w:val="none" w:sz="0" w:space="0" w:color="auto"/>
        <w:bottom w:val="none" w:sz="0" w:space="0" w:color="auto"/>
        <w:right w:val="none" w:sz="0" w:space="0" w:color="auto"/>
      </w:divBdr>
    </w:div>
    <w:div w:id="1492402759">
      <w:bodyDiv w:val="1"/>
      <w:marLeft w:val="0"/>
      <w:marRight w:val="0"/>
      <w:marTop w:val="0"/>
      <w:marBottom w:val="0"/>
      <w:divBdr>
        <w:top w:val="none" w:sz="0" w:space="0" w:color="auto"/>
        <w:left w:val="none" w:sz="0" w:space="0" w:color="auto"/>
        <w:bottom w:val="none" w:sz="0" w:space="0" w:color="auto"/>
        <w:right w:val="none" w:sz="0" w:space="0" w:color="auto"/>
      </w:divBdr>
    </w:div>
    <w:div w:id="1516773390">
      <w:bodyDiv w:val="1"/>
      <w:marLeft w:val="0"/>
      <w:marRight w:val="0"/>
      <w:marTop w:val="0"/>
      <w:marBottom w:val="0"/>
      <w:divBdr>
        <w:top w:val="none" w:sz="0" w:space="0" w:color="auto"/>
        <w:left w:val="none" w:sz="0" w:space="0" w:color="auto"/>
        <w:bottom w:val="none" w:sz="0" w:space="0" w:color="auto"/>
        <w:right w:val="none" w:sz="0" w:space="0" w:color="auto"/>
      </w:divBdr>
    </w:div>
    <w:div w:id="1577741133">
      <w:bodyDiv w:val="1"/>
      <w:marLeft w:val="0"/>
      <w:marRight w:val="0"/>
      <w:marTop w:val="0"/>
      <w:marBottom w:val="0"/>
      <w:divBdr>
        <w:top w:val="none" w:sz="0" w:space="0" w:color="auto"/>
        <w:left w:val="none" w:sz="0" w:space="0" w:color="auto"/>
        <w:bottom w:val="none" w:sz="0" w:space="0" w:color="auto"/>
        <w:right w:val="none" w:sz="0" w:space="0" w:color="auto"/>
      </w:divBdr>
    </w:div>
    <w:div w:id="1604875742">
      <w:bodyDiv w:val="1"/>
      <w:marLeft w:val="0"/>
      <w:marRight w:val="0"/>
      <w:marTop w:val="0"/>
      <w:marBottom w:val="0"/>
      <w:divBdr>
        <w:top w:val="none" w:sz="0" w:space="0" w:color="auto"/>
        <w:left w:val="none" w:sz="0" w:space="0" w:color="auto"/>
        <w:bottom w:val="none" w:sz="0" w:space="0" w:color="auto"/>
        <w:right w:val="none" w:sz="0" w:space="0" w:color="auto"/>
      </w:divBdr>
    </w:div>
    <w:div w:id="1613592855">
      <w:bodyDiv w:val="1"/>
      <w:marLeft w:val="0"/>
      <w:marRight w:val="0"/>
      <w:marTop w:val="0"/>
      <w:marBottom w:val="0"/>
      <w:divBdr>
        <w:top w:val="none" w:sz="0" w:space="0" w:color="auto"/>
        <w:left w:val="none" w:sz="0" w:space="0" w:color="auto"/>
        <w:bottom w:val="none" w:sz="0" w:space="0" w:color="auto"/>
        <w:right w:val="none" w:sz="0" w:space="0" w:color="auto"/>
      </w:divBdr>
    </w:div>
    <w:div w:id="1647737269">
      <w:bodyDiv w:val="1"/>
      <w:marLeft w:val="0"/>
      <w:marRight w:val="0"/>
      <w:marTop w:val="0"/>
      <w:marBottom w:val="0"/>
      <w:divBdr>
        <w:top w:val="none" w:sz="0" w:space="0" w:color="auto"/>
        <w:left w:val="none" w:sz="0" w:space="0" w:color="auto"/>
        <w:bottom w:val="none" w:sz="0" w:space="0" w:color="auto"/>
        <w:right w:val="none" w:sz="0" w:space="0" w:color="auto"/>
      </w:divBdr>
    </w:div>
    <w:div w:id="1660385004">
      <w:bodyDiv w:val="1"/>
      <w:marLeft w:val="0"/>
      <w:marRight w:val="0"/>
      <w:marTop w:val="0"/>
      <w:marBottom w:val="0"/>
      <w:divBdr>
        <w:top w:val="none" w:sz="0" w:space="0" w:color="auto"/>
        <w:left w:val="none" w:sz="0" w:space="0" w:color="auto"/>
        <w:bottom w:val="none" w:sz="0" w:space="0" w:color="auto"/>
        <w:right w:val="none" w:sz="0" w:space="0" w:color="auto"/>
      </w:divBdr>
    </w:div>
    <w:div w:id="1728063705">
      <w:bodyDiv w:val="1"/>
      <w:marLeft w:val="0"/>
      <w:marRight w:val="0"/>
      <w:marTop w:val="0"/>
      <w:marBottom w:val="0"/>
      <w:divBdr>
        <w:top w:val="none" w:sz="0" w:space="0" w:color="auto"/>
        <w:left w:val="none" w:sz="0" w:space="0" w:color="auto"/>
        <w:bottom w:val="none" w:sz="0" w:space="0" w:color="auto"/>
        <w:right w:val="none" w:sz="0" w:space="0" w:color="auto"/>
      </w:divBdr>
    </w:div>
    <w:div w:id="1746100366">
      <w:bodyDiv w:val="1"/>
      <w:marLeft w:val="0"/>
      <w:marRight w:val="0"/>
      <w:marTop w:val="0"/>
      <w:marBottom w:val="0"/>
      <w:divBdr>
        <w:top w:val="none" w:sz="0" w:space="0" w:color="auto"/>
        <w:left w:val="none" w:sz="0" w:space="0" w:color="auto"/>
        <w:bottom w:val="none" w:sz="0" w:space="0" w:color="auto"/>
        <w:right w:val="none" w:sz="0" w:space="0" w:color="auto"/>
      </w:divBdr>
    </w:div>
    <w:div w:id="1815029175">
      <w:bodyDiv w:val="1"/>
      <w:marLeft w:val="0"/>
      <w:marRight w:val="0"/>
      <w:marTop w:val="0"/>
      <w:marBottom w:val="0"/>
      <w:divBdr>
        <w:top w:val="none" w:sz="0" w:space="0" w:color="auto"/>
        <w:left w:val="none" w:sz="0" w:space="0" w:color="auto"/>
        <w:bottom w:val="none" w:sz="0" w:space="0" w:color="auto"/>
        <w:right w:val="none" w:sz="0" w:space="0" w:color="auto"/>
      </w:divBdr>
    </w:div>
    <w:div w:id="1844854671">
      <w:bodyDiv w:val="1"/>
      <w:marLeft w:val="0"/>
      <w:marRight w:val="0"/>
      <w:marTop w:val="0"/>
      <w:marBottom w:val="0"/>
      <w:divBdr>
        <w:top w:val="none" w:sz="0" w:space="0" w:color="auto"/>
        <w:left w:val="none" w:sz="0" w:space="0" w:color="auto"/>
        <w:bottom w:val="none" w:sz="0" w:space="0" w:color="auto"/>
        <w:right w:val="none" w:sz="0" w:space="0" w:color="auto"/>
      </w:divBdr>
    </w:div>
    <w:div w:id="1902131025">
      <w:bodyDiv w:val="1"/>
      <w:marLeft w:val="0"/>
      <w:marRight w:val="0"/>
      <w:marTop w:val="0"/>
      <w:marBottom w:val="0"/>
      <w:divBdr>
        <w:top w:val="none" w:sz="0" w:space="0" w:color="auto"/>
        <w:left w:val="none" w:sz="0" w:space="0" w:color="auto"/>
        <w:bottom w:val="none" w:sz="0" w:space="0" w:color="auto"/>
        <w:right w:val="none" w:sz="0" w:space="0" w:color="auto"/>
      </w:divBdr>
    </w:div>
    <w:div w:id="1948153870">
      <w:bodyDiv w:val="1"/>
      <w:marLeft w:val="0"/>
      <w:marRight w:val="0"/>
      <w:marTop w:val="0"/>
      <w:marBottom w:val="0"/>
      <w:divBdr>
        <w:top w:val="none" w:sz="0" w:space="0" w:color="auto"/>
        <w:left w:val="none" w:sz="0" w:space="0" w:color="auto"/>
        <w:bottom w:val="none" w:sz="0" w:space="0" w:color="auto"/>
        <w:right w:val="none" w:sz="0" w:space="0" w:color="auto"/>
      </w:divBdr>
    </w:div>
    <w:div w:id="2043164938">
      <w:bodyDiv w:val="1"/>
      <w:marLeft w:val="0"/>
      <w:marRight w:val="0"/>
      <w:marTop w:val="0"/>
      <w:marBottom w:val="0"/>
      <w:divBdr>
        <w:top w:val="none" w:sz="0" w:space="0" w:color="auto"/>
        <w:left w:val="none" w:sz="0" w:space="0" w:color="auto"/>
        <w:bottom w:val="none" w:sz="0" w:space="0" w:color="auto"/>
        <w:right w:val="none" w:sz="0" w:space="0" w:color="auto"/>
      </w:divBdr>
    </w:div>
    <w:div w:id="2059892080">
      <w:bodyDiv w:val="1"/>
      <w:marLeft w:val="0"/>
      <w:marRight w:val="0"/>
      <w:marTop w:val="0"/>
      <w:marBottom w:val="0"/>
      <w:divBdr>
        <w:top w:val="none" w:sz="0" w:space="0" w:color="auto"/>
        <w:left w:val="none" w:sz="0" w:space="0" w:color="auto"/>
        <w:bottom w:val="none" w:sz="0" w:space="0" w:color="auto"/>
        <w:right w:val="none" w:sz="0" w:space="0" w:color="auto"/>
      </w:divBdr>
    </w:div>
    <w:div w:id="2080403208">
      <w:bodyDiv w:val="1"/>
      <w:marLeft w:val="0"/>
      <w:marRight w:val="0"/>
      <w:marTop w:val="0"/>
      <w:marBottom w:val="0"/>
      <w:divBdr>
        <w:top w:val="none" w:sz="0" w:space="0" w:color="auto"/>
        <w:left w:val="none" w:sz="0" w:space="0" w:color="auto"/>
        <w:bottom w:val="none" w:sz="0" w:space="0" w:color="auto"/>
        <w:right w:val="none" w:sz="0" w:space="0" w:color="auto"/>
      </w:divBdr>
    </w:div>
    <w:div w:id="2100980716">
      <w:bodyDiv w:val="1"/>
      <w:marLeft w:val="0"/>
      <w:marRight w:val="0"/>
      <w:marTop w:val="0"/>
      <w:marBottom w:val="0"/>
      <w:divBdr>
        <w:top w:val="none" w:sz="0" w:space="0" w:color="auto"/>
        <w:left w:val="none" w:sz="0" w:space="0" w:color="auto"/>
        <w:bottom w:val="none" w:sz="0" w:space="0" w:color="auto"/>
        <w:right w:val="none" w:sz="0" w:space="0" w:color="auto"/>
      </w:divBdr>
    </w:div>
    <w:div w:id="2135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ipex.eu/IPEXL-WEB/dossier/document/COM20170487.do" TargetMode="External" Id="rId13" /><Relationship Type="http://schemas.openxmlformats.org/officeDocument/2006/relationships/hyperlink" Target="http://ec.europa.eu/yourvoice/consultations/index_nl.htm" TargetMode="External" Id="rId18" /><Relationship Type="http://schemas.openxmlformats.org/officeDocument/2006/relationships/settings" Target="settings.xml" Id="rId7" /><Relationship Type="http://schemas.openxmlformats.org/officeDocument/2006/relationships/hyperlink" Target="http://www.ipex.eu/IPEXL-WEB/dossier/document/COM20170494.do" TargetMode="External" Id="rId12" /><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17" /><Relationship Type="http://schemas.openxmlformats.org/officeDocument/2006/relationships/hyperlink" Target="https://ec.europa.eu/info/consultations/public-consultation-evaluation-and-review-eu-tyres-labelling-scheme_nl" TargetMode="External" Id="rId16" /><Relationship Type="http://schemas.openxmlformats.org/officeDocument/2006/relationships/theme" Target="theme/theme1.xml" Id="rId20" /><Relationship Type="http://schemas.microsoft.com/office/2007/relationships/stylesWithEffects" Target="stylesWithEffects.xml" Id="rId6" /><Relationship Type="http://schemas.openxmlformats.org/officeDocument/2006/relationships/hyperlink" Target="http://www.ipex.eu/IPEXL-WEB/dossier/document/COM20170479.do" TargetMode="External" Id="rId11" /><Relationship Type="http://schemas.openxmlformats.org/officeDocument/2006/relationships/styles" Target="styles.xml" Id="rId5" /><Relationship Type="http://schemas.openxmlformats.org/officeDocument/2006/relationships/hyperlink" Target="http://www.ipex.eu/IPEXL-WEB/dossier/document/COM20170572.do"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hyperlink" Target="https://ec.europa.eu/info/consultations/public-consultation-priorities-network-codes-and-guidelines-2018-based-article-6-1-regulation-ec-no-714-2009-and-regulation-ec-no-715-2009_nl"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parlisweb/parlis/document.aspx?id=cf54eb83-50aa-4107-9bd2-8789e62c17c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2865</ap:Words>
  <ap:Characters>15763</ap:Characters>
  <ap:DocSecurity>4</ap:DocSecurity>
  <ap:Lines>131</ap:Lines>
  <ap:Paragraphs>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18591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2017-09-06T11:45:00.0000000Z</lastPrinted>
  <dcterms:created xsi:type="dcterms:W3CDTF">2017-10-19T08:11:00.0000000Z</dcterms:created>
  <dcterms:modified xsi:type="dcterms:W3CDTF">2017-10-19T08:11:00.0000000Z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0x010100D80532D4EB73DB45B42DC18C0674FFF5</vt:lpwstr>
  </property>
</Properties>
</file>