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6C" w:rsidP="00FE6670" w:rsidRDefault="0065126C" w14:paraId="2144D0EE" w14:textId="7B0E8D32">
      <w:pPr>
        <w:pStyle w:val="Kop1"/>
        <w:numPr>
          <w:ilvl w:val="0"/>
          <w:numId w:val="0"/>
        </w:numPr>
        <w:ind w:left="425" w:hanging="425"/>
        <w:rPr>
          <w:rFonts w:ascii="Verdana" w:hAnsi="Verdana"/>
          <w:kern w:val="0"/>
          <w:sz w:val="18"/>
          <w:szCs w:val="24"/>
        </w:rPr>
      </w:pPr>
      <w:bookmarkStart w:name="_GoBack" w:id="0"/>
      <w:bookmarkEnd w:id="0"/>
      <w:r w:rsidRPr="005B2989">
        <w:rPr>
          <w:rFonts w:ascii="Verdana" w:hAnsi="Verdana"/>
          <w:kern w:val="0"/>
          <w:sz w:val="18"/>
          <w:szCs w:val="24"/>
        </w:rPr>
        <w:t xml:space="preserve">Geselecteerde onderwerpen jaarplanning </w:t>
      </w:r>
      <w:r w:rsidRPr="005B2989" w:rsidR="00586419">
        <w:rPr>
          <w:rFonts w:ascii="Verdana" w:hAnsi="Verdana"/>
          <w:kern w:val="0"/>
          <w:sz w:val="18"/>
          <w:szCs w:val="24"/>
        </w:rPr>
        <w:t>vaste commissie voor Defensie voor het najaar van 2017</w:t>
      </w:r>
      <w:r w:rsidRPr="005B2989" w:rsidR="00BA6B7B">
        <w:rPr>
          <w:rFonts w:ascii="Verdana" w:hAnsi="Verdana"/>
          <w:kern w:val="0"/>
          <w:sz w:val="18"/>
          <w:szCs w:val="24"/>
        </w:rPr>
        <w:t xml:space="preserve"> </w:t>
      </w:r>
    </w:p>
    <w:p w:rsidR="00D53BB6" w:rsidP="006B26A1" w:rsidRDefault="00D53BB6" w14:paraId="0B352BF4" w14:textId="77777777"/>
    <w:p w:rsidR="002542B0" w:rsidP="006B26A1" w:rsidRDefault="00C97F09" w14:paraId="5A5E5239" w14:textId="25937D6A">
      <w:r>
        <w:t>D</w:t>
      </w:r>
      <w:r w:rsidR="00D53BB6">
        <w:t xml:space="preserve">e </w:t>
      </w:r>
      <w:r w:rsidR="00586419">
        <w:t xml:space="preserve">vaste </w:t>
      </w:r>
      <w:r w:rsidR="00D53BB6">
        <w:t xml:space="preserve">commissie </w:t>
      </w:r>
      <w:r w:rsidR="00586419">
        <w:t>voor Defensie</w:t>
      </w:r>
      <w:r w:rsidR="00122332">
        <w:t xml:space="preserve"> </w:t>
      </w:r>
      <w:r>
        <w:t>heeft in haar procedurevergadering</w:t>
      </w:r>
      <w:r w:rsidR="00D53BB6">
        <w:t xml:space="preserve"> van </w:t>
      </w:r>
      <w:r w:rsidR="00586419">
        <w:t>28 september 2017</w:t>
      </w:r>
      <w:r w:rsidR="00122332">
        <w:t xml:space="preserve"> </w:t>
      </w:r>
      <w:r>
        <w:t xml:space="preserve">een selectie gemaakt van in het </w:t>
      </w:r>
      <w:r w:rsidR="00586419">
        <w:t>najaar van 2017</w:t>
      </w:r>
      <w:r w:rsidR="00122332">
        <w:t xml:space="preserve"> </w:t>
      </w:r>
      <w:r>
        <w:t>te behandelen onderwerpen</w:t>
      </w:r>
      <w:r w:rsidR="007C0782">
        <w:t>.</w:t>
      </w:r>
      <w:r>
        <w:t xml:space="preserve"> </w:t>
      </w:r>
      <w:r w:rsidR="00A550BD">
        <w:t>Voor deze selectie</w:t>
      </w:r>
      <w:r w:rsidR="007C0782">
        <w:t xml:space="preserve"> kiest</w:t>
      </w:r>
      <w:r>
        <w:t xml:space="preserve"> de commissie op voorhand voor een aanvullende inzet van de commissieleden en/of de commissiestaf</w:t>
      </w:r>
      <w:r w:rsidR="007C0782">
        <w:t>, bijvoorbeeld vanwege de verwachte complexiteit</w:t>
      </w:r>
      <w:r w:rsidR="000B6888">
        <w:t xml:space="preserve"> </w:t>
      </w:r>
      <w:r w:rsidR="000C7CAD">
        <w:t>van het onderwerp</w:t>
      </w:r>
      <w:r>
        <w:t>.</w:t>
      </w:r>
      <w:r w:rsidR="007C0782">
        <w:t xml:space="preserve"> </w:t>
      </w:r>
    </w:p>
    <w:p w:rsidR="002542B0" w:rsidP="006B26A1" w:rsidRDefault="002542B0" w14:paraId="1401DDA9" w14:textId="77777777"/>
    <w:p w:rsidR="004108D1" w:rsidP="004108D1" w:rsidRDefault="002542B0" w14:paraId="1BBA0C02" w14:textId="70A05EFB">
      <w:r>
        <w:t xml:space="preserve">Hieronder zijn de geselecteerde onderwerpen opgenomen. </w:t>
      </w:r>
      <w:r w:rsidRPr="005E214D" w:rsidR="004108D1">
        <w:t xml:space="preserve">Over de wijze van behandeling van de </w:t>
      </w:r>
      <w:r w:rsidR="004108D1">
        <w:t xml:space="preserve">niet op voorhand geselecteerde </w:t>
      </w:r>
      <w:r w:rsidRPr="005E214D" w:rsidR="004108D1">
        <w:t xml:space="preserve">onderwerpen wordt op de gebruikelijke manier besloten: na ontvangst van de </w:t>
      </w:r>
      <w:r w:rsidR="004108D1">
        <w:t xml:space="preserve">desbetreffende </w:t>
      </w:r>
      <w:r w:rsidRPr="005E214D" w:rsidR="004108D1">
        <w:t>stukken in een procedurevergadering</w:t>
      </w:r>
      <w:r w:rsidR="004108D1">
        <w:t>.</w:t>
      </w:r>
    </w:p>
    <w:p w:rsidR="00835959" w:rsidP="006B26A1" w:rsidRDefault="00835959" w14:paraId="23028024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16"/>
        <w:gridCol w:w="2233"/>
        <w:gridCol w:w="3860"/>
        <w:gridCol w:w="1098"/>
        <w:gridCol w:w="2959"/>
        <w:gridCol w:w="1403"/>
        <w:gridCol w:w="1949"/>
      </w:tblGrid>
      <w:tr w:rsidRPr="008E6B8A" w:rsidR="00B956AD" w:rsidTr="005B2989" w14:paraId="2BDC0A9A" w14:textId="41E2AB64">
        <w:trPr>
          <w:cantSplit/>
          <w:tblHeader/>
        </w:trPr>
        <w:tc>
          <w:tcPr>
            <w:tcW w:w="0" w:type="auto"/>
            <w:shd w:val="clear" w:color="auto" w:fill="C6D9F1" w:themeFill="text2" w:themeFillTint="33"/>
          </w:tcPr>
          <w:p w:rsidRPr="00A31353" w:rsidR="002B7DE2" w:rsidP="001449A8" w:rsidRDefault="002B7DE2" w14:paraId="043A7F74" w14:textId="77777777">
            <w:pPr>
              <w:ind w:left="360"/>
              <w:rPr>
                <w:b/>
                <w:sz w:val="16"/>
                <w:szCs w:val="16"/>
              </w:rPr>
            </w:pPr>
            <w:r w:rsidRPr="00A31353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Pr="008E6B8A" w:rsidR="002B7DE2" w:rsidP="001449A8" w:rsidRDefault="002B7DE2" w14:paraId="53384235" w14:textId="77777777">
            <w:pPr>
              <w:rPr>
                <w:b/>
                <w:sz w:val="16"/>
                <w:szCs w:val="16"/>
              </w:rPr>
            </w:pPr>
            <w:r w:rsidRPr="008E6B8A">
              <w:rPr>
                <w:b/>
                <w:sz w:val="16"/>
                <w:szCs w:val="16"/>
              </w:rPr>
              <w:br w:type="page"/>
            </w:r>
            <w:r>
              <w:rPr>
                <w:b/>
                <w:sz w:val="16"/>
                <w:szCs w:val="16"/>
              </w:rPr>
              <w:t>Soort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Pr="008E6B8A" w:rsidR="002B7DE2" w:rsidP="001449A8" w:rsidRDefault="002B7DE2" w14:paraId="3050C685" w14:textId="77777777">
            <w:pPr>
              <w:rPr>
                <w:b/>
                <w:sz w:val="16"/>
                <w:szCs w:val="16"/>
              </w:rPr>
            </w:pPr>
            <w:r w:rsidRPr="008E6B8A">
              <w:rPr>
                <w:b/>
                <w:sz w:val="16"/>
                <w:szCs w:val="16"/>
              </w:rPr>
              <w:t>Document</w:t>
            </w:r>
            <w:r>
              <w:rPr>
                <w:b/>
                <w:sz w:val="16"/>
                <w:szCs w:val="16"/>
              </w:rPr>
              <w:t>/activiteit/onderwerp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Pr="008E6B8A" w:rsidR="002B7DE2" w:rsidP="001449A8" w:rsidRDefault="002B7DE2" w14:paraId="25DC98EF" w14:textId="77777777">
            <w:pPr>
              <w:rPr>
                <w:b/>
                <w:sz w:val="16"/>
                <w:szCs w:val="16"/>
              </w:rPr>
            </w:pPr>
            <w:r w:rsidRPr="008E6B8A">
              <w:rPr>
                <w:b/>
                <w:sz w:val="16"/>
                <w:szCs w:val="16"/>
              </w:rPr>
              <w:t>Wanneer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Pr="008E6B8A" w:rsidR="002B7DE2" w:rsidP="001449A8" w:rsidRDefault="002B7DE2" w14:paraId="1AE3E0A5" w14:textId="77777777">
            <w:pPr>
              <w:rPr>
                <w:b/>
                <w:sz w:val="16"/>
                <w:szCs w:val="16"/>
              </w:rPr>
            </w:pPr>
            <w:r w:rsidRPr="008E6B8A">
              <w:rPr>
                <w:b/>
                <w:sz w:val="16"/>
                <w:szCs w:val="16"/>
              </w:rPr>
              <w:t>Instrument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Pr="008E6B8A" w:rsidR="002B7DE2" w:rsidP="001449A8" w:rsidRDefault="002B7DE2" w14:paraId="332DC8EC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Inzet </w:t>
            </w:r>
            <w:r w:rsidRPr="008E6B8A">
              <w:rPr>
                <w:b/>
                <w:sz w:val="16"/>
                <w:szCs w:val="16"/>
              </w:rPr>
              <w:t>commissie</w:t>
            </w:r>
          </w:p>
          <w:p w:rsidRPr="008E6B8A" w:rsidR="002B7DE2" w:rsidP="001449A8" w:rsidRDefault="002B7DE2" w14:paraId="7E81DB4D" w14:textId="77777777">
            <w:pPr>
              <w:rPr>
                <w:b/>
                <w:sz w:val="16"/>
                <w:szCs w:val="16"/>
              </w:rPr>
            </w:pPr>
            <w:r w:rsidRPr="008E6B8A">
              <w:rPr>
                <w:b/>
                <w:sz w:val="16"/>
                <w:szCs w:val="16"/>
              </w:rPr>
              <w:t>(-leden)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Pr="008E6B8A" w:rsidR="002B7DE2" w:rsidP="001449A8" w:rsidRDefault="002B7DE2" w14:paraId="56C7037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Inzet </w:t>
            </w:r>
            <w:r w:rsidRPr="008E6B8A">
              <w:rPr>
                <w:b/>
                <w:sz w:val="16"/>
                <w:szCs w:val="16"/>
              </w:rPr>
              <w:t>staf</w:t>
            </w:r>
          </w:p>
        </w:tc>
      </w:tr>
      <w:tr w:rsidRPr="00F56FD6" w:rsidR="00B956AD" w:rsidTr="005B2989" w14:paraId="71053CAE" w14:textId="4BEED78D">
        <w:trPr>
          <w:cantSplit/>
        </w:trPr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46818EFF" w14:textId="77777777">
            <w:pPr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7357A4AD" w14:textId="77777777">
            <w:pPr>
              <w:rPr>
                <w:b/>
                <w:sz w:val="16"/>
                <w:szCs w:val="16"/>
              </w:rPr>
            </w:pPr>
          </w:p>
          <w:p w:rsidRPr="00F56FD6" w:rsidR="002B7DE2" w:rsidP="001449A8" w:rsidRDefault="002B7DE2" w14:paraId="04556B1A" w14:textId="730DEA0B">
            <w:pPr>
              <w:rPr>
                <w:b/>
                <w:sz w:val="16"/>
                <w:szCs w:val="16"/>
              </w:rPr>
            </w:pPr>
            <w:r w:rsidRPr="00F56FD6">
              <w:rPr>
                <w:b/>
                <w:sz w:val="16"/>
                <w:szCs w:val="16"/>
              </w:rPr>
              <w:t>BELEIDS- EN BEGROTINGS-</w:t>
            </w:r>
          </w:p>
          <w:p w:rsidRPr="00F56FD6" w:rsidR="002B7DE2" w:rsidP="001449A8" w:rsidRDefault="002B7DE2" w14:paraId="5BFA676F" w14:textId="77777777">
            <w:pPr>
              <w:rPr>
                <w:b/>
                <w:sz w:val="16"/>
                <w:szCs w:val="16"/>
              </w:rPr>
            </w:pPr>
            <w:r w:rsidRPr="00F56FD6">
              <w:rPr>
                <w:b/>
                <w:sz w:val="16"/>
                <w:szCs w:val="16"/>
              </w:rPr>
              <w:t>CONTROLE</w:t>
            </w:r>
          </w:p>
          <w:p w:rsidRPr="00F56FD6" w:rsidR="002B7DE2" w:rsidP="001449A8" w:rsidRDefault="002B7DE2" w14:paraId="305F06DC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4896F13A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61B10699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5F571530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2AD4CB13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407F5C50" w14:textId="77777777">
            <w:pPr>
              <w:rPr>
                <w:b/>
                <w:sz w:val="16"/>
                <w:szCs w:val="16"/>
              </w:rPr>
            </w:pPr>
          </w:p>
        </w:tc>
      </w:tr>
      <w:tr w:rsidRPr="008E6B8A" w:rsidR="00B956AD" w:rsidTr="005B2989" w14:paraId="337C5A9D" w14:textId="77777777">
        <w:trPr>
          <w:cantSplit/>
        </w:trPr>
        <w:tc>
          <w:tcPr>
            <w:tcW w:w="0" w:type="auto"/>
          </w:tcPr>
          <w:p w:rsidRPr="003F64F6" w:rsidR="00586419" w:rsidP="002A383F" w:rsidRDefault="00586419" w14:paraId="4858F99E" w14:textId="77777777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8E6B8A" w:rsidR="00586419" w:rsidP="002A383F" w:rsidRDefault="00586419" w14:paraId="186CECE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Begroting 2018</w:t>
            </w:r>
          </w:p>
        </w:tc>
        <w:tc>
          <w:tcPr>
            <w:tcW w:w="0" w:type="auto"/>
          </w:tcPr>
          <w:p w:rsidRPr="008E6B8A" w:rsidR="00586419" w:rsidP="002A383F" w:rsidRDefault="00586419" w14:paraId="25C83C5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Begroting, inclusief materieelprojectenoverzicht, personeelsrapportage, plan van aanpak behoud en werving en inzetbaarheidsrapportage</w:t>
            </w:r>
          </w:p>
        </w:tc>
        <w:tc>
          <w:tcPr>
            <w:tcW w:w="0" w:type="auto"/>
          </w:tcPr>
          <w:p w:rsidRPr="008E6B8A" w:rsidR="00586419" w:rsidP="002A383F" w:rsidRDefault="005C5AFC" w14:paraId="0DBFD630" w14:textId="6D2EF0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586419">
              <w:rPr>
                <w:sz w:val="16"/>
                <w:szCs w:val="16"/>
              </w:rPr>
              <w:t>eptember</w:t>
            </w:r>
          </w:p>
        </w:tc>
        <w:tc>
          <w:tcPr>
            <w:tcW w:w="0" w:type="auto"/>
          </w:tcPr>
          <w:p w:rsidR="00586419" w:rsidP="002A383F" w:rsidRDefault="00586419" w14:paraId="1388973A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Feitelijke vragen, technische briefing ministerie van Defensie, technische briefing Algemene Rekenkamer, </w:t>
            </w:r>
            <w:proofErr w:type="spellStart"/>
            <w:r>
              <w:rPr>
                <w:sz w:val="16"/>
                <w:szCs w:val="16"/>
              </w:rPr>
              <w:t>wetgevingsoverleggen</w:t>
            </w:r>
            <w:proofErr w:type="spellEnd"/>
            <w:r>
              <w:rPr>
                <w:sz w:val="16"/>
                <w:szCs w:val="16"/>
              </w:rPr>
              <w:t xml:space="preserve"> materieel en personeel</w:t>
            </w:r>
          </w:p>
        </w:tc>
        <w:tc>
          <w:tcPr>
            <w:tcW w:w="0" w:type="auto"/>
          </w:tcPr>
          <w:p w:rsidRPr="008E6B8A" w:rsidR="00586419" w:rsidP="002A383F" w:rsidRDefault="00586419" w14:paraId="7A1E50DA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8E6B8A" w:rsidR="00586419" w:rsidP="002A383F" w:rsidRDefault="00586419" w14:paraId="7810B1A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Stafnotitie</w:t>
            </w:r>
          </w:p>
        </w:tc>
      </w:tr>
      <w:tr w:rsidRPr="008E6B8A" w:rsidR="00B956AD" w:rsidTr="005B2989" w14:paraId="3B3F2266" w14:textId="77777777">
        <w:trPr>
          <w:cantSplit/>
        </w:trPr>
        <w:tc>
          <w:tcPr>
            <w:tcW w:w="0" w:type="auto"/>
          </w:tcPr>
          <w:p w:rsidRPr="003F64F6" w:rsidR="00586419" w:rsidP="002A383F" w:rsidRDefault="00586419" w14:paraId="44AD181F" w14:textId="77777777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86419" w:rsidP="002A383F" w:rsidRDefault="00586419" w14:paraId="3F8323FF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F-35</w:t>
            </w:r>
          </w:p>
        </w:tc>
        <w:tc>
          <w:tcPr>
            <w:tcW w:w="0" w:type="auto"/>
          </w:tcPr>
          <w:p w:rsidRPr="008E6B8A" w:rsidR="00586419" w:rsidP="002A383F" w:rsidRDefault="00586419" w14:paraId="2508B31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Voortgangsrapportage verwerving F-35</w:t>
            </w:r>
          </w:p>
        </w:tc>
        <w:tc>
          <w:tcPr>
            <w:tcW w:w="0" w:type="auto"/>
          </w:tcPr>
          <w:p w:rsidRPr="008E6B8A" w:rsidR="00586419" w:rsidP="002A383F" w:rsidRDefault="00586419" w14:paraId="59CB882B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</w:t>
            </w:r>
          </w:p>
        </w:tc>
        <w:tc>
          <w:tcPr>
            <w:tcW w:w="0" w:type="auto"/>
          </w:tcPr>
          <w:p w:rsidR="00586419" w:rsidP="002A383F" w:rsidRDefault="00586419" w14:paraId="7033BB6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Feitelijke vragen, algemeen overleg</w:t>
            </w:r>
          </w:p>
        </w:tc>
        <w:tc>
          <w:tcPr>
            <w:tcW w:w="0" w:type="auto"/>
          </w:tcPr>
          <w:p w:rsidRPr="008E6B8A" w:rsidR="00586419" w:rsidP="002A383F" w:rsidRDefault="00586419" w14:paraId="0BA939D6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8E6B8A" w:rsidR="00586419" w:rsidP="002A383F" w:rsidRDefault="00586419" w14:paraId="761C6AE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Stafnotitie</w:t>
            </w:r>
          </w:p>
        </w:tc>
      </w:tr>
      <w:tr w:rsidRPr="008E6B8A" w:rsidR="00B956AD" w:rsidTr="005B2989" w14:paraId="5D097BFA" w14:textId="705B202D">
        <w:trPr>
          <w:cantSplit/>
        </w:trPr>
        <w:tc>
          <w:tcPr>
            <w:tcW w:w="0" w:type="auto"/>
            <w:shd w:val="clear" w:color="auto" w:fill="auto"/>
          </w:tcPr>
          <w:p w:rsidRPr="00A31353" w:rsidR="002B7DE2" w:rsidP="006B26A1" w:rsidRDefault="002B7DE2" w14:paraId="59461DE6" w14:textId="77777777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B7DE2" w:rsidP="00835959" w:rsidRDefault="00586419" w14:paraId="71F5DF69" w14:textId="492E31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Helikopters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586419" w14:paraId="0088BDB4" w14:textId="3361AA34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Voortgangsrapportage helikopters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586419" w14:paraId="18E24DED" w14:textId="0C240A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oktober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586419" w14:paraId="3CD44508" w14:textId="6FF98764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Feitelijke vragen; Algemeen overleg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2B7DE2" w14:paraId="36691145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586419" w14:paraId="77C85FA0" w14:textId="5FA96B97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Stafnotitie</w:t>
            </w:r>
          </w:p>
        </w:tc>
      </w:tr>
      <w:tr w:rsidRPr="008E6B8A" w:rsidR="00B956AD" w:rsidTr="005B2989" w14:paraId="515554D1" w14:textId="77777777">
        <w:trPr>
          <w:cantSplit/>
        </w:trPr>
        <w:tc>
          <w:tcPr>
            <w:tcW w:w="0" w:type="auto"/>
            <w:shd w:val="clear" w:color="auto" w:fill="auto"/>
          </w:tcPr>
          <w:p w:rsidRPr="00A31353" w:rsidR="00586419" w:rsidP="006B26A1" w:rsidRDefault="00586419" w14:paraId="2C57788B" w14:textId="77777777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86419" w:rsidP="00835959" w:rsidRDefault="00586419" w14:paraId="32B8278A" w14:textId="676F1228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IT</w:t>
            </w:r>
          </w:p>
        </w:tc>
        <w:tc>
          <w:tcPr>
            <w:tcW w:w="0" w:type="auto"/>
            <w:shd w:val="clear" w:color="auto" w:fill="auto"/>
          </w:tcPr>
          <w:p w:rsidRPr="00586419" w:rsidR="00586419" w:rsidP="001449A8" w:rsidRDefault="005B2989" w14:paraId="5DD1B811" w14:textId="2B188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Voortgangsrapportage IT</w:t>
            </w:r>
          </w:p>
        </w:tc>
        <w:tc>
          <w:tcPr>
            <w:tcW w:w="0" w:type="auto"/>
            <w:shd w:val="clear" w:color="auto" w:fill="auto"/>
          </w:tcPr>
          <w:p w:rsidR="00586419" w:rsidP="001449A8" w:rsidRDefault="00586419" w14:paraId="518F4355" w14:textId="1357E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</w:t>
            </w:r>
          </w:p>
        </w:tc>
        <w:tc>
          <w:tcPr>
            <w:tcW w:w="0" w:type="auto"/>
            <w:shd w:val="clear" w:color="auto" w:fill="auto"/>
          </w:tcPr>
          <w:p w:rsidRPr="00586419" w:rsidR="00586419" w:rsidP="001449A8" w:rsidRDefault="00586419" w14:paraId="001707F2" w14:textId="3FBE442C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Feitelijke vragen, algemeen overleg</w:t>
            </w:r>
          </w:p>
        </w:tc>
        <w:tc>
          <w:tcPr>
            <w:tcW w:w="0" w:type="auto"/>
            <w:shd w:val="clear" w:color="auto" w:fill="auto"/>
          </w:tcPr>
          <w:p w:rsidRPr="008E6B8A" w:rsidR="00586419" w:rsidP="001449A8" w:rsidRDefault="00586419" w14:paraId="0E989041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586419" w:rsidR="00586419" w:rsidP="001449A8" w:rsidRDefault="00586419" w14:paraId="0DE2D014" w14:textId="5E90E976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Stafnotitie</w:t>
            </w:r>
          </w:p>
        </w:tc>
      </w:tr>
      <w:tr w:rsidRPr="00F56FD6" w:rsidR="00B956AD" w:rsidTr="005B2989" w14:paraId="1B9AFE70" w14:textId="6C82B05E">
        <w:trPr>
          <w:cantSplit/>
        </w:trPr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5BD5BCB8" w14:textId="77777777">
            <w:pPr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31B5D59B" w14:textId="77777777">
            <w:pPr>
              <w:rPr>
                <w:b/>
                <w:sz w:val="16"/>
                <w:szCs w:val="16"/>
              </w:rPr>
            </w:pPr>
          </w:p>
          <w:p w:rsidRPr="00F56FD6" w:rsidR="002B7DE2" w:rsidP="001449A8" w:rsidRDefault="002B7DE2" w14:paraId="27D07154" w14:textId="6A44F8E9">
            <w:pPr>
              <w:rPr>
                <w:b/>
                <w:sz w:val="16"/>
                <w:szCs w:val="16"/>
              </w:rPr>
            </w:pPr>
            <w:r w:rsidRPr="00F56FD6">
              <w:rPr>
                <w:b/>
                <w:sz w:val="16"/>
                <w:szCs w:val="16"/>
              </w:rPr>
              <w:t>EUROPESE DOSSIERS</w:t>
            </w:r>
          </w:p>
          <w:p w:rsidRPr="00F56FD6" w:rsidR="002B7DE2" w:rsidP="001449A8" w:rsidRDefault="002B7DE2" w14:paraId="02986B14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2C507D4A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26E33B01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765B6BE7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2C477541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F56FD6" w:rsidR="002B7DE2" w:rsidP="001449A8" w:rsidRDefault="002B7DE2" w14:paraId="4C6A0DAA" w14:textId="77777777">
            <w:pPr>
              <w:rPr>
                <w:b/>
                <w:sz w:val="16"/>
                <w:szCs w:val="16"/>
              </w:rPr>
            </w:pPr>
          </w:p>
        </w:tc>
      </w:tr>
      <w:tr w:rsidRPr="008E6B8A" w:rsidR="00B956AD" w:rsidTr="005B2989" w14:paraId="5267B83E" w14:textId="77A4BDBB">
        <w:trPr>
          <w:cantSplit/>
        </w:trPr>
        <w:tc>
          <w:tcPr>
            <w:tcW w:w="0" w:type="auto"/>
            <w:shd w:val="clear" w:color="auto" w:fill="auto"/>
          </w:tcPr>
          <w:p w:rsidRPr="00A31353" w:rsidR="002B7DE2" w:rsidP="006B26A1" w:rsidRDefault="002B7DE2" w14:paraId="6BF2C9ED" w14:textId="77777777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8E6B8A" w:rsidR="002B7DE2" w:rsidP="00D51AE8" w:rsidRDefault="00B956AD" w14:paraId="5C3983C1" w14:textId="749562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Europese Raad op 19-20 oktober in Brussel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B956AD" w:rsidRDefault="005B2989" w14:paraId="25806A4B" w14:textId="1D70528E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Geannoteerde agenda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 w:rsidR="00B956AD">
              <w:rPr>
                <w:sz w:val="16"/>
                <w:szCs w:val="16"/>
              </w:rPr>
              <w:t>EuZa</w:t>
            </w:r>
            <w:proofErr w:type="spellEnd"/>
            <w:r w:rsidR="00B956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voortouw)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FD6BA1" w:rsidRDefault="00586419" w14:paraId="4A7A774B" w14:textId="6F07C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oktober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3F64F6" w:rsidRDefault="00B956AD" w14:paraId="573F4CFD" w14:textId="791BC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Plenair debat met de minister-president in de week van 10-12 oktober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3F64F6" w:rsidRDefault="002B7DE2" w14:paraId="32797076" w14:textId="392CE95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8E6B8A" w:rsidR="002B7DE2" w:rsidP="00B956AD" w:rsidRDefault="00B956AD" w14:paraId="77DC1D94" w14:textId="39E522AA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 xml:space="preserve">EU-signalering aan commissies Europese Zaken en Defensie en overige betrokken commissies </w:t>
            </w:r>
          </w:p>
        </w:tc>
      </w:tr>
      <w:tr w:rsidRPr="008E6B8A" w:rsidR="00B956AD" w:rsidTr="005B2989" w14:paraId="1E511251" w14:textId="2428D32B">
        <w:trPr>
          <w:cantSplit/>
        </w:trPr>
        <w:tc>
          <w:tcPr>
            <w:tcW w:w="0" w:type="auto"/>
            <w:shd w:val="clear" w:color="auto" w:fill="auto"/>
          </w:tcPr>
          <w:p w:rsidRPr="00A31353" w:rsidR="002B7DE2" w:rsidP="006B26A1" w:rsidRDefault="002B7DE2" w14:paraId="037D9F30" w14:textId="77777777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8E6B8A" w:rsidR="002B7DE2" w:rsidP="00835959" w:rsidRDefault="00586419" w14:paraId="0550A871" w14:textId="38E22073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Raad Buitenlandse Zaken</w:t>
            </w:r>
            <w:r w:rsidR="00B956AD">
              <w:rPr>
                <w:sz w:val="16"/>
                <w:szCs w:val="16"/>
              </w:rPr>
              <w:t xml:space="preserve"> met ministers van Defensie (EU-Defensieraad) op</w:t>
            </w:r>
            <w:r w:rsidRPr="00586419">
              <w:rPr>
                <w:sz w:val="16"/>
                <w:szCs w:val="16"/>
              </w:rPr>
              <w:t xml:space="preserve"> 14 november in Brussel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B956AD" w:rsidRDefault="00586419" w14:paraId="6BA30AD5" w14:textId="266FB398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Geannoteerde agenda</w:t>
            </w:r>
            <w:r w:rsidR="005B2989">
              <w:rPr>
                <w:sz w:val="16"/>
                <w:szCs w:val="16"/>
              </w:rPr>
              <w:t xml:space="preserve"> (</w:t>
            </w:r>
            <w:r w:rsidR="00B956AD">
              <w:rPr>
                <w:sz w:val="16"/>
                <w:szCs w:val="16"/>
              </w:rPr>
              <w:t xml:space="preserve">DEF </w:t>
            </w:r>
            <w:r w:rsidR="005B2989">
              <w:rPr>
                <w:sz w:val="16"/>
                <w:szCs w:val="16"/>
              </w:rPr>
              <w:t>voortouw)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B956AD" w14:paraId="68E38497" w14:textId="648D27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586419">
              <w:rPr>
                <w:sz w:val="16"/>
                <w:szCs w:val="16"/>
              </w:rPr>
              <w:t>ovember</w:t>
            </w:r>
          </w:p>
        </w:tc>
        <w:tc>
          <w:tcPr>
            <w:tcW w:w="0" w:type="auto"/>
            <w:shd w:val="clear" w:color="auto" w:fill="auto"/>
          </w:tcPr>
          <w:p w:rsidRPr="00D51AE8" w:rsidR="00B956AD" w:rsidP="00B956AD" w:rsidRDefault="00B956AD" w14:paraId="3C20E2B8" w14:textId="04FF6E54">
            <w:pPr>
              <w:rPr>
                <w:sz w:val="16"/>
                <w:szCs w:val="16"/>
              </w:rPr>
            </w:pPr>
            <w:r w:rsidRPr="00D51AE8">
              <w:rPr>
                <w:sz w:val="16"/>
                <w:szCs w:val="16"/>
              </w:rPr>
              <w:t>Werkbezoek aan Brussel op 6 november</w:t>
            </w:r>
            <w:r w:rsidR="005367D7">
              <w:rPr>
                <w:sz w:val="16"/>
                <w:szCs w:val="16"/>
              </w:rPr>
              <w:t xml:space="preserve"> (tentatieve planning)</w:t>
            </w:r>
          </w:p>
          <w:p w:rsidR="00B956AD" w:rsidP="00B956AD" w:rsidRDefault="00B956AD" w14:paraId="54A67573" w14:textId="77777777">
            <w:pPr>
              <w:rPr>
                <w:sz w:val="16"/>
                <w:szCs w:val="16"/>
              </w:rPr>
            </w:pPr>
          </w:p>
          <w:p w:rsidR="00B956AD" w:rsidP="00B956AD" w:rsidRDefault="00586419" w14:paraId="1FF5992E" w14:textId="77777777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Algemeen overleg</w:t>
            </w:r>
            <w:r w:rsidR="005C5AFC">
              <w:rPr>
                <w:sz w:val="16"/>
                <w:szCs w:val="16"/>
              </w:rPr>
              <w:t xml:space="preserve"> </w:t>
            </w:r>
            <w:r w:rsidR="00B956AD">
              <w:rPr>
                <w:sz w:val="16"/>
                <w:szCs w:val="16"/>
              </w:rPr>
              <w:t>op 7 november</w:t>
            </w:r>
          </w:p>
          <w:p w:rsidR="00B956AD" w:rsidP="00B956AD" w:rsidRDefault="00B956AD" w14:paraId="6A97DB97" w14:textId="77777777">
            <w:pPr>
              <w:rPr>
                <w:sz w:val="16"/>
                <w:szCs w:val="16"/>
              </w:rPr>
            </w:pPr>
          </w:p>
          <w:p w:rsidRPr="008E6B8A" w:rsidR="002B7DE2" w:rsidP="00B956AD" w:rsidRDefault="002B7DE2" w14:paraId="7B628552" w14:textId="26498DE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2B7DE2" w14:paraId="0DA18D48" w14:textId="5A9F25B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956AD" w:rsidP="00835959" w:rsidRDefault="00B956AD" w14:paraId="6ABD94D2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Reader voor werkbezoek</w:t>
            </w:r>
          </w:p>
          <w:p w:rsidR="00B956AD" w:rsidP="00835959" w:rsidRDefault="00B956AD" w14:paraId="06032485" w14:textId="77777777">
            <w:pPr>
              <w:rPr>
                <w:sz w:val="16"/>
                <w:szCs w:val="16"/>
              </w:rPr>
            </w:pPr>
          </w:p>
          <w:p w:rsidR="00B956AD" w:rsidP="00B956AD" w:rsidRDefault="00B956AD" w14:paraId="419CA8D4" w14:textId="77777777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EU-signalering</w:t>
            </w:r>
            <w:r>
              <w:rPr>
                <w:sz w:val="16"/>
                <w:szCs w:val="16"/>
              </w:rPr>
              <w:t xml:space="preserve"> aan commissie Defensie</w:t>
            </w:r>
          </w:p>
          <w:p w:rsidRPr="008E6B8A" w:rsidR="00B956AD" w:rsidP="00835959" w:rsidRDefault="00B956AD" w14:paraId="09B5CB9E" w14:textId="0B55F29E">
            <w:pPr>
              <w:rPr>
                <w:sz w:val="16"/>
                <w:szCs w:val="16"/>
              </w:rPr>
            </w:pPr>
          </w:p>
        </w:tc>
      </w:tr>
      <w:tr w:rsidRPr="008E6B8A" w:rsidR="00B956AD" w:rsidTr="005B2989" w14:paraId="1F9187F8" w14:textId="40FDE2B9">
        <w:trPr>
          <w:cantSplit/>
        </w:trPr>
        <w:tc>
          <w:tcPr>
            <w:tcW w:w="0" w:type="auto"/>
            <w:shd w:val="clear" w:color="auto" w:fill="auto"/>
          </w:tcPr>
          <w:p w:rsidRPr="00A31353" w:rsidR="002B7DE2" w:rsidP="006B26A1" w:rsidRDefault="002B7DE2" w14:paraId="22DD0FAD" w14:textId="2C022D7D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8E6B8A" w:rsidR="002B7DE2" w:rsidP="00835959" w:rsidRDefault="00586419" w14:paraId="15AF3040" w14:textId="55F12A10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Europese Raad met regeringsleiders op 14-15 december 2017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C10C94" w:rsidRDefault="005B2989" w14:paraId="7CDAB6E7" w14:textId="1B76E887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Geannoteerde agenda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EuZa</w:t>
            </w:r>
            <w:proofErr w:type="spellEnd"/>
            <w:r>
              <w:rPr>
                <w:sz w:val="16"/>
                <w:szCs w:val="16"/>
              </w:rPr>
              <w:t xml:space="preserve"> voortouw)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1449A8" w:rsidRDefault="005B2989" w14:paraId="542B6290" w14:textId="56A0A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835959" w:rsidRDefault="00586419" w14:paraId="5ACA5EC5" w14:textId="532F426F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Plenair debat met de minister-president</w:t>
            </w:r>
          </w:p>
        </w:tc>
        <w:tc>
          <w:tcPr>
            <w:tcW w:w="0" w:type="auto"/>
            <w:shd w:val="clear" w:color="auto" w:fill="auto"/>
          </w:tcPr>
          <w:p w:rsidRPr="008E6B8A" w:rsidR="002B7DE2" w:rsidP="000B060D" w:rsidRDefault="002B7DE2" w14:paraId="3812F341" w14:textId="769A85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Pr="008E6B8A" w:rsidR="002B7DE2" w:rsidP="00835959" w:rsidRDefault="00586419" w14:paraId="4A0AE8CB" w14:textId="089AF004">
            <w:pPr>
              <w:rPr>
                <w:sz w:val="16"/>
                <w:szCs w:val="16"/>
              </w:rPr>
            </w:pPr>
            <w:r w:rsidRPr="00586419">
              <w:rPr>
                <w:sz w:val="16"/>
                <w:szCs w:val="16"/>
              </w:rPr>
              <w:t>EU-signalering aan commissies Europese Zaken en Defensie en overige betrokken commissies</w:t>
            </w:r>
          </w:p>
        </w:tc>
      </w:tr>
      <w:tr w:rsidRPr="008B6B10" w:rsidR="00B956AD" w:rsidTr="005B2989" w14:paraId="33A070E2" w14:textId="5E102A77">
        <w:trPr>
          <w:cantSplit/>
        </w:trPr>
        <w:tc>
          <w:tcPr>
            <w:tcW w:w="0" w:type="auto"/>
            <w:shd w:val="clear" w:color="auto" w:fill="FDE9D9" w:themeFill="accent6" w:themeFillTint="33"/>
          </w:tcPr>
          <w:p w:rsidRPr="008B6B10" w:rsidR="002B7DE2" w:rsidP="001449A8" w:rsidRDefault="002B7DE2" w14:paraId="3188DD57" w14:textId="77777777">
            <w:pPr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8B6B10" w:rsidR="002B7DE2" w:rsidP="001449A8" w:rsidRDefault="002B7DE2" w14:paraId="6AA02CAB" w14:textId="77777777">
            <w:pPr>
              <w:rPr>
                <w:b/>
                <w:sz w:val="16"/>
                <w:szCs w:val="16"/>
              </w:rPr>
            </w:pPr>
          </w:p>
          <w:p w:rsidRPr="008B6B10" w:rsidR="002B7DE2" w:rsidP="001449A8" w:rsidRDefault="002B7DE2" w14:paraId="1DDE82B3" w14:textId="3DDD34F2">
            <w:pPr>
              <w:rPr>
                <w:b/>
                <w:sz w:val="16"/>
                <w:szCs w:val="16"/>
              </w:rPr>
            </w:pPr>
            <w:r w:rsidRPr="008B6B10">
              <w:rPr>
                <w:b/>
                <w:sz w:val="16"/>
                <w:szCs w:val="16"/>
              </w:rPr>
              <w:t>OVERIGE ONDERWERPEN</w:t>
            </w:r>
          </w:p>
          <w:p w:rsidRPr="008B6B10" w:rsidR="002B7DE2" w:rsidP="001449A8" w:rsidRDefault="002B7DE2" w14:paraId="7C48DA0D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8B6B10" w:rsidR="002B7DE2" w:rsidP="001449A8" w:rsidRDefault="002B7DE2" w14:paraId="11E21A70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8B6B10" w:rsidR="002B7DE2" w:rsidP="001449A8" w:rsidRDefault="002B7DE2" w14:paraId="2A1CFBF4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8B6B10" w:rsidR="002B7DE2" w:rsidP="001449A8" w:rsidRDefault="002B7DE2" w14:paraId="34FA7B22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8B6B10" w:rsidR="002B7DE2" w:rsidP="001449A8" w:rsidRDefault="002B7DE2" w14:paraId="0852A9BC" w14:textId="7777777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Pr="008B6B10" w:rsidR="002B7DE2" w:rsidP="001449A8" w:rsidRDefault="002B7DE2" w14:paraId="664657BA" w14:textId="77777777">
            <w:pPr>
              <w:rPr>
                <w:b/>
                <w:sz w:val="16"/>
                <w:szCs w:val="16"/>
              </w:rPr>
            </w:pPr>
          </w:p>
        </w:tc>
      </w:tr>
      <w:tr w:rsidRPr="001378C6" w:rsidR="00B956AD" w:rsidTr="005B2989" w14:paraId="69CADDD6" w14:textId="23636B65">
        <w:trPr>
          <w:cantSplit/>
        </w:trPr>
        <w:tc>
          <w:tcPr>
            <w:tcW w:w="0" w:type="auto"/>
          </w:tcPr>
          <w:p w:rsidRPr="00586419" w:rsidR="00586419" w:rsidP="00586419" w:rsidRDefault="00586419" w14:paraId="2D1760AD" w14:textId="77777777">
            <w:pPr>
              <w:pStyle w:val="Lijstalinea"/>
              <w:numPr>
                <w:ilvl w:val="0"/>
                <w:numId w:val="16"/>
              </w:num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1378C6" w:rsidR="00586419" w:rsidP="001378C6" w:rsidRDefault="00586419" w14:paraId="74E486C4" w14:textId="24A8715D">
            <w:pPr>
              <w:ind w:left="142"/>
              <w:rPr>
                <w:sz w:val="16"/>
                <w:szCs w:val="16"/>
              </w:rPr>
            </w:pPr>
            <w:r w:rsidRPr="001378C6">
              <w:rPr>
                <w:sz w:val="16"/>
                <w:szCs w:val="16"/>
              </w:rPr>
              <w:t>Nederlandse defensie-industrie</w:t>
            </w:r>
          </w:p>
        </w:tc>
        <w:tc>
          <w:tcPr>
            <w:tcW w:w="0" w:type="auto"/>
          </w:tcPr>
          <w:p w:rsidRPr="001378C6" w:rsidR="00586419" w:rsidP="001378C6" w:rsidRDefault="00586419" w14:paraId="7E12F6B3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1378C6" w:rsidR="00586419" w:rsidP="001378C6" w:rsidRDefault="00586419" w14:paraId="388F27A4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1378C6" w:rsidR="00586419" w:rsidP="001378C6" w:rsidRDefault="00586419" w14:paraId="66F086BB" w14:textId="5BBF554B">
            <w:pPr>
              <w:rPr>
                <w:sz w:val="16"/>
                <w:szCs w:val="16"/>
              </w:rPr>
            </w:pPr>
            <w:r w:rsidRPr="001378C6">
              <w:rPr>
                <w:sz w:val="16"/>
                <w:szCs w:val="16"/>
              </w:rPr>
              <w:t xml:space="preserve">Nader te bepalen </w:t>
            </w:r>
          </w:p>
        </w:tc>
        <w:tc>
          <w:tcPr>
            <w:tcW w:w="0" w:type="auto"/>
          </w:tcPr>
          <w:p w:rsidRPr="001378C6" w:rsidR="00586419" w:rsidP="001378C6" w:rsidRDefault="00586419" w14:paraId="346DB111" w14:textId="6644C2F2">
            <w:pPr>
              <w:rPr>
                <w:sz w:val="16"/>
                <w:szCs w:val="16"/>
              </w:rPr>
            </w:pPr>
            <w:r w:rsidRPr="001378C6">
              <w:rPr>
                <w:sz w:val="16"/>
                <w:szCs w:val="16"/>
              </w:rPr>
              <w:t xml:space="preserve">Het lid Van den Bosch werkt </w:t>
            </w:r>
            <w:r w:rsidRPr="001378C6" w:rsidR="005B2989">
              <w:rPr>
                <w:sz w:val="16"/>
                <w:szCs w:val="16"/>
              </w:rPr>
              <w:t>een</w:t>
            </w:r>
            <w:r w:rsidRPr="001378C6">
              <w:rPr>
                <w:sz w:val="16"/>
                <w:szCs w:val="16"/>
              </w:rPr>
              <w:t xml:space="preserve"> voorstel uit</w:t>
            </w:r>
          </w:p>
        </w:tc>
        <w:tc>
          <w:tcPr>
            <w:tcW w:w="0" w:type="auto"/>
          </w:tcPr>
          <w:p w:rsidRPr="001378C6" w:rsidR="00586419" w:rsidP="001378C6" w:rsidRDefault="001378C6" w14:paraId="6F2E99B0" w14:textId="7571FB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1378C6" w:rsidR="00586419">
              <w:rPr>
                <w:sz w:val="16"/>
                <w:szCs w:val="16"/>
              </w:rPr>
              <w:t>eschikbaar voor ondersteuning</w:t>
            </w:r>
          </w:p>
        </w:tc>
      </w:tr>
    </w:tbl>
    <w:p w:rsidR="00830E4A" w:rsidP="00122332" w:rsidRDefault="00830E4A" w14:paraId="26AD3FF9" w14:textId="0F371175">
      <w:pPr>
        <w:tabs>
          <w:tab w:val="left" w:pos="2625"/>
        </w:tabs>
        <w:rPr>
          <w:rStyle w:val="Verwijzingopmerking"/>
          <w:sz w:val="18"/>
          <w:szCs w:val="22"/>
        </w:rPr>
      </w:pPr>
    </w:p>
    <w:sectPr w:rsidR="00830E4A" w:rsidSect="004614A6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04318" w14:textId="77777777" w:rsidR="00621A2C" w:rsidRDefault="00347616">
      <w:r>
        <w:separator/>
      </w:r>
    </w:p>
  </w:endnote>
  <w:endnote w:type="continuationSeparator" w:id="0">
    <w:p w14:paraId="3EC34887" w14:textId="77777777" w:rsidR="00621A2C" w:rsidRDefault="0034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8767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5C3F410" w14:textId="66B6CDF9" w:rsidR="00C42930" w:rsidRDefault="00C42930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51A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51A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B0D5A5F" w14:textId="77777777" w:rsidR="00C42930" w:rsidRDefault="00C4293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AF040" w14:textId="77777777" w:rsidR="00621A2C" w:rsidRDefault="00347616">
      <w:r>
        <w:separator/>
      </w:r>
    </w:p>
  </w:footnote>
  <w:footnote w:type="continuationSeparator" w:id="0">
    <w:p w14:paraId="1D7E5988" w14:textId="77777777" w:rsidR="00621A2C" w:rsidRDefault="0034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9D6"/>
    <w:multiLevelType w:val="hybridMultilevel"/>
    <w:tmpl w:val="39FA9E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366CB"/>
    <w:multiLevelType w:val="hybridMultilevel"/>
    <w:tmpl w:val="70FE2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8366D"/>
    <w:multiLevelType w:val="hybridMultilevel"/>
    <w:tmpl w:val="7EF644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CF72FC"/>
    <w:multiLevelType w:val="hybridMultilevel"/>
    <w:tmpl w:val="9998F8A2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62C06"/>
    <w:multiLevelType w:val="hybridMultilevel"/>
    <w:tmpl w:val="4E384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858F3"/>
    <w:multiLevelType w:val="hybridMultilevel"/>
    <w:tmpl w:val="53381D0C"/>
    <w:lvl w:ilvl="0" w:tplc="0413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2A0A0784"/>
    <w:multiLevelType w:val="hybridMultilevel"/>
    <w:tmpl w:val="8A5A2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37D86"/>
    <w:multiLevelType w:val="hybridMultilevel"/>
    <w:tmpl w:val="BA6063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6B3757"/>
    <w:multiLevelType w:val="hybridMultilevel"/>
    <w:tmpl w:val="72C45F4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970E03"/>
    <w:multiLevelType w:val="hybridMultilevel"/>
    <w:tmpl w:val="21F4063A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83D06"/>
    <w:multiLevelType w:val="hybridMultilevel"/>
    <w:tmpl w:val="974823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2236B"/>
    <w:multiLevelType w:val="multilevel"/>
    <w:tmpl w:val="13F876AC"/>
    <w:lvl w:ilvl="0">
      <w:start w:val="1"/>
      <w:numFmt w:val="decimal"/>
      <w:pStyle w:val="Kop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  <w:b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5BD7CED"/>
    <w:multiLevelType w:val="hybridMultilevel"/>
    <w:tmpl w:val="CB447A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937B2C"/>
    <w:multiLevelType w:val="hybridMultilevel"/>
    <w:tmpl w:val="26F26A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78A5"/>
    <w:multiLevelType w:val="hybridMultilevel"/>
    <w:tmpl w:val="FEA83314"/>
    <w:lvl w:ilvl="0" w:tplc="61349D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67480"/>
    <w:multiLevelType w:val="hybridMultilevel"/>
    <w:tmpl w:val="05B44CBC"/>
    <w:lvl w:ilvl="0" w:tplc="9996BB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2144"/>
    <w:multiLevelType w:val="hybridMultilevel"/>
    <w:tmpl w:val="72A46C2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C72729"/>
    <w:multiLevelType w:val="hybridMultilevel"/>
    <w:tmpl w:val="FDB23B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982B7E"/>
    <w:multiLevelType w:val="hybridMultilevel"/>
    <w:tmpl w:val="8A5A2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D1903"/>
    <w:multiLevelType w:val="hybridMultilevel"/>
    <w:tmpl w:val="78364A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2100A1"/>
    <w:multiLevelType w:val="hybridMultilevel"/>
    <w:tmpl w:val="A9406A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A1E91"/>
    <w:multiLevelType w:val="hybridMultilevel"/>
    <w:tmpl w:val="B1D247DC"/>
    <w:lvl w:ilvl="0" w:tplc="E1AE95BC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9"/>
  </w:num>
  <w:num w:numId="5">
    <w:abstractNumId w:val="15"/>
  </w:num>
  <w:num w:numId="6">
    <w:abstractNumId w:val="21"/>
  </w:num>
  <w:num w:numId="7">
    <w:abstractNumId w:val="6"/>
  </w:num>
  <w:num w:numId="8">
    <w:abstractNumId w:val="9"/>
  </w:num>
  <w:num w:numId="9">
    <w:abstractNumId w:val="18"/>
  </w:num>
  <w:num w:numId="10">
    <w:abstractNumId w:val="22"/>
  </w:num>
  <w:num w:numId="11">
    <w:abstractNumId w:val="14"/>
  </w:num>
  <w:num w:numId="12">
    <w:abstractNumId w:val="17"/>
  </w:num>
  <w:num w:numId="13">
    <w:abstractNumId w:val="7"/>
  </w:num>
  <w:num w:numId="14">
    <w:abstractNumId w:val="2"/>
  </w:num>
  <w:num w:numId="15">
    <w:abstractNumId w:val="20"/>
  </w:num>
  <w:num w:numId="16">
    <w:abstractNumId w:val="3"/>
  </w:num>
  <w:num w:numId="17">
    <w:abstractNumId w:val="0"/>
  </w:num>
  <w:num w:numId="18">
    <w:abstractNumId w:val="11"/>
  </w:num>
  <w:num w:numId="19">
    <w:abstractNumId w:val="13"/>
  </w:num>
  <w:num w:numId="20">
    <w:abstractNumId w:val="1"/>
  </w:num>
  <w:num w:numId="21">
    <w:abstractNumId w:val="4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07003"/>
    <w:rsid w:val="000265F9"/>
    <w:rsid w:val="00044530"/>
    <w:rsid w:val="00050EB9"/>
    <w:rsid w:val="00051543"/>
    <w:rsid w:val="00065260"/>
    <w:rsid w:val="000654A9"/>
    <w:rsid w:val="00067D84"/>
    <w:rsid w:val="00076810"/>
    <w:rsid w:val="0009520B"/>
    <w:rsid w:val="000B060D"/>
    <w:rsid w:val="000B08B9"/>
    <w:rsid w:val="000B4F3E"/>
    <w:rsid w:val="000B6888"/>
    <w:rsid w:val="000C1167"/>
    <w:rsid w:val="000C56D1"/>
    <w:rsid w:val="000C7CAD"/>
    <w:rsid w:val="000D0A91"/>
    <w:rsid w:val="000E1339"/>
    <w:rsid w:val="000E195D"/>
    <w:rsid w:val="000F6A3A"/>
    <w:rsid w:val="00100437"/>
    <w:rsid w:val="00102E7F"/>
    <w:rsid w:val="00104DB9"/>
    <w:rsid w:val="00105085"/>
    <w:rsid w:val="00122332"/>
    <w:rsid w:val="0013103C"/>
    <w:rsid w:val="001360AF"/>
    <w:rsid w:val="001378C6"/>
    <w:rsid w:val="001449A8"/>
    <w:rsid w:val="001654CF"/>
    <w:rsid w:val="00167547"/>
    <w:rsid w:val="001703D4"/>
    <w:rsid w:val="001736BD"/>
    <w:rsid w:val="00190AEB"/>
    <w:rsid w:val="00192105"/>
    <w:rsid w:val="001A5A9A"/>
    <w:rsid w:val="001B1191"/>
    <w:rsid w:val="001C33CE"/>
    <w:rsid w:val="001D559F"/>
    <w:rsid w:val="001F64A2"/>
    <w:rsid w:val="00201056"/>
    <w:rsid w:val="00205AE2"/>
    <w:rsid w:val="00214AA8"/>
    <w:rsid w:val="002154FF"/>
    <w:rsid w:val="00215538"/>
    <w:rsid w:val="0022765F"/>
    <w:rsid w:val="0023714E"/>
    <w:rsid w:val="0024096F"/>
    <w:rsid w:val="00243F1E"/>
    <w:rsid w:val="00247B61"/>
    <w:rsid w:val="002542B0"/>
    <w:rsid w:val="00263375"/>
    <w:rsid w:val="00263540"/>
    <w:rsid w:val="002760E0"/>
    <w:rsid w:val="00276BD1"/>
    <w:rsid w:val="002774BE"/>
    <w:rsid w:val="00296261"/>
    <w:rsid w:val="002A256E"/>
    <w:rsid w:val="002A4B43"/>
    <w:rsid w:val="002B1E10"/>
    <w:rsid w:val="002B7DE2"/>
    <w:rsid w:val="002C1DDC"/>
    <w:rsid w:val="002D587E"/>
    <w:rsid w:val="00314A8C"/>
    <w:rsid w:val="00316180"/>
    <w:rsid w:val="00320957"/>
    <w:rsid w:val="00326369"/>
    <w:rsid w:val="00333319"/>
    <w:rsid w:val="0034089A"/>
    <w:rsid w:val="003435A1"/>
    <w:rsid w:val="00347616"/>
    <w:rsid w:val="00376A22"/>
    <w:rsid w:val="003A3159"/>
    <w:rsid w:val="003A7159"/>
    <w:rsid w:val="003B451A"/>
    <w:rsid w:val="003D14FD"/>
    <w:rsid w:val="003E2B12"/>
    <w:rsid w:val="003E4100"/>
    <w:rsid w:val="003F64F6"/>
    <w:rsid w:val="00401284"/>
    <w:rsid w:val="0040632D"/>
    <w:rsid w:val="004108D1"/>
    <w:rsid w:val="00422811"/>
    <w:rsid w:val="00454963"/>
    <w:rsid w:val="004614A6"/>
    <w:rsid w:val="00476CE7"/>
    <w:rsid w:val="004B54E7"/>
    <w:rsid w:val="004C0E76"/>
    <w:rsid w:val="004D581E"/>
    <w:rsid w:val="004F6B9C"/>
    <w:rsid w:val="00503110"/>
    <w:rsid w:val="00504221"/>
    <w:rsid w:val="00504519"/>
    <w:rsid w:val="005145D2"/>
    <w:rsid w:val="00517E6C"/>
    <w:rsid w:val="00523138"/>
    <w:rsid w:val="00525A38"/>
    <w:rsid w:val="005301C1"/>
    <w:rsid w:val="005367D7"/>
    <w:rsid w:val="00560F65"/>
    <w:rsid w:val="00567108"/>
    <w:rsid w:val="00583572"/>
    <w:rsid w:val="00586419"/>
    <w:rsid w:val="00595A55"/>
    <w:rsid w:val="005A0F25"/>
    <w:rsid w:val="005B2989"/>
    <w:rsid w:val="005C5AFC"/>
    <w:rsid w:val="005C6B43"/>
    <w:rsid w:val="005E214D"/>
    <w:rsid w:val="005E2A78"/>
    <w:rsid w:val="005F127E"/>
    <w:rsid w:val="006110A1"/>
    <w:rsid w:val="00621A2C"/>
    <w:rsid w:val="00641DF4"/>
    <w:rsid w:val="00642D80"/>
    <w:rsid w:val="00651265"/>
    <w:rsid w:val="0065126C"/>
    <w:rsid w:val="0065770B"/>
    <w:rsid w:val="00666B11"/>
    <w:rsid w:val="006777EA"/>
    <w:rsid w:val="00677F1B"/>
    <w:rsid w:val="00681463"/>
    <w:rsid w:val="006933F9"/>
    <w:rsid w:val="006A0ECD"/>
    <w:rsid w:val="006A1A6C"/>
    <w:rsid w:val="006B26A1"/>
    <w:rsid w:val="006B4B9E"/>
    <w:rsid w:val="006F48BE"/>
    <w:rsid w:val="007041F7"/>
    <w:rsid w:val="00704DBB"/>
    <w:rsid w:val="00704F9D"/>
    <w:rsid w:val="00714686"/>
    <w:rsid w:val="00740EFE"/>
    <w:rsid w:val="00745557"/>
    <w:rsid w:val="00755DC8"/>
    <w:rsid w:val="00761DAA"/>
    <w:rsid w:val="007701BC"/>
    <w:rsid w:val="0077160C"/>
    <w:rsid w:val="007A57AC"/>
    <w:rsid w:val="007B0CF8"/>
    <w:rsid w:val="007C0782"/>
    <w:rsid w:val="007C35DA"/>
    <w:rsid w:val="007C3E6C"/>
    <w:rsid w:val="007C41E1"/>
    <w:rsid w:val="007C44F8"/>
    <w:rsid w:val="007C60D1"/>
    <w:rsid w:val="007D1874"/>
    <w:rsid w:val="007E01C9"/>
    <w:rsid w:val="007E03A7"/>
    <w:rsid w:val="00805686"/>
    <w:rsid w:val="00807D21"/>
    <w:rsid w:val="00815792"/>
    <w:rsid w:val="00824198"/>
    <w:rsid w:val="00826210"/>
    <w:rsid w:val="00830E4A"/>
    <w:rsid w:val="00835959"/>
    <w:rsid w:val="00837F1B"/>
    <w:rsid w:val="0084033C"/>
    <w:rsid w:val="00841037"/>
    <w:rsid w:val="0085560C"/>
    <w:rsid w:val="00861636"/>
    <w:rsid w:val="008701A1"/>
    <w:rsid w:val="008A077B"/>
    <w:rsid w:val="008A21D3"/>
    <w:rsid w:val="008B43EA"/>
    <w:rsid w:val="008B43FC"/>
    <w:rsid w:val="008D08B0"/>
    <w:rsid w:val="008D54A0"/>
    <w:rsid w:val="008D773D"/>
    <w:rsid w:val="008E24A6"/>
    <w:rsid w:val="008E6720"/>
    <w:rsid w:val="008E6B8A"/>
    <w:rsid w:val="008E7B0A"/>
    <w:rsid w:val="00907627"/>
    <w:rsid w:val="009134DD"/>
    <w:rsid w:val="00921BCC"/>
    <w:rsid w:val="00933D62"/>
    <w:rsid w:val="00934A14"/>
    <w:rsid w:val="00946BD9"/>
    <w:rsid w:val="00954384"/>
    <w:rsid w:val="00956C2A"/>
    <w:rsid w:val="009625EA"/>
    <w:rsid w:val="00976737"/>
    <w:rsid w:val="00977761"/>
    <w:rsid w:val="00981028"/>
    <w:rsid w:val="009956F5"/>
    <w:rsid w:val="009A1829"/>
    <w:rsid w:val="009B3A0F"/>
    <w:rsid w:val="009C51BE"/>
    <w:rsid w:val="009C6222"/>
    <w:rsid w:val="009D4E8E"/>
    <w:rsid w:val="009F66E8"/>
    <w:rsid w:val="009F6EE7"/>
    <w:rsid w:val="00A006DE"/>
    <w:rsid w:val="00A00DD4"/>
    <w:rsid w:val="00A01DB7"/>
    <w:rsid w:val="00A16FEB"/>
    <w:rsid w:val="00A20276"/>
    <w:rsid w:val="00A21868"/>
    <w:rsid w:val="00A30B02"/>
    <w:rsid w:val="00A378C8"/>
    <w:rsid w:val="00A41C5D"/>
    <w:rsid w:val="00A53DCB"/>
    <w:rsid w:val="00A550BD"/>
    <w:rsid w:val="00A66ADA"/>
    <w:rsid w:val="00A7243E"/>
    <w:rsid w:val="00A842C5"/>
    <w:rsid w:val="00A84BDB"/>
    <w:rsid w:val="00AB4003"/>
    <w:rsid w:val="00AB783D"/>
    <w:rsid w:val="00AC1455"/>
    <w:rsid w:val="00AC501B"/>
    <w:rsid w:val="00AD4B79"/>
    <w:rsid w:val="00AE203B"/>
    <w:rsid w:val="00AE569A"/>
    <w:rsid w:val="00AF6055"/>
    <w:rsid w:val="00AF72C4"/>
    <w:rsid w:val="00B047A5"/>
    <w:rsid w:val="00B1148D"/>
    <w:rsid w:val="00B148EA"/>
    <w:rsid w:val="00B227D3"/>
    <w:rsid w:val="00B267F6"/>
    <w:rsid w:val="00B4205D"/>
    <w:rsid w:val="00B43B31"/>
    <w:rsid w:val="00B46A36"/>
    <w:rsid w:val="00B5031F"/>
    <w:rsid w:val="00B55DC6"/>
    <w:rsid w:val="00B956AD"/>
    <w:rsid w:val="00BA334F"/>
    <w:rsid w:val="00BA4289"/>
    <w:rsid w:val="00BA5B8A"/>
    <w:rsid w:val="00BA63A2"/>
    <w:rsid w:val="00BA6B7B"/>
    <w:rsid w:val="00BB279B"/>
    <w:rsid w:val="00BC0B23"/>
    <w:rsid w:val="00BD0B26"/>
    <w:rsid w:val="00BD560F"/>
    <w:rsid w:val="00BE40F1"/>
    <w:rsid w:val="00BE62DE"/>
    <w:rsid w:val="00BF36E7"/>
    <w:rsid w:val="00C10C94"/>
    <w:rsid w:val="00C33D6E"/>
    <w:rsid w:val="00C40C45"/>
    <w:rsid w:val="00C42930"/>
    <w:rsid w:val="00C52439"/>
    <w:rsid w:val="00C540C2"/>
    <w:rsid w:val="00C55C88"/>
    <w:rsid w:val="00C65C06"/>
    <w:rsid w:val="00C72CE6"/>
    <w:rsid w:val="00C75AC8"/>
    <w:rsid w:val="00C8247E"/>
    <w:rsid w:val="00C843CA"/>
    <w:rsid w:val="00C850A4"/>
    <w:rsid w:val="00C85557"/>
    <w:rsid w:val="00C97F09"/>
    <w:rsid w:val="00CA67A4"/>
    <w:rsid w:val="00CC42CB"/>
    <w:rsid w:val="00CF0AD0"/>
    <w:rsid w:val="00CF4478"/>
    <w:rsid w:val="00CF4ABE"/>
    <w:rsid w:val="00CF513C"/>
    <w:rsid w:val="00D01197"/>
    <w:rsid w:val="00D136D7"/>
    <w:rsid w:val="00D160CA"/>
    <w:rsid w:val="00D222CE"/>
    <w:rsid w:val="00D34BAD"/>
    <w:rsid w:val="00D51AE8"/>
    <w:rsid w:val="00D5341F"/>
    <w:rsid w:val="00D535EA"/>
    <w:rsid w:val="00D53BB6"/>
    <w:rsid w:val="00D543D8"/>
    <w:rsid w:val="00D56060"/>
    <w:rsid w:val="00D7501D"/>
    <w:rsid w:val="00D80A9E"/>
    <w:rsid w:val="00D971F1"/>
    <w:rsid w:val="00DA285F"/>
    <w:rsid w:val="00DB0DAF"/>
    <w:rsid w:val="00DB290E"/>
    <w:rsid w:val="00DB4566"/>
    <w:rsid w:val="00DC2161"/>
    <w:rsid w:val="00DC66A8"/>
    <w:rsid w:val="00DD587D"/>
    <w:rsid w:val="00E03C93"/>
    <w:rsid w:val="00E31C81"/>
    <w:rsid w:val="00E333FF"/>
    <w:rsid w:val="00E51DF3"/>
    <w:rsid w:val="00E5332C"/>
    <w:rsid w:val="00E63ED6"/>
    <w:rsid w:val="00E65870"/>
    <w:rsid w:val="00E66A29"/>
    <w:rsid w:val="00E8437E"/>
    <w:rsid w:val="00E84FF3"/>
    <w:rsid w:val="00E917D8"/>
    <w:rsid w:val="00EC168D"/>
    <w:rsid w:val="00EC53DA"/>
    <w:rsid w:val="00ED0A14"/>
    <w:rsid w:val="00EE2B1E"/>
    <w:rsid w:val="00EE3DDE"/>
    <w:rsid w:val="00F05D2F"/>
    <w:rsid w:val="00F07C98"/>
    <w:rsid w:val="00F11E5B"/>
    <w:rsid w:val="00F24972"/>
    <w:rsid w:val="00F25B5A"/>
    <w:rsid w:val="00F3568B"/>
    <w:rsid w:val="00F43C9D"/>
    <w:rsid w:val="00F44861"/>
    <w:rsid w:val="00F574E3"/>
    <w:rsid w:val="00F608F2"/>
    <w:rsid w:val="00F7169A"/>
    <w:rsid w:val="00F758D5"/>
    <w:rsid w:val="00F77852"/>
    <w:rsid w:val="00F81961"/>
    <w:rsid w:val="00F95686"/>
    <w:rsid w:val="00FA50C9"/>
    <w:rsid w:val="00FB1277"/>
    <w:rsid w:val="00FD0589"/>
    <w:rsid w:val="00FD099D"/>
    <w:rsid w:val="00FD6BA1"/>
    <w:rsid w:val="00FE6670"/>
    <w:rsid w:val="00FF1F1B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2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Plattetekst"/>
    <w:link w:val="Kop1Char"/>
    <w:qFormat/>
    <w:rsid w:val="00190AEB"/>
    <w:pPr>
      <w:keepNext/>
      <w:numPr>
        <w:numId w:val="2"/>
      </w:numPr>
      <w:spacing w:before="120"/>
      <w:outlineLvl w:val="0"/>
    </w:pPr>
    <w:rPr>
      <w:rFonts w:ascii="Times New Roman" w:hAnsi="Times New Roman"/>
      <w:b/>
      <w:kern w:val="28"/>
      <w:sz w:val="22"/>
      <w:szCs w:val="22"/>
    </w:rPr>
  </w:style>
  <w:style w:type="paragraph" w:styleId="Kop2">
    <w:name w:val="heading 2"/>
    <w:basedOn w:val="Standaard"/>
    <w:next w:val="Plattetekst"/>
    <w:link w:val="Kop2Char"/>
    <w:qFormat/>
    <w:rsid w:val="00190AEB"/>
    <w:pPr>
      <w:keepNext/>
      <w:numPr>
        <w:ilvl w:val="1"/>
        <w:numId w:val="2"/>
      </w:numPr>
      <w:spacing w:before="240" w:after="60"/>
      <w:outlineLvl w:val="1"/>
    </w:pPr>
    <w:rPr>
      <w:rFonts w:ascii="Times New Roman" w:hAnsi="Times New Roman"/>
      <w:b/>
      <w:i/>
      <w:sz w:val="24"/>
      <w:szCs w:val="20"/>
    </w:rPr>
  </w:style>
  <w:style w:type="paragraph" w:styleId="Kop3">
    <w:name w:val="heading 3"/>
    <w:basedOn w:val="Standaard"/>
    <w:next w:val="Plattetekst"/>
    <w:link w:val="Kop3Char"/>
    <w:qFormat/>
    <w:rsid w:val="00190AEB"/>
    <w:pPr>
      <w:keepNext/>
      <w:numPr>
        <w:ilvl w:val="2"/>
        <w:numId w:val="2"/>
      </w:numPr>
      <w:spacing w:before="240" w:after="60"/>
      <w:outlineLvl w:val="2"/>
    </w:pPr>
    <w:rPr>
      <w:rFonts w:ascii="Times New Roman" w:hAnsi="Times New Roman"/>
      <w:b/>
      <w:i/>
      <w:sz w:val="22"/>
      <w:szCs w:val="20"/>
    </w:rPr>
  </w:style>
  <w:style w:type="paragraph" w:styleId="Kop4">
    <w:name w:val="heading 4"/>
    <w:basedOn w:val="Standaard"/>
    <w:next w:val="Plattetekst"/>
    <w:link w:val="Kop4Char"/>
    <w:qFormat/>
    <w:rsid w:val="00190AEB"/>
    <w:pPr>
      <w:keepNext/>
      <w:numPr>
        <w:ilvl w:val="3"/>
        <w:numId w:val="2"/>
      </w:numPr>
      <w:outlineLvl w:val="3"/>
    </w:pPr>
    <w:rPr>
      <w:rFonts w:ascii="Times New Roman" w:hAnsi="Times New Roman"/>
      <w:b/>
      <w:sz w:val="22"/>
      <w:szCs w:val="20"/>
    </w:rPr>
  </w:style>
  <w:style w:type="paragraph" w:styleId="Kop5">
    <w:name w:val="heading 5"/>
    <w:basedOn w:val="Standaard"/>
    <w:next w:val="Standaard"/>
    <w:link w:val="Kop5Char"/>
    <w:qFormat/>
    <w:rsid w:val="00190AEB"/>
    <w:pPr>
      <w:keepNext/>
      <w:numPr>
        <w:ilvl w:val="4"/>
        <w:numId w:val="2"/>
      </w:numPr>
      <w:outlineLvl w:val="4"/>
    </w:pPr>
    <w:rPr>
      <w:rFonts w:ascii="Times New Roman" w:hAnsi="Times New Roman"/>
      <w:b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190AEB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90AEB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190AEB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190AE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09520B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190AEB"/>
    <w:rPr>
      <w:b/>
      <w:kern w:val="28"/>
      <w:sz w:val="22"/>
      <w:szCs w:val="22"/>
    </w:rPr>
  </w:style>
  <w:style w:type="character" w:customStyle="1" w:styleId="Kop2Char">
    <w:name w:val="Kop 2 Char"/>
    <w:basedOn w:val="Standaardalinea-lettertype"/>
    <w:link w:val="Kop2"/>
    <w:rsid w:val="00190AEB"/>
    <w:rPr>
      <w:b/>
      <w:i/>
      <w:sz w:val="24"/>
    </w:rPr>
  </w:style>
  <w:style w:type="character" w:customStyle="1" w:styleId="Kop3Char">
    <w:name w:val="Kop 3 Char"/>
    <w:basedOn w:val="Standaardalinea-lettertype"/>
    <w:link w:val="Kop3"/>
    <w:rsid w:val="00190AEB"/>
    <w:rPr>
      <w:b/>
      <w:i/>
      <w:sz w:val="22"/>
    </w:rPr>
  </w:style>
  <w:style w:type="character" w:customStyle="1" w:styleId="Kop4Char">
    <w:name w:val="Kop 4 Char"/>
    <w:basedOn w:val="Standaardalinea-lettertype"/>
    <w:link w:val="Kop4"/>
    <w:rsid w:val="00190AEB"/>
    <w:rPr>
      <w:b/>
      <w:sz w:val="22"/>
    </w:rPr>
  </w:style>
  <w:style w:type="character" w:customStyle="1" w:styleId="Kop5Char">
    <w:name w:val="Kop 5 Char"/>
    <w:basedOn w:val="Standaardalinea-lettertype"/>
    <w:link w:val="Kop5"/>
    <w:rsid w:val="00190AEB"/>
    <w:rPr>
      <w:b/>
    </w:rPr>
  </w:style>
  <w:style w:type="character" w:customStyle="1" w:styleId="Kop6Char">
    <w:name w:val="Kop 6 Char"/>
    <w:basedOn w:val="Standaardalinea-lettertype"/>
    <w:link w:val="Kop6"/>
    <w:rsid w:val="00190AEB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190AEB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190AEB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190AEB"/>
    <w:rPr>
      <w:rFonts w:ascii="Arial" w:hAnsi="Arial" w:cs="Arial"/>
      <w:sz w:val="22"/>
      <w:szCs w:val="22"/>
    </w:rPr>
  </w:style>
  <w:style w:type="paragraph" w:styleId="Plattetekst">
    <w:name w:val="Body Text"/>
    <w:basedOn w:val="Standaard"/>
    <w:link w:val="PlattetekstChar"/>
    <w:rsid w:val="00190AEB"/>
    <w:pPr>
      <w:spacing w:before="180"/>
    </w:pPr>
    <w:rPr>
      <w:rFonts w:ascii="Times New Roman" w:hAnsi="Times New Roman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90AEB"/>
    <w:rPr>
      <w:sz w:val="22"/>
    </w:rPr>
  </w:style>
  <w:style w:type="paragraph" w:styleId="Voetnoottekst">
    <w:name w:val="footnote text"/>
    <w:basedOn w:val="Standaard"/>
    <w:link w:val="VoetnoottekstChar"/>
    <w:rsid w:val="00190AEB"/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90AEB"/>
  </w:style>
  <w:style w:type="character" w:styleId="Voetnootmarkering">
    <w:name w:val="footnote reference"/>
    <w:basedOn w:val="Standaardalinea-lettertype"/>
    <w:rsid w:val="00190AE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01056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ADA"/>
    <w:rPr>
      <w:rFonts w:ascii="Verdana" w:hAnsi="Verdana"/>
      <w:sz w:val="18"/>
      <w:szCs w:val="24"/>
    </w:rPr>
  </w:style>
  <w:style w:type="character" w:styleId="GevolgdeHyperlink">
    <w:name w:val="FollowedHyperlink"/>
    <w:basedOn w:val="Standaardalinea-lettertype"/>
    <w:rsid w:val="007E03A7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C97F09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Plattetekst"/>
    <w:link w:val="Kop1Char"/>
    <w:qFormat/>
    <w:rsid w:val="00190AEB"/>
    <w:pPr>
      <w:keepNext/>
      <w:numPr>
        <w:numId w:val="2"/>
      </w:numPr>
      <w:spacing w:before="120"/>
      <w:outlineLvl w:val="0"/>
    </w:pPr>
    <w:rPr>
      <w:rFonts w:ascii="Times New Roman" w:hAnsi="Times New Roman"/>
      <w:b/>
      <w:kern w:val="28"/>
      <w:sz w:val="22"/>
      <w:szCs w:val="22"/>
    </w:rPr>
  </w:style>
  <w:style w:type="paragraph" w:styleId="Kop2">
    <w:name w:val="heading 2"/>
    <w:basedOn w:val="Standaard"/>
    <w:next w:val="Plattetekst"/>
    <w:link w:val="Kop2Char"/>
    <w:qFormat/>
    <w:rsid w:val="00190AEB"/>
    <w:pPr>
      <w:keepNext/>
      <w:numPr>
        <w:ilvl w:val="1"/>
        <w:numId w:val="2"/>
      </w:numPr>
      <w:spacing w:before="240" w:after="60"/>
      <w:outlineLvl w:val="1"/>
    </w:pPr>
    <w:rPr>
      <w:rFonts w:ascii="Times New Roman" w:hAnsi="Times New Roman"/>
      <w:b/>
      <w:i/>
      <w:sz w:val="24"/>
      <w:szCs w:val="20"/>
    </w:rPr>
  </w:style>
  <w:style w:type="paragraph" w:styleId="Kop3">
    <w:name w:val="heading 3"/>
    <w:basedOn w:val="Standaard"/>
    <w:next w:val="Plattetekst"/>
    <w:link w:val="Kop3Char"/>
    <w:qFormat/>
    <w:rsid w:val="00190AEB"/>
    <w:pPr>
      <w:keepNext/>
      <w:numPr>
        <w:ilvl w:val="2"/>
        <w:numId w:val="2"/>
      </w:numPr>
      <w:spacing w:before="240" w:after="60"/>
      <w:outlineLvl w:val="2"/>
    </w:pPr>
    <w:rPr>
      <w:rFonts w:ascii="Times New Roman" w:hAnsi="Times New Roman"/>
      <w:b/>
      <w:i/>
      <w:sz w:val="22"/>
      <w:szCs w:val="20"/>
    </w:rPr>
  </w:style>
  <w:style w:type="paragraph" w:styleId="Kop4">
    <w:name w:val="heading 4"/>
    <w:basedOn w:val="Standaard"/>
    <w:next w:val="Plattetekst"/>
    <w:link w:val="Kop4Char"/>
    <w:qFormat/>
    <w:rsid w:val="00190AEB"/>
    <w:pPr>
      <w:keepNext/>
      <w:numPr>
        <w:ilvl w:val="3"/>
        <w:numId w:val="2"/>
      </w:numPr>
      <w:outlineLvl w:val="3"/>
    </w:pPr>
    <w:rPr>
      <w:rFonts w:ascii="Times New Roman" w:hAnsi="Times New Roman"/>
      <w:b/>
      <w:sz w:val="22"/>
      <w:szCs w:val="20"/>
    </w:rPr>
  </w:style>
  <w:style w:type="paragraph" w:styleId="Kop5">
    <w:name w:val="heading 5"/>
    <w:basedOn w:val="Standaard"/>
    <w:next w:val="Standaard"/>
    <w:link w:val="Kop5Char"/>
    <w:qFormat/>
    <w:rsid w:val="00190AEB"/>
    <w:pPr>
      <w:keepNext/>
      <w:numPr>
        <w:ilvl w:val="4"/>
        <w:numId w:val="2"/>
      </w:numPr>
      <w:outlineLvl w:val="4"/>
    </w:pPr>
    <w:rPr>
      <w:rFonts w:ascii="Times New Roman" w:hAnsi="Times New Roman"/>
      <w:b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190AEB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90AEB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190AEB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190AE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09520B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190AEB"/>
    <w:rPr>
      <w:b/>
      <w:kern w:val="28"/>
      <w:sz w:val="22"/>
      <w:szCs w:val="22"/>
    </w:rPr>
  </w:style>
  <w:style w:type="character" w:customStyle="1" w:styleId="Kop2Char">
    <w:name w:val="Kop 2 Char"/>
    <w:basedOn w:val="Standaardalinea-lettertype"/>
    <w:link w:val="Kop2"/>
    <w:rsid w:val="00190AEB"/>
    <w:rPr>
      <w:b/>
      <w:i/>
      <w:sz w:val="24"/>
    </w:rPr>
  </w:style>
  <w:style w:type="character" w:customStyle="1" w:styleId="Kop3Char">
    <w:name w:val="Kop 3 Char"/>
    <w:basedOn w:val="Standaardalinea-lettertype"/>
    <w:link w:val="Kop3"/>
    <w:rsid w:val="00190AEB"/>
    <w:rPr>
      <w:b/>
      <w:i/>
      <w:sz w:val="22"/>
    </w:rPr>
  </w:style>
  <w:style w:type="character" w:customStyle="1" w:styleId="Kop4Char">
    <w:name w:val="Kop 4 Char"/>
    <w:basedOn w:val="Standaardalinea-lettertype"/>
    <w:link w:val="Kop4"/>
    <w:rsid w:val="00190AEB"/>
    <w:rPr>
      <w:b/>
      <w:sz w:val="22"/>
    </w:rPr>
  </w:style>
  <w:style w:type="character" w:customStyle="1" w:styleId="Kop5Char">
    <w:name w:val="Kop 5 Char"/>
    <w:basedOn w:val="Standaardalinea-lettertype"/>
    <w:link w:val="Kop5"/>
    <w:rsid w:val="00190AEB"/>
    <w:rPr>
      <w:b/>
    </w:rPr>
  </w:style>
  <w:style w:type="character" w:customStyle="1" w:styleId="Kop6Char">
    <w:name w:val="Kop 6 Char"/>
    <w:basedOn w:val="Standaardalinea-lettertype"/>
    <w:link w:val="Kop6"/>
    <w:rsid w:val="00190AEB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190AEB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190AEB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190AEB"/>
    <w:rPr>
      <w:rFonts w:ascii="Arial" w:hAnsi="Arial" w:cs="Arial"/>
      <w:sz w:val="22"/>
      <w:szCs w:val="22"/>
    </w:rPr>
  </w:style>
  <w:style w:type="paragraph" w:styleId="Plattetekst">
    <w:name w:val="Body Text"/>
    <w:basedOn w:val="Standaard"/>
    <w:link w:val="PlattetekstChar"/>
    <w:rsid w:val="00190AEB"/>
    <w:pPr>
      <w:spacing w:before="180"/>
    </w:pPr>
    <w:rPr>
      <w:rFonts w:ascii="Times New Roman" w:hAnsi="Times New Roman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90AEB"/>
    <w:rPr>
      <w:sz w:val="22"/>
    </w:rPr>
  </w:style>
  <w:style w:type="paragraph" w:styleId="Voetnoottekst">
    <w:name w:val="footnote text"/>
    <w:basedOn w:val="Standaard"/>
    <w:link w:val="VoetnoottekstChar"/>
    <w:rsid w:val="00190AEB"/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90AEB"/>
  </w:style>
  <w:style w:type="character" w:styleId="Voetnootmarkering">
    <w:name w:val="footnote reference"/>
    <w:basedOn w:val="Standaardalinea-lettertype"/>
    <w:rsid w:val="00190AE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01056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ADA"/>
    <w:rPr>
      <w:rFonts w:ascii="Verdana" w:hAnsi="Verdana"/>
      <w:sz w:val="18"/>
      <w:szCs w:val="24"/>
    </w:rPr>
  </w:style>
  <w:style w:type="character" w:styleId="GevolgdeHyperlink">
    <w:name w:val="FollowedHyperlink"/>
    <w:basedOn w:val="Standaardalinea-lettertype"/>
    <w:rsid w:val="007E03A7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C97F0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7" /><Relationship Type="http://schemas.openxmlformats.org/officeDocument/2006/relationships/footer" Target="footer1.xml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372</ap:Words>
  <ap:Characters>2052</ap:Characters>
  <ap:DocSecurity>4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>Logo</vt:lpstr>
    </vt:vector>
  </ap:TitlesOfParts>
  <ap:LinksUpToDate>false</ap:LinksUpToDate>
  <ap:CharactersWithSpaces>2420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2017-02-20T09:02:00.0000000Z</lastPrinted>
  <dcterms:created xsi:type="dcterms:W3CDTF">2017-10-04T15:34:00.0000000Z</dcterms:created>
  <dcterms:modified xsi:type="dcterms:W3CDTF">2017-10-04T15:34:00.0000000Z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0x0101007D4556E26DC2CF41924C9FBE1C3E88A4</vt:lpwstr>
  </property>
  <property fmtid="{D5CDD505-2E9C-101B-9397-08002B2CF9AE}" pid="3" name="Documentnummer">
    <vt:lpwstr>2013D29864</vt:lpwstr>
  </property>
  <property fmtid="{D5CDD505-2E9C-101B-9397-08002B2CF9AE}" pid="4" name="Registratiebibliotheek">
    <vt:lpwstr>http://parlisprodwss/sites/registratie/Update</vt:lpwstr>
  </property>
</Properties>
</file>