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W15.17.0208/IV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4 augustus 2017</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D22B6" w:rsidRDefault="00040C44">
              <w:r>
                <w:t>Bij Kabinetsmissive van 12 juli 2017, no.2017001194, heeft Uwe Majesteit, op voordracht van de Minister van Economische Zaken, in overeenstemming met de Minister van Defensie, bij de Afdeling advisering van de Raad van State ter overweging aanhangig gemaakt het voorstel van wet tot wijziging van de Aanbestedingswet  2012 en de aanbestedingswet  op defensie- en veiligheidsgebied in verband met de implementatie van richtlijn 2014/55/EU van het Europees Parlement en de Raad van 16 april 2014 inzake elektronische facturering bij overheidsopdrachten,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2004964664"/>
              </w:sdtPr>
              <w:sdtEndPr/>
              <w:sdtContent>
                <w:p w:rsidR="005F0940" w:rsidP="005F0940" w:rsidRDefault="00040C44">
                  <w:r>
                    <w:t xml:space="preserve">Het voorstel strekt </w:t>
                  </w:r>
                  <w:r>
                    <w:rPr>
                      <w:szCs w:val="22"/>
                    </w:rPr>
                    <w:t xml:space="preserve">tot implementatie van richtlijn </w:t>
                  </w:r>
                  <w:r>
                    <w:t>2014/55/EU</w:t>
                  </w:r>
                  <w:r>
                    <w:rPr>
                      <w:szCs w:val="22"/>
                    </w:rPr>
                    <w:t xml:space="preserve"> van het Europees Parlement en de Raad van </w:t>
                  </w:r>
                  <w:r>
                    <w:t>16 april 2014 inzake elektronische facturering bij overheidsopdrachten</w:t>
                  </w:r>
                  <w:r>
                    <w:rPr>
                      <w:szCs w:val="22"/>
                    </w:rPr>
                    <w:t xml:space="preserve"> (</w:t>
                  </w:r>
                  <w:proofErr w:type="spellStart"/>
                  <w:r>
                    <w:rPr>
                      <w:szCs w:val="22"/>
                    </w:rPr>
                    <w:t>PbEU</w:t>
                  </w:r>
                  <w:proofErr w:type="spellEnd"/>
                  <w:r>
                    <w:rPr>
                      <w:szCs w:val="22"/>
                    </w:rPr>
                    <w:t xml:space="preserve"> L 133/1) (hierna: de richtlijn).</w:t>
                  </w:r>
                  <w:r>
                    <w:t xml:space="preserve"> </w:t>
                  </w:r>
                </w:p>
                <w:p w:rsidR="005F0940" w:rsidP="005F0940" w:rsidRDefault="00D67492"/>
                <w:p w:rsidR="00891BB0" w:rsidP="00891BB0" w:rsidRDefault="00040C44">
                  <w:r w:rsidRPr="00444E5B">
                    <w:t>De Afdeling advisering van de Raad van State adviseert het voorstel aan de Tweede Kamer te zenden, maar heeft opme</w:t>
                  </w:r>
                  <w:r>
                    <w:t>rkingen over de motivering van een deel van</w:t>
                  </w:r>
                  <w:r w:rsidRPr="00444E5B">
                    <w:t xml:space="preserve"> het voorstel.</w:t>
                  </w:r>
                  <w:r>
                    <w:t xml:space="preserve"> </w:t>
                  </w:r>
                  <w:r>
                    <w:rPr>
                      <w:szCs w:val="22"/>
                    </w:rPr>
                    <w:t xml:space="preserve">In de toelichting dient nader te worden gemotiveerd waarom de richtlijn, in afwijking van artikel 11, eerste lid, van de richtlijn, uiterlijk in maart 2019 kan worden geïmplementeerd. </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sdt>
              <w:sdtPr>
                <w:alias w:val="VrijeTekst2"/>
                <w:tag w:val="VrijeTekst2"/>
                <w:id w:val="-1876384284"/>
              </w:sdtPr>
              <w:sdtEndPr/>
              <w:sdtContent>
                <w:p w:rsidR="00E170D9" w:rsidP="0064391D" w:rsidRDefault="00040C44">
                  <w:pPr>
                    <w:rPr>
                      <w:u w:val="single"/>
                    </w:rPr>
                  </w:pPr>
                  <w:r>
                    <w:t>1.</w:t>
                  </w:r>
                  <w:r>
                    <w:tab/>
                  </w:r>
                  <w:r w:rsidRPr="004B50DD">
                    <w:rPr>
                      <w:u w:val="single"/>
                    </w:rPr>
                    <w:t>Inwerkingtreding</w:t>
                  </w:r>
                  <w:r>
                    <w:rPr>
                      <w:u w:val="single"/>
                    </w:rPr>
                    <w:br/>
                  </w:r>
                </w:p>
                <w:p w:rsidR="00E170D9" w:rsidP="0064391D" w:rsidRDefault="00040C44">
                  <w:r>
                    <w:t xml:space="preserve">Op grond van artikel 7 van de richtlijn dienen lidstaten ervoor te zorgen dat aanbestedende diensten en speciale sectorbedrijven elektronische facturen ontvangen en verwerken die voldoen aan de door de Commissie in het Publicatieblad van de Europese Unie bekendgemaakte Europese norm voor elektronische facturering en aan </w:t>
                  </w:r>
                  <w:proofErr w:type="spellStart"/>
                  <w:r>
                    <w:t>syntaxen</w:t>
                  </w:r>
                  <w:proofErr w:type="spellEnd"/>
                  <w:r>
                    <w:t xml:space="preserve"> die op een bekendgemaakte lijst staan.</w:t>
                  </w:r>
                  <w:r>
                    <w:rPr>
                      <w:rStyle w:val="Voetnootmarkering"/>
                    </w:rPr>
                    <w:footnoteReference w:id="1"/>
                  </w:r>
                  <w:r>
                    <w:t xml:space="preserve"> </w:t>
                  </w:r>
                </w:p>
                <w:p w:rsidR="00E170D9" w:rsidP="0064391D" w:rsidRDefault="00D67492"/>
                <w:p w:rsidR="002831DA" w:rsidP="002831DA" w:rsidRDefault="00040C44">
                  <w:r>
                    <w:t>Het voorstel introduceert onder andere een delegatiegrondslag in de Aanbestedingswet 2012 en de Aanbestedingswet op defensie- en veiligheidsgebied waarmee de verplichting uit artikel 7 van de richtlijn voor aanbestedende diensten en speciale sectorbedrijven kan worden geïmplementeerd.</w:t>
                  </w:r>
                  <w:r>
                    <w:rPr>
                      <w:rStyle w:val="Voetnootmarkering"/>
                    </w:rPr>
                    <w:footnoteReference w:id="2"/>
                  </w:r>
                  <w:r>
                    <w:t xml:space="preserve"> In de toelichting staat dat gelijktijdig met dit voorstel het Aanbestedingsbesluit en het Aanbestedingsbesluit op defensie- en veiligheidsgebied zullen worden gewijzigd, waarbij de verplichting uit artikel 7 van de richtlijn in die besluiten wordt opgenomen.</w:t>
                  </w:r>
                  <w:r>
                    <w:rPr>
                      <w:rStyle w:val="Voetnootmarkering"/>
                    </w:rPr>
                    <w:footnoteReference w:id="3"/>
                  </w:r>
                  <w:r>
                    <w:t xml:space="preserve"> Volgens de toelichting volgt uit artikel 11, tweede lid, van de richtlijn dat de richtlijn uiterlijk 18 maanden na publicatiedatum van het referentienummer van de Europese norm geïmplementeerd dient te worden. Naar verwachting zal de referentie naar de Europese norm in september 2017 worden bekendgemaakt, zodat de richtlijn in maart 2019 geïmplementeerd moet zijn.</w:t>
                  </w:r>
                  <w:r>
                    <w:rPr>
                      <w:rStyle w:val="Voetnootmarkering"/>
                    </w:rPr>
                    <w:footnoteReference w:id="4"/>
                  </w:r>
                  <w:r>
                    <w:t xml:space="preserve"> </w:t>
                  </w:r>
                </w:p>
                <w:p w:rsidR="002831DA" w:rsidP="002831DA" w:rsidRDefault="00D67492"/>
                <w:p w:rsidR="002831DA" w:rsidP="002831DA" w:rsidRDefault="00040C44">
                  <w:r>
                    <w:lastRenderedPageBreak/>
                    <w:t>De Afdeling merkt op dat de implementatietermijn voor omzetting van de richtlijn op 27 november 2018 verstrijkt.</w:t>
                  </w:r>
                  <w:r>
                    <w:rPr>
                      <w:rStyle w:val="Voetnootmarkering"/>
                    </w:rPr>
                    <w:footnoteReference w:id="5"/>
                  </w:r>
                  <w:r>
                    <w:t xml:space="preserve"> Uit het tweede lid van artikel 11 van de richtlijn volgt weliswaar dat de lidstaten na deze termijn de nodige bepalingen mogen vaststellen, bekendmaken en toepassen, maar deze afwijking beperkt zich tot de in artikel 7 bedoelde verplichting om elektronische facturen te ontvangen en te verwerken. De toelichting maakt niet duidelijk dat  ook de overige bepalingen van de richtlijn</w:t>
                  </w:r>
                  <w:r>
                    <w:rPr>
                      <w:rStyle w:val="Voetnootmarkering"/>
                    </w:rPr>
                    <w:footnoteReference w:id="6"/>
                  </w:r>
                  <w:r>
                    <w:t xml:space="preserve"> na de implementatietermijn in nationale wetgeving mogen worden omgezet. </w:t>
                  </w:r>
                  <w:r w:rsidRPr="008F034D">
                    <w:rPr>
                      <w:szCs w:val="22"/>
                    </w:rPr>
                    <w:t xml:space="preserve">Uit een oogpunt van transparantie voor de rechtspraktijk verdient het aanbeveling in de toelichting </w:t>
                  </w:r>
                  <w:r w:rsidRPr="008F034D">
                    <w:rPr>
                      <w:rFonts w:cs="Arial"/>
                      <w:color w:val="0B0D0C"/>
                      <w:szCs w:val="22"/>
                    </w:rPr>
                    <w:t xml:space="preserve">nader uiteen te zetten wat de verhouding is tussen </w:t>
                  </w:r>
                  <w:r w:rsidRPr="008F034D">
                    <w:rPr>
                      <w:szCs w:val="22"/>
                    </w:rPr>
                    <w:t>artikel 11, eerste en tweede lid, van de richtlijn en wat dit betekent voor de implementatieverplichting.</w:t>
                  </w:r>
                  <w:r>
                    <w:t xml:space="preserve"> </w:t>
                  </w:r>
                </w:p>
                <w:p w:rsidR="00E170D9" w:rsidP="0064391D" w:rsidRDefault="00D67492"/>
                <w:p w:rsidR="00E170D9" w:rsidP="0064391D" w:rsidRDefault="00040C44">
                  <w:r>
                    <w:t xml:space="preserve">De Afdeling </w:t>
                  </w:r>
                  <w:r>
                    <w:rPr>
                      <w:rFonts w:cs="Calibri"/>
                      <w:bCs/>
                      <w:szCs w:val="22"/>
                    </w:rPr>
                    <w:t xml:space="preserve">adviseert de toelichting op dit punt te verduidelijken. </w:t>
                  </w:r>
                </w:p>
                <w:p w:rsidRPr="004B50DD" w:rsidR="00E170D9" w:rsidP="0064391D" w:rsidRDefault="00D67492"/>
                <w:p w:rsidR="007212F1" w:rsidP="00891BB0" w:rsidRDefault="00040C44">
                  <w:r>
                    <w:t>2.</w:t>
                  </w:r>
                  <w:r>
                    <w:tab/>
                  </w:r>
                  <w:r w:rsidRPr="005F7A2B">
                    <w:t>De Afdeling verwijst naar de bij dit advies behorende redactionele bijlage.</w:t>
                  </w:r>
                </w:p>
              </w:sdtContent>
            </w:sdt>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D22B6" w:rsidRDefault="00040C44">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W15.17.0208</w:t>
              </w:r>
            </w:sdtContent>
          </w:sdt>
          <w:r w:rsidRPr="00831363">
            <w:t>/</w:t>
          </w:r>
          <w:sdt>
            <w:sdtPr>
              <w:alias w:val="Sectie"/>
              <w:tag w:val="Sectie"/>
              <w:id w:val="743463611"/>
              <w:lock w:val="sdtContentLocked"/>
              <w:placeholder>
                <w:docPart w:val="D10883FDE47A4B5184FB25F7A2C50263"/>
              </w:placeholder>
              <w:text/>
            </w:sdtPr>
            <w:sdtEndPr/>
            <w:sdtContent>
              <w:r>
                <w:t>IV</w:t>
              </w:r>
            </w:sdtContent>
          </w:sdt>
        </w:p>
        <w:p w:rsidRPr="00831363" w:rsidR="001410FD" w:rsidRDefault="001410FD"/>
        <w:sdt>
          <w:sdtPr>
            <w:alias w:val="VrijeTekst3"/>
            <w:tag w:val="VrijeTekst3"/>
            <w:id w:val="2141764690"/>
            <w:lock w:val="sdtLocked"/>
          </w:sdtPr>
          <w:sdtEndPr/>
          <w:sdtContent>
            <w:p w:rsidR="00E70C71" w:rsidP="00D969CB" w:rsidRDefault="00040C44">
              <w:pPr>
                <w:numPr>
                  <w:ilvl w:val="0"/>
                  <w:numId w:val="1"/>
                </w:numPr>
              </w:pPr>
              <w:r>
                <w:rPr>
                  <w:szCs w:val="22"/>
                </w:rPr>
                <w:t>In de transponeringstabel bij artikel 2 van richtlijn 2014/55/EU per definitiebepaling vermelden of de definitiebepaling geen implementatie behoeft dan wel of de definitiebepaling reeds is geïmplementeerd door middel van bestaand recht, en anders de definitiebepaling alsnog implementeren (aanwijzing 338, eerste en derde lid, van de Aanwijzingen voor de regelgeving).</w:t>
              </w:r>
            </w:p>
          </w:sdtContent>
        </w:sdt>
        <w:p w:rsidR="00C50D4F" w:rsidP="005841EA" w:rsidRDefault="00D67492">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040C44" w:rsidP="001410FD">
      <w:r>
        <w:separator/>
      </w:r>
    </w:p>
  </w:endnote>
  <w:endnote w:type="continuationSeparator" w:id="0">
    <w:p w:rsidR="00225B7E" w:rsidRDefault="00040C4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040C44" w:rsidP="001410FD">
      <w:r>
        <w:separator/>
      </w:r>
    </w:p>
  </w:footnote>
  <w:footnote w:type="continuationSeparator" w:id="0">
    <w:p w:rsidR="00225B7E" w:rsidRDefault="00040C44" w:rsidP="001410FD">
      <w:r>
        <w:continuationSeparator/>
      </w:r>
    </w:p>
  </w:footnote>
  <w:footnote w:id="1">
    <w:p w:rsidR="00E170D9" w:rsidRDefault="00040C44" w:rsidP="00E170D9">
      <w:pPr>
        <w:pStyle w:val="Voetnoottekst"/>
      </w:pPr>
      <w:r>
        <w:rPr>
          <w:rStyle w:val="Voetnootmarkering"/>
        </w:rPr>
        <w:footnoteRef/>
      </w:r>
      <w:r>
        <w:t xml:space="preserve"> </w:t>
      </w:r>
      <w:r>
        <w:tab/>
        <w:t>De opstelling en bekendmaking van de norm en de lijst is neergelegd in artikel 3 van de richtlijn.</w:t>
      </w:r>
    </w:p>
  </w:footnote>
  <w:footnote w:id="2">
    <w:p w:rsidR="002831DA" w:rsidRDefault="00040C44" w:rsidP="002831DA">
      <w:pPr>
        <w:pStyle w:val="Voetnoottekst"/>
      </w:pPr>
      <w:r>
        <w:rPr>
          <w:rStyle w:val="Voetnootmarkering"/>
        </w:rPr>
        <w:footnoteRef/>
      </w:r>
      <w:r>
        <w:t xml:space="preserve"> </w:t>
      </w:r>
      <w:r>
        <w:tab/>
        <w:t xml:space="preserve">Hiermee wordt blijkens de toelichting aangesloten bij de bestaande structuur van de </w:t>
      </w:r>
      <w:r>
        <w:tab/>
        <w:t xml:space="preserve">aanbestedingswetten om nadere regels ter uitvoering van richtlijnen over de communicatie tussen </w:t>
      </w:r>
      <w:r>
        <w:tab/>
        <w:t xml:space="preserve">de aanbestedende dienst of speciale sectorbedrijven en de ondernemer bij of krachtens algemene </w:t>
      </w:r>
      <w:r>
        <w:tab/>
        <w:t>maatregel van bestuur te regelen.</w:t>
      </w:r>
    </w:p>
  </w:footnote>
  <w:footnote w:id="3">
    <w:p w:rsidR="002831DA" w:rsidRDefault="00040C44" w:rsidP="002831DA">
      <w:pPr>
        <w:pStyle w:val="Voetnoottekst"/>
      </w:pPr>
      <w:r>
        <w:rPr>
          <w:rStyle w:val="Voetnootmarkering"/>
        </w:rPr>
        <w:footnoteRef/>
      </w:r>
      <w:r>
        <w:tab/>
        <w:t xml:space="preserve">Memorie van toelichting, paragraaf 3, kopje </w:t>
      </w:r>
      <w:r>
        <w:rPr>
          <w:i/>
        </w:rPr>
        <w:t>Inhoud van het wetsvoorstel</w:t>
      </w:r>
      <w:r>
        <w:t xml:space="preserve">. </w:t>
      </w:r>
    </w:p>
  </w:footnote>
  <w:footnote w:id="4">
    <w:p w:rsidR="002831DA" w:rsidRDefault="00040C44" w:rsidP="002831DA">
      <w:pPr>
        <w:pStyle w:val="Voetnoottekst"/>
      </w:pPr>
      <w:r>
        <w:rPr>
          <w:rStyle w:val="Voetnootmarkering"/>
        </w:rPr>
        <w:footnoteRef/>
      </w:r>
      <w:r>
        <w:t xml:space="preserve"> </w:t>
      </w:r>
      <w:r>
        <w:tab/>
        <w:t xml:space="preserve">Memorie van toelichting, paragraaf 8, kopje </w:t>
      </w:r>
      <w:r>
        <w:rPr>
          <w:i/>
        </w:rPr>
        <w:t>Inwerkingtreding</w:t>
      </w:r>
      <w:r>
        <w:t xml:space="preserve">. </w:t>
      </w:r>
    </w:p>
  </w:footnote>
  <w:footnote w:id="5">
    <w:p w:rsidR="002831DA" w:rsidRDefault="00040C44" w:rsidP="002831DA">
      <w:pPr>
        <w:pStyle w:val="Voetnoottekst"/>
      </w:pPr>
      <w:r>
        <w:rPr>
          <w:rStyle w:val="Voetnootmarkering"/>
        </w:rPr>
        <w:footnoteRef/>
      </w:r>
      <w:r>
        <w:t xml:space="preserve"> </w:t>
      </w:r>
      <w:r>
        <w:tab/>
        <w:t>A</w:t>
      </w:r>
      <w:r w:rsidRPr="008709C8">
        <w:t>rtikel 11, eerste lid, van de richtlijn</w:t>
      </w:r>
      <w:r>
        <w:t>.</w:t>
      </w:r>
    </w:p>
  </w:footnote>
  <w:footnote w:id="6">
    <w:p w:rsidR="002831DA" w:rsidRDefault="00040C44" w:rsidP="002831DA">
      <w:pPr>
        <w:pStyle w:val="Voetnoottekst"/>
      </w:pPr>
      <w:r>
        <w:rPr>
          <w:rStyle w:val="Voetnootmarkering"/>
        </w:rPr>
        <w:footnoteRef/>
      </w:r>
      <w:r>
        <w:t xml:space="preserve"> </w:t>
      </w:r>
      <w:r>
        <w:tab/>
        <w:t xml:space="preserve">Zoals bijvoorbeeld de te implementeren definitiebepalingen in artikel 2 van de richtlijn.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40C44">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D67492">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6749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40C44"/>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BD22B6"/>
    <w:rsid w:val="00C5066A"/>
    <w:rsid w:val="00C50D4F"/>
    <w:rsid w:val="00C5589A"/>
    <w:rsid w:val="00C93CC0"/>
    <w:rsid w:val="00C94D31"/>
    <w:rsid w:val="00CA109A"/>
    <w:rsid w:val="00CE4655"/>
    <w:rsid w:val="00D2526B"/>
    <w:rsid w:val="00D67492"/>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5F0940"/>
    <w:rPr>
      <w:vertAlign w:val="superscript"/>
    </w:rPr>
  </w:style>
  <w:style w:type="paragraph" w:styleId="Lijstalinea">
    <w:name w:val="List Paragraph"/>
    <w:basedOn w:val="Standaard"/>
    <w:uiPriority w:val="34"/>
    <w:qFormat/>
    <w:rsid w:val="005F0940"/>
    <w:pPr>
      <w:ind w:left="720"/>
      <w:contextualSpacing/>
    </w:pPr>
  </w:style>
  <w:style w:type="character" w:styleId="Nadruk">
    <w:name w:val="Emphasis"/>
    <w:basedOn w:val="Standaardalinea-lettertype"/>
    <w:uiPriority w:val="20"/>
    <w:qFormat/>
    <w:rsid w:val="008F034D"/>
    <w:rPr>
      <w:i/>
      <w:i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5F0940"/>
    <w:rPr>
      <w:vertAlign w:val="superscript"/>
    </w:rPr>
  </w:style>
  <w:style w:type="paragraph" w:styleId="Lijstalinea">
    <w:name w:val="List Paragraph"/>
    <w:basedOn w:val="Standaard"/>
    <w:uiPriority w:val="34"/>
    <w:qFormat/>
    <w:rsid w:val="005F0940"/>
    <w:pPr>
      <w:ind w:left="720"/>
      <w:contextualSpacing/>
    </w:pPr>
  </w:style>
  <w:style w:type="character" w:styleId="Nadruk">
    <w:name w:val="Emphasis"/>
    <w:basedOn w:val="Standaardalinea-lettertype"/>
    <w:uiPriority w:val="20"/>
    <w:qFormat/>
    <w:rsid w:val="008F034D"/>
    <w:rPr>
      <w:i/>
      <w:i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mperw\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606</ap:Words>
  <ap:Characters>3645</ap:Characters>
  <ap:DocSecurity>4</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2017-08-04T07:45:00.0000000Z</lastPrinted>
  <dcterms:created xsi:type="dcterms:W3CDTF">2017-09-11T08:19:00.0000000Z</dcterms:created>
  <dcterms:modified xsi:type="dcterms:W3CDTF">2017-09-11T08:19:00.0000000Z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0x0101008AE4EFC3714F77478154072C6884505E</vt:lpwstr>
  </property>
</Properties>
</file>