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45B5E" w:rsidR="00710024" w:rsidP="00945B5E" w:rsidRDefault="00945B5E">
      <w:pPr>
        <w:jc w:val="center"/>
        <w:rPr>
          <w:b/>
        </w:rPr>
      </w:pPr>
      <w:bookmarkStart w:name="_Hlk492459006" w:id="0"/>
      <w:bookmarkStart w:name="_GoBack" w:id="1"/>
      <w:bookmarkEnd w:id="1"/>
      <w:r w:rsidRPr="00945B5E">
        <w:rPr>
          <w:b/>
        </w:rPr>
        <w:t>Europe</w:t>
      </w:r>
      <w:r w:rsidRPr="00945B5E">
        <w:rPr>
          <w:b/>
        </w:rPr>
        <w:t>’</w:t>
      </w:r>
      <w:r w:rsidRPr="00945B5E">
        <w:rPr>
          <w:b/>
        </w:rPr>
        <w:t xml:space="preserve">s Fourfold Union (Financial, Fiscal, </w:t>
      </w:r>
      <w:r w:rsidRPr="00945B5E" w:rsidR="008B4322">
        <w:rPr>
          <w:b/>
        </w:rPr>
        <w:t xml:space="preserve">Economic, </w:t>
      </w:r>
      <w:r w:rsidRPr="00945B5E">
        <w:rPr>
          <w:b/>
        </w:rPr>
        <w:t>Political): Updating the 2012 Vision</w:t>
      </w:r>
      <w:bookmarkEnd w:id="0"/>
    </w:p>
    <w:p w:rsidR="00945B5E" w:rsidP="00945B5E" w:rsidRDefault="00945B5E">
      <w:pPr>
        <w:jc w:val="center"/>
      </w:pPr>
      <w:r>
        <w:t>Nicolas V</w:t>
      </w:r>
      <w:r>
        <w:t>é</w:t>
      </w:r>
      <w:r>
        <w:t>ron</w:t>
      </w:r>
      <w:r>
        <w:rPr>
          <w:rStyle w:val="FootnoteReference"/>
        </w:rPr>
        <w:footnoteReference w:id="1"/>
      </w:r>
    </w:p>
    <w:p w:rsidR="00945B5E" w:rsidP="00945B5E" w:rsidRDefault="00945B5E">
      <w:pPr>
        <w:jc w:val="center"/>
      </w:pPr>
      <w:r>
        <w:t>Written statement prepared for the Expert Meeting on Deepening the Economic &amp; Monetary Union</w:t>
      </w:r>
    </w:p>
    <w:p w:rsidR="00945B5E" w:rsidP="00945B5E" w:rsidRDefault="00945B5E">
      <w:pPr>
        <w:jc w:val="center"/>
      </w:pPr>
      <w:r>
        <w:t xml:space="preserve">Dutch Tweede Kamer, Finance Committee </w:t>
      </w:r>
      <w:r>
        <w:t>–</w:t>
      </w:r>
      <w:r>
        <w:t xml:space="preserve"> The Hague, 13 September 2017</w:t>
      </w:r>
    </w:p>
    <w:p w:rsidR="00945B5E" w:rsidP="00945B5E" w:rsidRDefault="00945B5E"/>
    <w:p w:rsidR="00945B5E" w:rsidP="00945B5E" w:rsidRDefault="00945B5E"/>
    <w:p w:rsidRPr="0051277A" w:rsidR="00945B5E" w:rsidP="00945B5E" w:rsidRDefault="00945B5E">
      <w:pPr>
        <w:pBdr>
          <w:top w:val="single" w:color="auto" w:sz="4" w:space="1"/>
          <w:left w:val="single" w:color="auto" w:sz="4" w:space="4"/>
          <w:bottom w:val="single" w:color="auto" w:sz="4" w:space="1"/>
          <w:right w:val="single" w:color="auto" w:sz="4" w:space="4"/>
        </w:pBdr>
        <w:rPr>
          <w:b/>
        </w:rPr>
      </w:pPr>
      <w:r w:rsidRPr="0051277A">
        <w:rPr>
          <w:b/>
        </w:rPr>
        <w:t>Executive Summary</w:t>
      </w:r>
    </w:p>
    <w:p w:rsidR="00EA5CD2" w:rsidP="00945B5E" w:rsidRDefault="009A2F19">
      <w:pPr>
        <w:pStyle w:val="ListParagraph"/>
        <w:numPr>
          <w:ilvl w:val="0"/>
          <w:numId w:val="1"/>
        </w:numPr>
        <w:pBdr>
          <w:top w:val="single" w:color="auto" w:sz="4" w:space="1"/>
          <w:left w:val="single" w:color="auto" w:sz="4" w:space="4"/>
          <w:bottom w:val="single" w:color="auto" w:sz="4" w:space="1"/>
          <w:right w:val="single" w:color="auto" w:sz="4" w:space="4"/>
        </w:pBdr>
      </w:pPr>
      <w:r>
        <w:t xml:space="preserve">The depiction of </w:t>
      </w:r>
      <w:r w:rsidR="00EA5CD2">
        <w:t xml:space="preserve">the euro area / European Union </w:t>
      </w:r>
      <w:r w:rsidR="00E8502A">
        <w:t xml:space="preserve">(EU) </w:t>
      </w:r>
      <w:r w:rsidR="00EA5CD2">
        <w:t xml:space="preserve">as a </w:t>
      </w:r>
      <w:r w:rsidR="00EA5CD2">
        <w:t>“</w:t>
      </w:r>
      <w:r w:rsidR="00EA5CD2">
        <w:t>fourfold union</w:t>
      </w:r>
      <w:r w:rsidR="00EA5CD2">
        <w:t>”</w:t>
      </w:r>
      <w:r w:rsidR="00EA5CD2">
        <w:t xml:space="preserve"> (financial union, fiscal union, </w:t>
      </w:r>
      <w:r w:rsidR="008B4322">
        <w:t xml:space="preserve">economic union, </w:t>
      </w:r>
      <w:r w:rsidR="00EA5CD2">
        <w:t xml:space="preserve">political union) emerged in the </w:t>
      </w:r>
      <w:r w:rsidR="00F02CAE">
        <w:t xml:space="preserve">first half </w:t>
      </w:r>
      <w:r w:rsidR="00EA5CD2">
        <w:t>of 2012 at the height of the euro area crisis</w:t>
      </w:r>
      <w:r w:rsidR="008B4322">
        <w:t xml:space="preserve">. It </w:t>
      </w:r>
      <w:r w:rsidR="00EA5CD2">
        <w:t xml:space="preserve">was </w:t>
      </w:r>
      <w:r w:rsidR="008B4322">
        <w:t xml:space="preserve">primarily </w:t>
      </w:r>
      <w:r w:rsidR="00EA5CD2">
        <w:t xml:space="preserve">shaped by the recognition of the bank-sovereign vicious circle and the need to break it to ensure the survival of Economic and Monetary Union (EMU). </w:t>
      </w:r>
    </w:p>
    <w:p w:rsidR="00945B5E" w:rsidP="00945B5E" w:rsidRDefault="006B343C">
      <w:pPr>
        <w:pStyle w:val="ListParagraph"/>
        <w:numPr>
          <w:ilvl w:val="0"/>
          <w:numId w:val="1"/>
        </w:numPr>
        <w:pBdr>
          <w:top w:val="single" w:color="auto" w:sz="4" w:space="1"/>
          <w:left w:val="single" w:color="auto" w:sz="4" w:space="4"/>
          <w:bottom w:val="single" w:color="auto" w:sz="4" w:space="1"/>
          <w:right w:val="single" w:color="auto" w:sz="4" w:space="4"/>
        </w:pBdr>
      </w:pPr>
      <w:r>
        <w:t>Whereas t</w:t>
      </w:r>
      <w:r w:rsidR="00EA5CD2">
        <w:t xml:space="preserve">his framing of EMU and EU integration is inevitably simplistic, and papers over differences between euro-area-specific and EU-wide issues, </w:t>
      </w:r>
      <w:r w:rsidR="004D7D5A">
        <w:t xml:space="preserve">its categories are </w:t>
      </w:r>
      <w:r w:rsidR="00EA5CD2">
        <w:t xml:space="preserve">relevant and useful to reflect on current and future challenges to European integration. </w:t>
      </w:r>
    </w:p>
    <w:p w:rsidR="00EA5CD2" w:rsidP="00945B5E" w:rsidRDefault="00EA5CD2">
      <w:pPr>
        <w:pStyle w:val="ListParagraph"/>
        <w:numPr>
          <w:ilvl w:val="0"/>
          <w:numId w:val="1"/>
        </w:numPr>
        <w:pBdr>
          <w:top w:val="single" w:color="auto" w:sz="4" w:space="1"/>
          <w:left w:val="single" w:color="auto" w:sz="4" w:space="4"/>
          <w:bottom w:val="single" w:color="auto" w:sz="4" w:space="1"/>
          <w:right w:val="single" w:color="auto" w:sz="4" w:space="4"/>
        </w:pBdr>
      </w:pPr>
      <w:r>
        <w:t>In the past half-decade, Europe</w:t>
      </w:r>
      <w:r>
        <w:t>’</w:t>
      </w:r>
      <w:r>
        <w:t>s financial union has been significantly strengthened but remains incomplete and challenged by the expected exit of the UK (Brexit). No consensus has been found on fiscal union, and the existing fiscal framework based on administrative control is problematic. Economic union has not made material progress. Political union, a more intangible notion, may have advanced further than many observers realize</w:t>
      </w:r>
      <w:r w:rsidR="00E8502A">
        <w:t>, even as national politics remain paramount for the vast majority of EU citizens</w:t>
      </w:r>
      <w:r>
        <w:t xml:space="preserve">. </w:t>
      </w:r>
    </w:p>
    <w:p w:rsidR="00EA5CD2" w:rsidP="00945B5E" w:rsidRDefault="00E8502A">
      <w:pPr>
        <w:pStyle w:val="ListParagraph"/>
        <w:numPr>
          <w:ilvl w:val="0"/>
          <w:numId w:val="1"/>
        </w:numPr>
        <w:pBdr>
          <w:top w:val="single" w:color="auto" w:sz="4" w:space="1"/>
          <w:left w:val="single" w:color="auto" w:sz="4" w:space="4"/>
          <w:bottom w:val="single" w:color="auto" w:sz="4" w:space="1"/>
          <w:right w:val="single" w:color="auto" w:sz="4" w:space="4"/>
        </w:pBdr>
      </w:pPr>
      <w:r>
        <w:t>A near-term agenda to strengthen EMU, for which decisions could be made in the course of 2018</w:t>
      </w:r>
      <w:r w:rsidR="00F77083">
        <w:t xml:space="preserve"> and without any treaty change</w:t>
      </w:r>
      <w:r>
        <w:t>, should rest on a balance of further risk-sharing and enhanced market discipline, build</w:t>
      </w:r>
      <w:r w:rsidR="00426F63">
        <w:t>ing</w:t>
      </w:r>
      <w:r>
        <w:t xml:space="preserve"> on the significant risk reduction achieved over the last half-decade. The core of this next step of integration would include, on the one hand, regulatory curbs on banks</w:t>
      </w:r>
      <w:r>
        <w:t>’</w:t>
      </w:r>
      <w:r>
        <w:t xml:space="preserve"> sovereign exposures in the euro area, and on the other hand, a European deposit insurance scheme. </w:t>
      </w:r>
      <w:r w:rsidR="008B4322">
        <w:t xml:space="preserve">Complementary initiatives should include, on the fiscal side, a reform of the accounting and auditing framework that applies to euro-area member states, and on the (structural) economic side, </w:t>
      </w:r>
      <w:r>
        <w:t xml:space="preserve">a new architecture of sector-specific EU authorities to enforce the single market in regulated industries. </w:t>
      </w:r>
    </w:p>
    <w:p w:rsidR="00E8502A" w:rsidP="00945B5E" w:rsidRDefault="00E8502A">
      <w:pPr>
        <w:pStyle w:val="ListParagraph"/>
        <w:numPr>
          <w:ilvl w:val="0"/>
          <w:numId w:val="1"/>
        </w:numPr>
        <w:pBdr>
          <w:top w:val="single" w:color="auto" w:sz="4" w:space="1"/>
          <w:left w:val="single" w:color="auto" w:sz="4" w:space="4"/>
          <w:bottom w:val="single" w:color="auto" w:sz="4" w:space="1"/>
          <w:right w:val="single" w:color="auto" w:sz="4" w:space="4"/>
        </w:pBdr>
      </w:pPr>
      <w:r>
        <w:t>A more ambitious vision would have to include the European pooling of selected tax revenue streams to support an incipient fiscal union. The corresponding</w:t>
      </w:r>
      <w:r w:rsidR="00426F63">
        <w:t xml:space="preserve"> policy</w:t>
      </w:r>
      <w:r>
        <w:t xml:space="preserve"> debate, however, may be best delayed until after the next European </w:t>
      </w:r>
      <w:r w:rsidR="009E023A">
        <w:t>p</w:t>
      </w:r>
      <w:r>
        <w:t xml:space="preserve">arliamentary election in June 2019. </w:t>
      </w:r>
    </w:p>
    <w:p w:rsidR="00945B5E" w:rsidP="00945B5E" w:rsidRDefault="00945B5E"/>
    <w:p w:rsidR="00945B5E" w:rsidRDefault="00E63DC7">
      <w:r>
        <w:t xml:space="preserve">The </w:t>
      </w:r>
      <w:r w:rsidR="004A3130">
        <w:t xml:space="preserve">transformation of the EU </w:t>
      </w:r>
      <w:r w:rsidR="00F02CAE">
        <w:t xml:space="preserve">economic and financial </w:t>
      </w:r>
      <w:r w:rsidR="004A3130">
        <w:t>policy framework in the wake of the last decade of crisis is enormously complex, and it is easy to lose oneself in the details. The euro area</w:t>
      </w:r>
      <w:r w:rsidR="004A3130">
        <w:t>’</w:t>
      </w:r>
      <w:r w:rsidR="004A3130">
        <w:t xml:space="preserve">s </w:t>
      </w:r>
      <w:r w:rsidR="004A3130">
        <w:lastRenderedPageBreak/>
        <w:t xml:space="preserve">endeavor of monetary and economic union </w:t>
      </w:r>
      <w:r w:rsidR="00F02CAE">
        <w:t xml:space="preserve">of politically sovereign countries </w:t>
      </w:r>
      <w:r w:rsidR="004A3130">
        <w:t xml:space="preserve">is historically unprecedented, and started in the 1990s with many loose ends. </w:t>
      </w:r>
      <w:r w:rsidR="00F02CAE">
        <w:t>Its early development, particularly since the crisis started, can be viewed as something of a collective discovery process</w:t>
      </w:r>
      <w:r w:rsidR="00F77083">
        <w:t xml:space="preserve">; </w:t>
      </w:r>
      <w:r w:rsidR="00F02CAE">
        <w:t xml:space="preserve">no expert had fully anticipated the way the vulnerabilities of EMU would play out under duress. The description of the related challenges through the analytical lens of the fourfold union crystallized in the first half of 2012 at a time of acute stress. It remains an apt way to organize a holistic understanding of the interdependencies between the key policy areas at stake. </w:t>
      </w:r>
    </w:p>
    <w:p w:rsidR="00F02CAE" w:rsidRDefault="00F02CAE"/>
    <w:p w:rsidRPr="003A32E6" w:rsidR="00F02CAE" w:rsidRDefault="003A32E6">
      <w:pPr>
        <w:rPr>
          <w:b/>
        </w:rPr>
      </w:pPr>
      <w:r w:rsidRPr="003A32E6">
        <w:rPr>
          <w:b/>
        </w:rPr>
        <w:t xml:space="preserve">The emergence of the fourfold-union </w:t>
      </w:r>
      <w:r>
        <w:rPr>
          <w:b/>
        </w:rPr>
        <w:t>vision</w:t>
      </w:r>
      <w:r w:rsidRPr="003A32E6">
        <w:rPr>
          <w:b/>
        </w:rPr>
        <w:t xml:space="preserve"> in 2012</w:t>
      </w:r>
    </w:p>
    <w:p w:rsidR="004039F2" w:rsidRDefault="003A32E6">
      <w:r>
        <w:t xml:space="preserve">The key insight gained during the most disruptive phase of the euro area crisis, particularly after its escalation in the summer of 2011, has been the realization that the direct and indirect financial linkages between national governments and national banking systems, also known as the bank-sovereign vicious circle or colloquially the </w:t>
      </w:r>
      <w:r>
        <w:t>“</w:t>
      </w:r>
      <w:r>
        <w:t>doom loop</w:t>
      </w:r>
      <w:r w:rsidR="00F77083">
        <w:t>”</w:t>
      </w:r>
      <w:r>
        <w:t xml:space="preserve">, had become the central </w:t>
      </w:r>
      <w:r w:rsidR="00F77083">
        <w:t xml:space="preserve">vulnerability </w:t>
      </w:r>
      <w:r>
        <w:t xml:space="preserve">in a context of general uncertainty about the future of the euro area. </w:t>
      </w:r>
    </w:p>
    <w:p w:rsidR="003A32E6" w:rsidRDefault="003A32E6">
      <w:r>
        <w:t xml:space="preserve">This realization was gradual. </w:t>
      </w:r>
      <w:r w:rsidR="004039F2">
        <w:t>In the first few years of the financial crisis starting in mid-2007, there was near-universal denial in euro area countries about the largely home-grown nature of the problems encountered</w:t>
      </w:r>
      <w:r w:rsidR="00F77083">
        <w:t>,</w:t>
      </w:r>
      <w:r w:rsidR="004039F2">
        <w:t xml:space="preserve"> and specifically about the perverse incentives leading national banking supervisors to neglect the build-up of risk in domestic banks that they tended to promote and defend as </w:t>
      </w:r>
      <w:r w:rsidR="004039F2">
        <w:t>“</w:t>
      </w:r>
      <w:r w:rsidR="004039F2">
        <w:t>national champions</w:t>
      </w:r>
      <w:r w:rsidR="004039F2">
        <w:t>”</w:t>
      </w:r>
      <w:r w:rsidR="004039F2">
        <w:t xml:space="preserve"> on the increasingly open European competitive playing field. The </w:t>
      </w:r>
      <w:r w:rsidR="00F77083">
        <w:t xml:space="preserve">appearance </w:t>
      </w:r>
      <w:r w:rsidR="004039F2">
        <w:t xml:space="preserve">of sovereign credit risk in the euro area was not immediately connected in the European public policy debate with banking sector fragility, partly because the country in which that risk manifested itself first and most strongly, Greece, was an outlier in terms of its domestic banks not appearing to have taken excessive risk of their own. </w:t>
      </w:r>
    </w:p>
    <w:p w:rsidR="004039F2" w:rsidRDefault="00393A77">
      <w:r>
        <w:t xml:space="preserve">From an analytical standpoint, the </w:t>
      </w:r>
      <w:r w:rsidR="004039F2">
        <w:t xml:space="preserve">bank-sovereign vicious circle </w:t>
      </w:r>
      <w:r>
        <w:t xml:space="preserve">appears to have been </w:t>
      </w:r>
      <w:r w:rsidR="004039F2">
        <w:t>first identified in 2008-09 by International Monetary Fund (IMF) staff economists</w:t>
      </w:r>
      <w:r>
        <w:t xml:space="preserve"> (Mody, 2009; Sgherri &amp; Zoli, 2009). Their insights were</w:t>
      </w:r>
      <w:r w:rsidR="004039F2">
        <w:t xml:space="preserve"> based on close observation of developments in Ireland, a textbook case of contagion from the domestic banking sector to the national sovereign, in the wake of that country</w:t>
      </w:r>
      <w:r w:rsidR="004039F2">
        <w:t>’</w:t>
      </w:r>
      <w:r w:rsidR="004039F2">
        <w:t>s extension of highly generous guarantee</w:t>
      </w:r>
      <w:r w:rsidR="00F77083">
        <w:t>s</w:t>
      </w:r>
      <w:r w:rsidR="004039F2">
        <w:t xml:space="preserve"> over the domestic banks</w:t>
      </w:r>
      <w:r w:rsidR="004039F2">
        <w:t>’</w:t>
      </w:r>
      <w:r w:rsidR="004039F2">
        <w:t xml:space="preserve"> liabilities in October 2008. </w:t>
      </w:r>
      <w:r>
        <w:t>In the period that immediately followed, the IMF was partly distracted from this stream of analysis by the intensity of the Greek crisis, but other analysts and scholars made similar observations</w:t>
      </w:r>
      <w:r w:rsidR="005C70B7">
        <w:t xml:space="preserve">. With the escalation of systemic concerns to Spain, Italy and France in the course of 2011, </w:t>
      </w:r>
      <w:r>
        <w:t xml:space="preserve">the bank-sovereign vicious circle became </w:t>
      </w:r>
      <w:r w:rsidR="005C70B7">
        <w:t xml:space="preserve">an </w:t>
      </w:r>
      <w:r>
        <w:t xml:space="preserve">increasingly </w:t>
      </w:r>
      <w:r w:rsidR="005C70B7">
        <w:t xml:space="preserve">evident and </w:t>
      </w:r>
      <w:r>
        <w:t xml:space="preserve">widespread </w:t>
      </w:r>
      <w:r w:rsidR="005C70B7">
        <w:t xml:space="preserve">framework for analyzing the </w:t>
      </w:r>
      <w:r>
        <w:t>crisis</w:t>
      </w:r>
      <w:r w:rsidR="005C70B7">
        <w:t>, and by early 2012, it had become a mainstream reference including in public policy pronouncements.</w:t>
      </w:r>
      <w:r w:rsidR="005C70B7">
        <w:rPr>
          <w:rStyle w:val="FootnoteReference"/>
        </w:rPr>
        <w:footnoteReference w:id="2"/>
      </w:r>
      <w:r w:rsidR="005C70B7">
        <w:t xml:space="preserve"> </w:t>
      </w:r>
    </w:p>
    <w:p w:rsidR="00393A77" w:rsidRDefault="00953670">
      <w:r>
        <w:t>The European Union</w:t>
      </w:r>
      <w:r>
        <w:t>’</w:t>
      </w:r>
      <w:r>
        <w:t xml:space="preserve">s inability to stem the contagion through the bank-sovereign vicious circle in turn exposed </w:t>
      </w:r>
      <w:r w:rsidR="00BE0C0A">
        <w:t xml:space="preserve">its lack of effective executive decision-making capacity. This EU </w:t>
      </w:r>
      <w:r w:rsidR="00BE0C0A">
        <w:t>“</w:t>
      </w:r>
      <w:r w:rsidR="00BE0C0A">
        <w:t>executive deficit</w:t>
      </w:r>
      <w:r w:rsidR="00BE0C0A">
        <w:t>”</w:t>
      </w:r>
      <w:r w:rsidR="00BE0C0A">
        <w:t xml:space="preserve"> itself formed a vicious circle with its more familiar democratic deficit: not only did the lack of authoritativeness of EU institutions prevent them from solving the crisis, but their incapacity to do so also fed the European public</w:t>
      </w:r>
      <w:r w:rsidR="00BE0C0A">
        <w:t>’</w:t>
      </w:r>
      <w:r w:rsidR="00BE0C0A">
        <w:t>s distrust of them (V</w:t>
      </w:r>
      <w:r w:rsidR="00BE0C0A">
        <w:t>é</w:t>
      </w:r>
      <w:r w:rsidR="00BE0C0A">
        <w:t xml:space="preserve">ron, 2012). The crisis thus came to be seen as a test of the political commitment of individual member states and their citizens to the European integration project as a whole. </w:t>
      </w:r>
    </w:p>
    <w:p w:rsidR="005C70B7" w:rsidRDefault="00BE0C0A">
      <w:r>
        <w:t xml:space="preserve">Things came to a head in June 2012. The short-term catalyst for this moment of reckoning </w:t>
      </w:r>
      <w:r w:rsidR="00F22E37">
        <w:t xml:space="preserve">was the rapid deterioration of market perceptions of the Spanish banking sector following the forced nationalization of Bankia, a large and troubled bank, in May. Simultaneously, the outcome of the Greek parliamentary election </w:t>
      </w:r>
      <w:r w:rsidR="00453854">
        <w:t>on June</w:t>
      </w:r>
      <w:r w:rsidR="00453854">
        <w:t> </w:t>
      </w:r>
      <w:r w:rsidR="00453854">
        <w:t xml:space="preserve">17, following a turbulent national political sequence, sent a strong signal that Greek voters did not favor an exit if their country from the euro area, which in turn created space for all member states to proclaim their willingness to hang together. </w:t>
      </w:r>
    </w:p>
    <w:p w:rsidR="005C70B7" w:rsidRDefault="00453854">
      <w:r>
        <w:t xml:space="preserve">The </w:t>
      </w:r>
      <w:r>
        <w:t>“</w:t>
      </w:r>
      <w:r>
        <w:t>Four Presidents</w:t>
      </w:r>
      <w:r>
        <w:t>’</w:t>
      </w:r>
      <w:r>
        <w:t xml:space="preserve"> Report</w:t>
      </w:r>
      <w:r>
        <w:t>”</w:t>
      </w:r>
      <w:r>
        <w:t xml:space="preserve"> of June 26, 2012, brought these strands together and crystallized the vision of a fourfold union</w:t>
      </w:r>
      <w:r w:rsidR="00F34022">
        <w:t xml:space="preserve"> (Van Rompuy, 2012a)</w:t>
      </w:r>
      <w:r>
        <w:t>. It was prepared by the President of the European Council, Herman Van Rompuy, in close cooperation with his peers at the European Commission (Jos</w:t>
      </w:r>
      <w:r>
        <w:t>é</w:t>
      </w:r>
      <w:r>
        <w:t xml:space="preserve"> Manuel Barroso), the Eurogroup (Jean-Claude Juncker) and the European Central Bank (Mario Draghi)</w:t>
      </w:r>
      <w:r w:rsidR="007E7F6F">
        <w:t>, thus its name</w:t>
      </w:r>
      <w:r>
        <w:t xml:space="preserve">. It </w:t>
      </w:r>
      <w:r>
        <w:t>“</w:t>
      </w:r>
      <w:r>
        <w:t>propose[d] a vision for a stable and prosperous EMU based on four essential building blocks: An integrated financial framework [</w:t>
      </w:r>
      <w:r>
        <w:t>…</w:t>
      </w:r>
      <w:r>
        <w:t>] An integrated budgetary framework [</w:t>
      </w:r>
      <w:r>
        <w:t>…</w:t>
      </w:r>
      <w:r>
        <w:t>] An integrated economic policy framework</w:t>
      </w:r>
      <w:r w:rsidR="004565BD">
        <w:rPr>
          <w:rStyle w:val="FootnoteReference"/>
        </w:rPr>
        <w:footnoteReference w:id="3"/>
      </w:r>
      <w:r>
        <w:t xml:space="preserve"> [</w:t>
      </w:r>
      <w:r>
        <w:t>…</w:t>
      </w:r>
      <w:r>
        <w:t>] Ensuring the necessary democratic legitimacy and accountability of decision-making within the EMU</w:t>
      </w:r>
      <w:r>
        <w:t>”</w:t>
      </w:r>
      <w:r>
        <w:t xml:space="preserve">. </w:t>
      </w:r>
      <w:r w:rsidR="007E7F6F">
        <w:t>Echoing contemporary references in the public debate, these four items were immediately referred to as banking (or financial) union, fiscal union, economic union, and political union, a summary Mr Van Rompuy did not discourage.</w:t>
      </w:r>
      <w:r w:rsidR="007E7F6F">
        <w:rPr>
          <w:rStyle w:val="FootnoteReference"/>
        </w:rPr>
        <w:footnoteReference w:id="4"/>
      </w:r>
      <w:r w:rsidR="007E7F6F">
        <w:t xml:space="preserve"> </w:t>
      </w:r>
    </w:p>
    <w:p w:rsidR="00D329EE" w:rsidRDefault="00F34022">
      <w:r>
        <w:t>Three days later, on June</w:t>
      </w:r>
      <w:r>
        <w:t> </w:t>
      </w:r>
      <w:r>
        <w:t xml:space="preserve">29, the euro area heads of state and government announced their decision to create a banking union, starting with the words </w:t>
      </w:r>
      <w:r>
        <w:t>“</w:t>
      </w:r>
      <w:r>
        <w:t>We affirm that it is imperative to break the vicious circle between banks and sovereigns.</w:t>
      </w:r>
      <w:r>
        <w:t>”</w:t>
      </w:r>
      <w:r>
        <w:t xml:space="preserve"> (Euro Area Summit Statement, 2012). </w:t>
      </w:r>
      <w:r w:rsidR="002704B5">
        <w:t>Starting with a fiscal union would have been an alternative way to address the bank-sovereign vicious circle, and had been widely advocated the previous year not least in Germany,</w:t>
      </w:r>
      <w:r w:rsidR="002704B5">
        <w:rPr>
          <w:rStyle w:val="FootnoteReference"/>
        </w:rPr>
        <w:footnoteReference w:id="5"/>
      </w:r>
      <w:r w:rsidR="002704B5">
        <w:t xml:space="preserve"> but ultimately came to be seen as impractical in the existing context of Europe</w:t>
      </w:r>
      <w:r w:rsidR="002704B5">
        <w:t>’</w:t>
      </w:r>
      <w:r w:rsidR="002704B5">
        <w:t xml:space="preserve">s economic and political structures. </w:t>
      </w:r>
      <w:r w:rsidR="007359DD">
        <w:t>By contrast, the commitment to a banking union could be enshrined in concrete, game-changing decisions without entailing an immediate and explicit financial risk-sharing</w:t>
      </w:r>
      <w:r w:rsidR="00C30214">
        <w:t>, let alone treaty change</w:t>
      </w:r>
      <w:r w:rsidR="007359DD">
        <w:t>. Accordingly, the creation of a Single Supervisory Mechanism (SSM) with its hub at the European Central Bank (ECB) was the centerpiece of the June</w:t>
      </w:r>
      <w:r w:rsidR="007359DD">
        <w:t> </w:t>
      </w:r>
      <w:r w:rsidR="007359DD">
        <w:t xml:space="preserve">29 announcement. </w:t>
      </w:r>
    </w:p>
    <w:p w:rsidR="00453854" w:rsidRDefault="00D329EE">
      <w:r>
        <w:t xml:space="preserve">In the immediate aftermath of this breakthrough, policymakers acted as if it would be sufficient to stabilise the situation. </w:t>
      </w:r>
      <w:r w:rsidR="007359DD">
        <w:t>The pledge to allow the European Stability Mechanism (ESM) to participate in direct bank recapitalisations after the SSM</w:t>
      </w:r>
      <w:r w:rsidR="007359DD">
        <w:t>’</w:t>
      </w:r>
      <w:r w:rsidR="007359DD">
        <w:t xml:space="preserve">s </w:t>
      </w:r>
      <w:r w:rsidR="007359DD">
        <w:t>“</w:t>
      </w:r>
      <w:r w:rsidR="007359DD">
        <w:t>effective</w:t>
      </w:r>
      <w:r w:rsidR="007359DD">
        <w:t>”</w:t>
      </w:r>
      <w:r w:rsidR="007359DD">
        <w:t xml:space="preserve"> establishment</w:t>
      </w:r>
      <w:r>
        <w:t>, also included in the leaders</w:t>
      </w:r>
      <w:r>
        <w:t>’</w:t>
      </w:r>
      <w:r>
        <w:t xml:space="preserve"> statement of June</w:t>
      </w:r>
      <w:r>
        <w:t> </w:t>
      </w:r>
      <w:r>
        <w:t>29, 2012,</w:t>
      </w:r>
      <w:r w:rsidR="007359DD">
        <w:t xml:space="preserve"> was later backtracked on and eventually voided by imposing conditions that are so onerous that the instrument may never be used (ESM, 2014). Meanwhile, the Bank Recovery and Resolution Directive (BRRD), whose initial proposal had been published by the European Commission earlier in June 2012, was tightened through the legislative process</w:t>
      </w:r>
      <w:r>
        <w:t xml:space="preserve">. This </w:t>
      </w:r>
      <w:r w:rsidR="007359DD">
        <w:t xml:space="preserve">allowed political leaders to proclaim that </w:t>
      </w:r>
      <w:r>
        <w:t xml:space="preserve">the past </w:t>
      </w:r>
      <w:r w:rsidR="007359DD">
        <w:t xml:space="preserve">national bank rescues using taxpayer money could be replaced </w:t>
      </w:r>
      <w:r>
        <w:t xml:space="preserve">in the future </w:t>
      </w:r>
      <w:r w:rsidR="007359DD">
        <w:t xml:space="preserve">by pure market discipline involving the financial participation (or </w:t>
      </w:r>
      <w:r w:rsidR="007359DD">
        <w:t>“</w:t>
      </w:r>
      <w:r w:rsidR="007359DD">
        <w:t>bail-in</w:t>
      </w:r>
      <w:r w:rsidR="007359DD">
        <w:t>”</w:t>
      </w:r>
      <w:r w:rsidR="007359DD">
        <w:t>) of failing banks</w:t>
      </w:r>
      <w:r w:rsidR="007359DD">
        <w:t>’</w:t>
      </w:r>
      <w:r w:rsidR="007359DD">
        <w:t xml:space="preserve"> creditors and other claimants</w:t>
      </w:r>
      <w:r>
        <w:t>,</w:t>
      </w:r>
      <w:r w:rsidR="007359DD">
        <w:t xml:space="preserve"> without </w:t>
      </w:r>
      <w:r>
        <w:t xml:space="preserve">having to create </w:t>
      </w:r>
      <w:r w:rsidR="007359DD">
        <w:t xml:space="preserve">a meaningful safety net at the European level. </w:t>
      </w:r>
      <w:r>
        <w:t>Meanwhile, the Spanish situation was addressed by an assistance program that was finalized on July</w:t>
      </w:r>
      <w:r>
        <w:t> </w:t>
      </w:r>
      <w:r>
        <w:t xml:space="preserve">20, 2012, and involved the ESM lending to the Spanish government in order for the latter to recapitalize Spanish banks to the extent needed. </w:t>
      </w:r>
    </w:p>
    <w:p w:rsidR="001C4046" w:rsidRDefault="004565BD">
      <w:r>
        <w:t xml:space="preserve">Even so partially implemented, the fourfold-union vision had become as a powerful reference to frame subsequent debates about EMU reform, and remains relevant to this day. It is inevitably simplistic and imprecise: each of the four </w:t>
      </w:r>
      <w:r>
        <w:t>“</w:t>
      </w:r>
      <w:r>
        <w:t>unions</w:t>
      </w:r>
      <w:r>
        <w:t>”</w:t>
      </w:r>
      <w:r>
        <w:t xml:space="preserve"> often means different things to different people</w:t>
      </w:r>
      <w:r w:rsidR="001C4046">
        <w:t xml:space="preserve">. Nevertheless, the respective and separate areas of financial services policy, fiscal policy, structural economic policies, and political institutions, together cover most of the ground on which further reform can make EMU more resilient. </w:t>
      </w:r>
      <w:r w:rsidR="001206BB">
        <w:t>Because t</w:t>
      </w:r>
      <w:r w:rsidR="009A363B">
        <w:t>hey are partly interdependent</w:t>
      </w:r>
      <w:r w:rsidR="001206BB">
        <w:t xml:space="preserve">, advances in one area can feed advances in others. </w:t>
      </w:r>
      <w:r w:rsidR="001C4046">
        <w:t xml:space="preserve">The fourfold framework is thus useful both to assess progress made since the seminal episode of mid-2012, and to outline future steps that may be needed to ensure EMU sustainability, as is done in the rest of this statement. </w:t>
      </w:r>
    </w:p>
    <w:p w:rsidR="004565BD" w:rsidRDefault="001C4046">
      <w:r>
        <w:t xml:space="preserve">In terms of geographical scope, none of the four categories is strictly restricted to euro area countries. Financial services regulation is mostly provided under the EU internal market policy framework and thus applied to the entire European Economic Area (EEA). Many aspects of the fiscal and structural economic policy coordination framework, including the </w:t>
      </w:r>
      <w:r>
        <w:t>“</w:t>
      </w:r>
      <w:r>
        <w:t>European Semester</w:t>
      </w:r>
      <w:r>
        <w:t>”</w:t>
      </w:r>
      <w:r>
        <w:t xml:space="preserve"> for review of national policies, apply to all EU member states, even though others are euro-area-only. </w:t>
      </w:r>
      <w:r w:rsidR="00C30214">
        <w:t>T</w:t>
      </w:r>
      <w:r>
        <w:t xml:space="preserve">he most powerful EU instrument </w:t>
      </w:r>
      <w:r w:rsidR="008B4322">
        <w:t>for structural economic reform, at least for countries not undergoing an assistance program, is its longstanding internal (or single) market policy, which is EEA-wide by definition. And the union</w:t>
      </w:r>
      <w:r w:rsidR="008B4322">
        <w:t>’</w:t>
      </w:r>
      <w:r w:rsidR="008B4322">
        <w:t xml:space="preserve">s existing political and judiciary institutions are all at the EU level, not the euro area. Tensions between euro-area-specific concerns and the existing construct of the European Union are thus inherent and pervasive in the vision of the fourfold union. </w:t>
      </w:r>
    </w:p>
    <w:p w:rsidR="00D329EE" w:rsidRDefault="00D329EE"/>
    <w:p w:rsidRPr="004565BD" w:rsidR="004565BD" w:rsidRDefault="004565BD">
      <w:pPr>
        <w:rPr>
          <w:b/>
        </w:rPr>
      </w:pPr>
      <w:r w:rsidRPr="004565BD">
        <w:rPr>
          <w:b/>
        </w:rPr>
        <w:t>A half-decade of developments: 2012-2017</w:t>
      </w:r>
    </w:p>
    <w:p w:rsidR="004565BD" w:rsidRDefault="008B4322">
      <w:r>
        <w:t xml:space="preserve">In this section, the fourfold analytical framework of financial, fiscal, economic and political federalism in Europe is applied to provide a </w:t>
      </w:r>
      <w:r w:rsidR="00490495">
        <w:t xml:space="preserve">highly </w:t>
      </w:r>
      <w:r w:rsidR="002210DF">
        <w:t xml:space="preserve">summarized </w:t>
      </w:r>
      <w:r>
        <w:t xml:space="preserve">description and holistic assessment of developments in the last five years. </w:t>
      </w:r>
    </w:p>
    <w:p w:rsidRPr="008B4322" w:rsidR="008B4322" w:rsidRDefault="008B4322">
      <w:pPr>
        <w:rPr>
          <w:i/>
        </w:rPr>
      </w:pPr>
      <w:r w:rsidRPr="008B4322">
        <w:rPr>
          <w:i/>
        </w:rPr>
        <w:t xml:space="preserve">Financial </w:t>
      </w:r>
      <w:r w:rsidR="008745D7">
        <w:rPr>
          <w:i/>
        </w:rPr>
        <w:t>sector</w:t>
      </w:r>
    </w:p>
    <w:p w:rsidR="004565BD" w:rsidRDefault="008745D7">
      <w:r>
        <w:t>Based on the landmark decision of June</w:t>
      </w:r>
      <w:r>
        <w:t> </w:t>
      </w:r>
      <w:r>
        <w:t>29, 2012, t</w:t>
      </w:r>
      <w:r w:rsidR="00301A5A">
        <w:t xml:space="preserve">he </w:t>
      </w:r>
      <w:r>
        <w:t>SSM was rapidly established and assumed its supervisory authority over all euro-area banks (directly over the larger ones and indirectly over the smaller ones) on November</w:t>
      </w:r>
      <w:r>
        <w:t> </w:t>
      </w:r>
      <w:r>
        <w:t>4, 2014. It is now a widely respected supervisor, to the extent that Stockholm-based Nordea referred to the SSM</w:t>
      </w:r>
      <w:r>
        <w:t>’</w:t>
      </w:r>
      <w:r>
        <w:t>s credibility when announcing its decision to move its headquarters to Helsinki in the banking union area.</w:t>
      </w:r>
      <w:r>
        <w:rPr>
          <w:rStyle w:val="FootnoteReference"/>
        </w:rPr>
        <w:footnoteReference w:id="6"/>
      </w:r>
      <w:r>
        <w:t xml:space="preserve"> In addition, the euro area</w:t>
      </w:r>
      <w:r>
        <w:t>’</w:t>
      </w:r>
      <w:r>
        <w:t>s leaders in December 2012 decided to complement the SSM with a Single Resolution Mechanism (SRM) centered on a new agency, the Single Resolution Board (SRB), with a Single Resolution Fund (SRF) at its disposal. The SRB became fully operational in January 2016 and has rather successfully passed its first real-life test with the resolution action it took on Banco Popular Espa</w:t>
      </w:r>
      <w:r>
        <w:t>ñ</w:t>
      </w:r>
      <w:r>
        <w:t xml:space="preserve">ol in </w:t>
      </w:r>
      <w:r w:rsidR="00C30214">
        <w:t xml:space="preserve">early </w:t>
      </w:r>
      <w:r>
        <w:t xml:space="preserve">June 2017. </w:t>
      </w:r>
    </w:p>
    <w:p w:rsidR="008745D7" w:rsidRDefault="008745D7">
      <w:r>
        <w:t xml:space="preserve">More broadly, the last five years have seen the euro-area banking sector shift from a state of acute fragility in mid-2012 to a </w:t>
      </w:r>
      <w:r w:rsidR="00D76816">
        <w:t>significantly</w:t>
      </w:r>
      <w:r>
        <w:t xml:space="preserve"> healthier, though not fully recovered, condition as of September 2017. </w:t>
      </w:r>
      <w:r w:rsidR="006B19B2">
        <w:t>With often painful action in the meantime in countries including Austria, Cyprus, Greece, Italy, the Netherlands, Portugal, Slovenia, and Spain, the risks have been brought down from the country level to the bank level. Namely, a number of banks will probably require further requirement that in some case may lead to their resolution or liquidation, as was the case with Banco Popular, but none of these is likely to lead to a</w:t>
      </w:r>
      <w:r w:rsidR="00C30214">
        <w:t>n immediate</w:t>
      </w:r>
      <w:r w:rsidR="006B19B2">
        <w:t xml:space="preserve"> revival of the bank-sovereign vicious circle in a manner that </w:t>
      </w:r>
      <w:r w:rsidR="00C30214">
        <w:t>c</w:t>
      </w:r>
      <w:r w:rsidR="006B19B2">
        <w:t xml:space="preserve">ould </w:t>
      </w:r>
      <w:r w:rsidR="00C30214">
        <w:t xml:space="preserve">threaten </w:t>
      </w:r>
      <w:r w:rsidR="006B19B2">
        <w:t>the corresponding country</w:t>
      </w:r>
      <w:r w:rsidR="006B19B2">
        <w:t>’</w:t>
      </w:r>
      <w:r w:rsidR="006B19B2">
        <w:t>s sovereign debt market access. Even as many details are debatable, and there are plausible arguments that the sector</w:t>
      </w:r>
      <w:r w:rsidR="006B19B2">
        <w:t>’</w:t>
      </w:r>
      <w:r w:rsidR="006B19B2">
        <w:t xml:space="preserve">s cleaning-up could have been achieved more quickly and at lower public cost, there is also little doubt that this process of reinstating trust in the banking system has been facilitated by the early implementation of banking union and especially the supervisory capability build-up at the SSM. </w:t>
      </w:r>
    </w:p>
    <w:p w:rsidR="00882D36" w:rsidRDefault="00882D36">
      <w:r>
        <w:t xml:space="preserve">The banking union, however, remains a work in progress and can in no way be described as having achieved the stated </w:t>
      </w:r>
      <w:r>
        <w:t>“</w:t>
      </w:r>
      <w:r>
        <w:t>imperative to break the vicious circle between banks and sovereigns</w:t>
      </w:r>
      <w:r>
        <w:t>”</w:t>
      </w:r>
      <w:r>
        <w:t>. The most direct such financial linkages, from banks to sovereigns through national deposit insurance schemes and from sovereigns to banks through the high home bias observed in most banks</w:t>
      </w:r>
      <w:r>
        <w:t>’</w:t>
      </w:r>
      <w:r>
        <w:t xml:space="preserve"> sovereign exposures, remain broadly unchanged since 2012. Less direct links are also pervasive</w:t>
      </w:r>
      <w:r w:rsidR="00C30214">
        <w:t xml:space="preserve"> and unchanged since 2012</w:t>
      </w:r>
      <w:r>
        <w:t>, including lingering implicit or explicit national guarantees of bank liabilities other than insured deposits,</w:t>
      </w:r>
      <w:r>
        <w:rPr>
          <w:rStyle w:val="FootnoteReference"/>
        </w:rPr>
        <w:footnoteReference w:id="7"/>
      </w:r>
      <w:r>
        <w:t xml:space="preserve"> the concentrated geographical footprint of many medium-sized and large European banks that exposes them overwhelmingly to a recession in a single country, and in many banks</w:t>
      </w:r>
      <w:r>
        <w:t>’</w:t>
      </w:r>
      <w:r>
        <w:t xml:space="preserve"> cases, governance and ownership structures that create high dependencies to national politics and policy. </w:t>
      </w:r>
    </w:p>
    <w:p w:rsidR="00301A5A" w:rsidRDefault="0015386D">
      <w:r>
        <w:t xml:space="preserve">The initial successes of the banking union project have also emboldened the European Commission to promote a more ambitious integration agenda for the entire financial sector, dubbed </w:t>
      </w:r>
      <w:r>
        <w:t>“</w:t>
      </w:r>
      <w:r>
        <w:t>Capital Markets Union</w:t>
      </w:r>
      <w:r>
        <w:t>”</w:t>
      </w:r>
      <w:r>
        <w:t xml:space="preserve"> by Jean-Claude Juncker who announced it in his maiden policy speech as president-elect of the European Commission in July</w:t>
      </w:r>
      <w:r>
        <w:t> </w:t>
      </w:r>
      <w:r>
        <w:t xml:space="preserve">2014. </w:t>
      </w:r>
      <w:r w:rsidR="00D76816">
        <w:t>While concrete policy achievements under this effort are underwhelming</w:t>
      </w:r>
      <w:r w:rsidRPr="00D76816" w:rsidR="00D76816">
        <w:t xml:space="preserve"> </w:t>
      </w:r>
      <w:r w:rsidR="00D76816">
        <w:t xml:space="preserve">so far, it has reframed the public debate about capital markets and </w:t>
      </w:r>
      <w:r w:rsidR="00C30214">
        <w:t>possibly</w:t>
      </w:r>
      <w:r w:rsidR="00D76816">
        <w:t xml:space="preserve"> paved the way towards an expanded role for the European Securities and Markets Authority (ESMA) to become the direct supervisor of an increasing number of market segments and enforcer of an increasing number of capital market rules in the near future, even though ESMA is </w:t>
      </w:r>
      <w:r w:rsidR="00C30214">
        <w:t xml:space="preserve">currently </w:t>
      </w:r>
      <w:r w:rsidR="00D76816">
        <w:t xml:space="preserve">under-resourced and its governance was not designed for such a role. </w:t>
      </w:r>
    </w:p>
    <w:p w:rsidRPr="00D76816" w:rsidR="006B19B2" w:rsidRDefault="00D76816">
      <w:pPr>
        <w:rPr>
          <w:i/>
        </w:rPr>
      </w:pPr>
      <w:r w:rsidRPr="00D76816">
        <w:rPr>
          <w:i/>
        </w:rPr>
        <w:t>Fiscal framework</w:t>
      </w:r>
    </w:p>
    <w:p w:rsidR="00D76816" w:rsidRDefault="00181691">
      <w:r>
        <w:t xml:space="preserve">The ESM, which was formally created in the course of 2012, has now established its credibility as an emergency lender to countries and is increasingly able to manage assistance programs, including policy conditionality, on its own </w:t>
      </w:r>
      <w:r>
        <w:t>–</w:t>
      </w:r>
      <w:r>
        <w:t xml:space="preserve"> even though no such program has been granted so far without any IMF involvement. In the course of the past half-decade, the ESM together with its creditor partners was able to put an end to the programs in Ireland, Portugal, Spain, and Cyprus</w:t>
      </w:r>
      <w:r w:rsidR="00C30214">
        <w:t xml:space="preserve">. It will, however, </w:t>
      </w:r>
      <w:r>
        <w:t xml:space="preserve">remain involved in Greece for the foreseeable future. </w:t>
      </w:r>
    </w:p>
    <w:p w:rsidR="00181691" w:rsidRDefault="00181691">
      <w:r>
        <w:t xml:space="preserve">At the legislative level, the EU fiscal framework has remained fairly stable since 2012, following the </w:t>
      </w:r>
      <w:r w:rsidR="00DF78F9">
        <w:t xml:space="preserve">numerous </w:t>
      </w:r>
      <w:r>
        <w:t xml:space="preserve">changes introduced in the previous two years (chronologically the so-called </w:t>
      </w:r>
      <w:r>
        <w:t>“</w:t>
      </w:r>
      <w:r>
        <w:t>six pack</w:t>
      </w:r>
      <w:r>
        <w:t>”</w:t>
      </w:r>
      <w:r>
        <w:t xml:space="preserve">, </w:t>
      </w:r>
      <w:r>
        <w:t>“</w:t>
      </w:r>
      <w:r>
        <w:t>two pack</w:t>
      </w:r>
      <w:r>
        <w:t>”</w:t>
      </w:r>
      <w:r>
        <w:t xml:space="preserve">, and Fiscal Compact). </w:t>
      </w:r>
      <w:r w:rsidR="00DF78F9">
        <w:t xml:space="preserve">The corresponding process of administrative review and assessment by the European Commission has arguably fostered greater discipline and facilitated cross-country comparisons, but has ultimately been exposed as unenforceable or at least unenforced, since the European Commission has refrained from using its </w:t>
      </w:r>
      <w:r w:rsidR="00FA259E">
        <w:t xml:space="preserve">ability to apply financial sanctions in cases of non-compliance. </w:t>
      </w:r>
    </w:p>
    <w:p w:rsidR="00FA259E" w:rsidRDefault="00FA259E">
      <w:r>
        <w:t xml:space="preserve">Meanwhile, uncertainties linger on the integrity of the production of government accounts and statistics at the national level, despite reforms introduced since the egregious malpractice revealed in Greece in 2009 (and earlier in 2004) </w:t>
      </w:r>
      <w:r w:rsidR="00490495">
        <w:t xml:space="preserve">had </w:t>
      </w:r>
      <w:r>
        <w:t xml:space="preserve">led to very significant restatements of key ratios such as that of government deficit to Gross Domestic Product (GDP). </w:t>
      </w:r>
      <w:r w:rsidR="00490495">
        <w:t xml:space="preserve">Eurostat has been granted greater powers to double-check numbers in case of doubt, but ultimately cannot </w:t>
      </w:r>
      <w:r w:rsidR="00C30214">
        <w:t>ensure</w:t>
      </w:r>
      <w:r w:rsidR="00490495">
        <w:t xml:space="preserve"> the integrity of national accounting and statistical processes. A particularly troubling case has been the multiple prosecutions of Andreas Georgiou, head of the Greek statistical office from 2010 to 2015, in a highly charged political climate and despite repeated warnings from EU officials.</w:t>
      </w:r>
      <w:r w:rsidR="00490495">
        <w:rPr>
          <w:rStyle w:val="FootnoteReference"/>
        </w:rPr>
        <w:footnoteReference w:id="8"/>
      </w:r>
      <w:r w:rsidR="00490495">
        <w:t xml:space="preserve"> </w:t>
      </w:r>
    </w:p>
    <w:p w:rsidRPr="00490495" w:rsidR="00181691" w:rsidRDefault="00490495">
      <w:pPr>
        <w:rPr>
          <w:i/>
        </w:rPr>
      </w:pPr>
      <w:r w:rsidRPr="00490495">
        <w:rPr>
          <w:i/>
        </w:rPr>
        <w:t>Structural economic policies</w:t>
      </w:r>
    </w:p>
    <w:p w:rsidR="00490495" w:rsidRDefault="00490495">
      <w:r>
        <w:t xml:space="preserve">Even more than on fiscal behavior, the European Union has struggled to establish new mechanisms that would lead to better and more consistent structural reforms in individual member states, leaving aside those under an assistance program. </w:t>
      </w:r>
      <w:r w:rsidR="007638CD">
        <w:t xml:space="preserve">The Euro Plus Pact of 2011, which sought non-binding mechanisms under the so-called open method of coordination, did not achieve tangible results. </w:t>
      </w:r>
      <w:r>
        <w:t xml:space="preserve">The idea of complementing the review of </w:t>
      </w:r>
      <w:r w:rsidR="007638CD">
        <w:t xml:space="preserve">structural </w:t>
      </w:r>
      <w:r>
        <w:t xml:space="preserve">reforms embedded in the </w:t>
      </w:r>
      <w:r>
        <w:t>“</w:t>
      </w:r>
      <w:r>
        <w:t>European Semester</w:t>
      </w:r>
      <w:r>
        <w:t>”</w:t>
      </w:r>
      <w:r>
        <w:t xml:space="preserve"> with </w:t>
      </w:r>
      <w:r>
        <w:t>“</w:t>
      </w:r>
      <w:r>
        <w:t>contractual arrangements</w:t>
      </w:r>
      <w:r>
        <w:t>”</w:t>
      </w:r>
      <w:r w:rsidR="007638CD">
        <w:t>,</w:t>
      </w:r>
      <w:r>
        <w:t xml:space="preserve"> in which member states would commit to </w:t>
      </w:r>
      <w:r w:rsidR="007638CD">
        <w:t xml:space="preserve">specific reform projects against European financial support, appears unlikely to be ever implemented following lengthy and essentially fruitless discussions since its early formulation (e.g. Van Rompuy, 2012b). </w:t>
      </w:r>
    </w:p>
    <w:p w:rsidR="007638CD" w:rsidRDefault="007638CD">
      <w:r>
        <w:t>Meanwhile, the European Union</w:t>
      </w:r>
      <w:r>
        <w:t>’</w:t>
      </w:r>
      <w:r>
        <w:t xml:space="preserve">s most powerful structural economic policy instrument remains its single market framework, complemented by assertive competition policy enforcement by the European Commission and its national counterparts. </w:t>
      </w:r>
      <w:r w:rsidR="00E007A3">
        <w:t>In this area too, the European Union needs to adapt to a changing environment: two trends, in particular, are challenging and have been met so far by only partial responses at best. The first is the emergence of major global players in digital services that represent an increasingly significant component of the social fabric, namely a handful of large digital and social media platforms which enjoy a dominant position in their respective markets and are typically not as highly regulated in their home jurisdiction, the United States, as they might be in Europe. Among other things, this generates a risk of single market fragmentat</w:t>
      </w:r>
      <w:r w:rsidR="002210DF">
        <w:t xml:space="preserve">ion as different member states </w:t>
      </w:r>
      <w:r w:rsidR="00E007A3">
        <w:t>or even local government</w:t>
      </w:r>
      <w:r w:rsidR="002210DF">
        <w:t>s</w:t>
      </w:r>
      <w:r w:rsidR="00E007A3">
        <w:t xml:space="preserve"> adopt sharply divergent approaches to </w:t>
      </w:r>
      <w:r w:rsidR="002210DF">
        <w:t>these companies</w:t>
      </w:r>
      <w:r w:rsidR="002210DF">
        <w:t>’</w:t>
      </w:r>
      <w:r w:rsidR="002210DF">
        <w:t xml:space="preserve"> services, often under the guise of important and legitimate concerns such as individual privacy but sometimes also motivated by special interests, as has been the case variously with Airbnb, Google (e.g. Street View), and Uber among others. A second challenge is the fact that an increasing share of inward foreign investment into the European Union comes from countries whose political and security approaches differ sharply from the ones of the European Union, primarily China but also others such as Russia or the Gulf countries. Whereas it would be a mistake to close Europe to such investment or to create an inherently unpredictable investment environment, there are also legitimate security concerns at stake. The existing policy framework does not accommodate these in a manner that is consistent with the freedoms embedded in the internal market (see R</w:t>
      </w:r>
      <w:r w:rsidR="002210DF">
        <w:t>ö</w:t>
      </w:r>
      <w:r w:rsidR="002210DF">
        <w:t>ller &amp; V</w:t>
      </w:r>
      <w:r w:rsidR="002210DF">
        <w:t>é</w:t>
      </w:r>
      <w:r w:rsidR="002210DF">
        <w:t xml:space="preserve">ron, 2008). </w:t>
      </w:r>
    </w:p>
    <w:p w:rsidRPr="002210DF" w:rsidR="002210DF" w:rsidRDefault="002210DF">
      <w:pPr>
        <w:rPr>
          <w:i/>
        </w:rPr>
      </w:pPr>
      <w:r w:rsidRPr="002210DF">
        <w:rPr>
          <w:i/>
        </w:rPr>
        <w:t>Political cohesion</w:t>
      </w:r>
    </w:p>
    <w:p w:rsidR="002210DF" w:rsidRDefault="006D6B6A">
      <w:r>
        <w:t xml:space="preserve">Of the four areas of the fourfold-union vision, this one is the least technical, the least precisely defined, and </w:t>
      </w:r>
      <w:r w:rsidR="00462DC5">
        <w:t>also certainly</w:t>
      </w:r>
      <w:r>
        <w:t xml:space="preserve"> the most important. </w:t>
      </w:r>
      <w:r w:rsidR="009A73EF">
        <w:t xml:space="preserve">The conventional wisdom holds that EU political </w:t>
      </w:r>
      <w:r w:rsidR="00E949E3">
        <w:t>cohesion has been impaired during the crisis by poor policy decision-making at the EU level, the lack of alignment of interests between different countries, and the rise of populist anti-EU parties in an increasing number of countries. The June 2016 UK referendum vote for Brexit unquestionably support</w:t>
      </w:r>
      <w:r w:rsidR="00462DC5">
        <w:t>ed</w:t>
      </w:r>
      <w:r w:rsidR="00E949E3">
        <w:t xml:space="preserve"> this narrative, as do recent developments in which the rule of law as defined in EU treaties has been questioned in Hungary and Poland. </w:t>
      </w:r>
    </w:p>
    <w:p w:rsidR="00E949E3" w:rsidRDefault="00462DC5">
      <w:r>
        <w:t xml:space="preserve">A </w:t>
      </w:r>
      <w:r w:rsidR="00E949E3">
        <w:t xml:space="preserve">bleak </w:t>
      </w:r>
      <w:r>
        <w:t xml:space="preserve">narrative </w:t>
      </w:r>
      <w:r w:rsidR="00E949E3">
        <w:t>of EU political disintegration, however, fails to account for other observations. The most obvious one is that despite many prophecies of its imminent demise, the euro area has kept its integrity. Whether the euro area could survive the exit of any of its member states remains a matter of debate, but the fact is that none has exited so far even in dire circumstances such as those of Cyprus in March 2013 or Greece in early July 2015. While this experience should not lead to complacency about the euro area</w:t>
      </w:r>
      <w:r w:rsidR="00E949E3">
        <w:t>’</w:t>
      </w:r>
      <w:r w:rsidR="00E949E3">
        <w:t xml:space="preserve">s sustainability, it suggests that, in spite of all the vocal disagreements and cultural </w:t>
      </w:r>
      <w:r w:rsidR="00076AC1">
        <w:t>differences</w:t>
      </w:r>
      <w:r w:rsidR="00E949E3">
        <w:t xml:space="preserve">, the political forces holding it together </w:t>
      </w:r>
      <w:r w:rsidR="00076AC1">
        <w:t xml:space="preserve">are very </w:t>
      </w:r>
      <w:r w:rsidR="00E949E3">
        <w:t xml:space="preserve">strong. </w:t>
      </w:r>
    </w:p>
    <w:p w:rsidR="00076AC1" w:rsidRDefault="00076AC1">
      <w:r>
        <w:t>The euro area</w:t>
      </w:r>
      <w:r>
        <w:t>’</w:t>
      </w:r>
      <w:r>
        <w:t xml:space="preserve">s survival capacity is not the only indication of deep, and possibly increasing, EU political togetherness in recent years. </w:t>
      </w:r>
      <w:r w:rsidR="00826BE9">
        <w:t>The fairly united front presented by 27</w:t>
      </w:r>
      <w:r w:rsidR="00826BE9">
        <w:t> </w:t>
      </w:r>
      <w:r w:rsidR="00826BE9">
        <w:t>EU member states in the Brexit negotiation is another example. So is the fact that following the 2014 EU</w:t>
      </w:r>
      <w:r w:rsidR="00826BE9">
        <w:t> </w:t>
      </w:r>
      <w:r w:rsidR="00826BE9">
        <w:t>parliamentary election, and against many observers</w:t>
      </w:r>
      <w:r w:rsidR="00826BE9">
        <w:t>’</w:t>
      </w:r>
      <w:r w:rsidR="00826BE9">
        <w:t xml:space="preserve"> anticipations, EU leaders followed an interpretation of the Lisbon Treaty that committed them to accept the </w:t>
      </w:r>
      <w:r w:rsidR="00826BE9">
        <w:t>“</w:t>
      </w:r>
      <w:r w:rsidR="00826BE9">
        <w:t>lead candidate</w:t>
      </w:r>
      <w:r w:rsidR="00826BE9">
        <w:t>”</w:t>
      </w:r>
      <w:r w:rsidR="00826BE9">
        <w:t xml:space="preserve"> of the political grouping that collected the most votes, in this case the European Peoples</w:t>
      </w:r>
      <w:r w:rsidR="00826BE9">
        <w:t>’</w:t>
      </w:r>
      <w:r w:rsidR="00826BE9">
        <w:t xml:space="preserve"> Party</w:t>
      </w:r>
      <w:r w:rsidR="00826BE9">
        <w:t>’</w:t>
      </w:r>
      <w:r w:rsidR="00826BE9">
        <w:t xml:space="preserve">s Jean-Claude Juncker, as President-elect of the European Commission. At a more symbolic level, the twelve-starred European flag has acquired unprecedented visibility in the public life of </w:t>
      </w:r>
      <w:r w:rsidR="00034B92">
        <w:t xml:space="preserve">several </w:t>
      </w:r>
      <w:r w:rsidR="00826BE9">
        <w:t xml:space="preserve">member states, for example in national election campaigns of Austria and France in 2016 and 2017 (and, somewhat ironically, also in the UK in protests against Brexit after the referendum). More poignantly, the </w:t>
      </w:r>
      <w:r w:rsidR="00826BE9">
        <w:t>“</w:t>
      </w:r>
      <w:r w:rsidR="00826BE9">
        <w:t>Euromaidan</w:t>
      </w:r>
      <w:r w:rsidR="00826BE9">
        <w:t>”</w:t>
      </w:r>
      <w:r w:rsidR="00826BE9">
        <w:t xml:space="preserve"> revolution in Ukraine in early 2014 </w:t>
      </w:r>
      <w:r w:rsidR="00034B92">
        <w:t xml:space="preserve">saw </w:t>
      </w:r>
      <w:r w:rsidR="00826BE9">
        <w:t xml:space="preserve">the European flag </w:t>
      </w:r>
      <w:r w:rsidR="00034B92">
        <w:t xml:space="preserve">featuring </w:t>
      </w:r>
      <w:r w:rsidR="00826BE9">
        <w:t xml:space="preserve">prominently in a </w:t>
      </w:r>
      <w:r w:rsidR="00034B92">
        <w:t>major national upheaval, illustrating the continuing political attractiveness of the European Union in its immediate neighborhood.</w:t>
      </w:r>
      <w:r w:rsidR="00034B92">
        <w:rPr>
          <w:rStyle w:val="FootnoteReference"/>
        </w:rPr>
        <w:footnoteReference w:id="9"/>
      </w:r>
      <w:r w:rsidR="00034B92">
        <w:t xml:space="preserve"> </w:t>
      </w:r>
    </w:p>
    <w:p w:rsidR="00034B92" w:rsidRDefault="00034B92">
      <w:r>
        <w:t>On a more institutional level, the EU order has also been resilient against multiple challenges. The ECB has withstood successive lawsuits, most originating in Germany, that questioned the scope of its policies. In this process, the German Constitutional Court has acknowledge</w:t>
      </w:r>
      <w:r w:rsidR="00462DC5">
        <w:t>d</w:t>
      </w:r>
      <w:r>
        <w:t xml:space="preserve"> the authority of the European </w:t>
      </w:r>
      <w:r w:rsidR="007A4205">
        <w:t xml:space="preserve">Court </w:t>
      </w:r>
      <w:r w:rsidR="00462DC5">
        <w:t xml:space="preserve">of </w:t>
      </w:r>
      <w:r w:rsidR="007A4205">
        <w:t>Justice in an unprecedented manner.</w:t>
      </w:r>
      <w:r w:rsidR="007A4205">
        <w:rPr>
          <w:rStyle w:val="FootnoteReference"/>
        </w:rPr>
        <w:footnoteReference w:id="10"/>
      </w:r>
      <w:r w:rsidR="007A4205">
        <w:t xml:space="preserve"> The European Commission</w:t>
      </w:r>
      <w:r w:rsidR="007A4205">
        <w:t>’</w:t>
      </w:r>
      <w:r w:rsidR="007A4205">
        <w:t>s enforcement of state aid control in the banking sector has been made more authoritative by the 2013 Banking Communication. The SSM and SRM, even though their geographical scope of authority is currently limited to the euro area,</w:t>
      </w:r>
      <w:r w:rsidR="007A4205">
        <w:rPr>
          <w:rStyle w:val="FootnoteReference"/>
        </w:rPr>
        <w:footnoteReference w:id="11"/>
      </w:r>
      <w:r w:rsidR="007A4205">
        <w:t xml:space="preserve"> constitute unprecedented cases of sector-specific supranational oversight in areas that were long seen as unquestionably falling under national sovereignty.</w:t>
      </w:r>
      <w:r w:rsidR="007A4205">
        <w:rPr>
          <w:rStyle w:val="FootnoteReference"/>
        </w:rPr>
        <w:footnoteReference w:id="12"/>
      </w:r>
      <w:r w:rsidR="007A4205">
        <w:t xml:space="preserve"> </w:t>
      </w:r>
    </w:p>
    <w:p w:rsidR="00034B92" w:rsidRDefault="004C6D44">
      <w:r>
        <w:t xml:space="preserve">Thus, and in spite of the Brexit vote setback, the European Union is assuming an increasing number of features of a political entity, even as </w:t>
      </w:r>
      <w:r w:rsidR="00435BB9">
        <w:t xml:space="preserve">sovereignty still resides at the national level under the existing EU legal order and </w:t>
      </w:r>
      <w:r>
        <w:t>in the predominant</w:t>
      </w:r>
      <w:r w:rsidR="00435BB9">
        <w:t xml:space="preserve"> </w:t>
      </w:r>
      <w:r>
        <w:t xml:space="preserve">perception of </w:t>
      </w:r>
      <w:r w:rsidR="00435BB9">
        <w:t xml:space="preserve">the European public. </w:t>
      </w:r>
    </w:p>
    <w:p w:rsidR="00301A5A" w:rsidRDefault="00301A5A"/>
    <w:p w:rsidRPr="004C6D44" w:rsidR="004C6D44" w:rsidRDefault="004C6D44">
      <w:pPr>
        <w:rPr>
          <w:b/>
        </w:rPr>
      </w:pPr>
      <w:r w:rsidRPr="004C6D44">
        <w:rPr>
          <w:b/>
        </w:rPr>
        <w:t>Possible next steps: an agenda to strengthen the fourfold union</w:t>
      </w:r>
    </w:p>
    <w:p w:rsidR="004C6D44" w:rsidRDefault="001206BB">
      <w:r>
        <w:t>As the previous section</w:t>
      </w:r>
      <w:r>
        <w:t>’</w:t>
      </w:r>
      <w:r>
        <w:t xml:space="preserve">s stylized analysis illustrates, the fourfold union is a work in progress. It is not realistic to imagine it being fully completed in the foreseeable future. As any federal construct, the European integration process inherently produces hybrid systems in which different levels of governance are tangled together. With this in mind, the current state of the fourfold union is still unsatisfactory when measured against the stated goal at the start of the process five years ago, namely the </w:t>
      </w:r>
      <w:r>
        <w:t>“</w:t>
      </w:r>
      <w:r>
        <w:t>imperative to break the vicious circle between banks and sovereigns.</w:t>
      </w:r>
      <w:r>
        <w:t>”</w:t>
      </w:r>
      <w:r>
        <w:t xml:space="preserve"> Reaching that aim should be the guiding objective of European leaders in their next steps of decision-making. </w:t>
      </w:r>
    </w:p>
    <w:p w:rsidRPr="00DB304F" w:rsidR="00DB304F" w:rsidRDefault="00DB304F">
      <w:pPr>
        <w:rPr>
          <w:i/>
        </w:rPr>
      </w:pPr>
      <w:r w:rsidRPr="00DB304F">
        <w:rPr>
          <w:i/>
        </w:rPr>
        <w:t>The 2018 opportunity</w:t>
      </w:r>
    </w:p>
    <w:p w:rsidR="00DB304F" w:rsidRDefault="001206BB">
      <w:r>
        <w:t>In several ways, the coming 12-18 months represent an exceptional o</w:t>
      </w:r>
      <w:r w:rsidR="00C154B5">
        <w:t xml:space="preserve">pportunity for European reform. Brexit is a </w:t>
      </w:r>
      <w:r w:rsidR="00B719C9">
        <w:t xml:space="preserve">complex </w:t>
      </w:r>
      <w:r w:rsidR="00C154B5">
        <w:t>negotiation but no longer a systemic risk for the EU27 countries that will remain in the union if and when the UK leaves it. The two largest countries of the EU27, France and Germany, will enter this period with fresh government mandates following this year</w:t>
      </w:r>
      <w:r w:rsidR="00C154B5">
        <w:t>’</w:t>
      </w:r>
      <w:r w:rsidR="00C154B5">
        <w:t>s election cycle.</w:t>
      </w:r>
      <w:r w:rsidR="00D23D53">
        <w:rPr>
          <w:rStyle w:val="FootnoteReference"/>
        </w:rPr>
        <w:footnoteReference w:id="13"/>
      </w:r>
      <w:r w:rsidR="00C154B5">
        <w:t xml:space="preserve"> </w:t>
      </w:r>
      <w:r w:rsidR="00355AA3">
        <w:t xml:space="preserve">For them and several other member states, the next significant </w:t>
      </w:r>
      <w:r w:rsidR="009E023A">
        <w:t xml:space="preserve">political </w:t>
      </w:r>
      <w:r w:rsidR="00355AA3">
        <w:t xml:space="preserve">deadline is the European </w:t>
      </w:r>
      <w:r w:rsidR="009E023A">
        <w:t>p</w:t>
      </w:r>
      <w:r w:rsidR="00355AA3">
        <w:t xml:space="preserve">arliamentary election of 2019, which may focus public debates on the EU policy agenda. </w:t>
      </w:r>
    </w:p>
    <w:p w:rsidR="00355AA3" w:rsidRDefault="00355AA3">
      <w:r>
        <w:t xml:space="preserve">This political context coincides with the end of the decade-long phase of widespread banking system fragility, as suggested in the previous section. This implies </w:t>
      </w:r>
      <w:r w:rsidR="00B719C9">
        <w:t xml:space="preserve">both </w:t>
      </w:r>
      <w:r>
        <w:t>that discussions about policy options need no longer be dominated by legacy issues</w:t>
      </w:r>
      <w:r w:rsidR="00B719C9">
        <w:t>, and that the euro area</w:t>
      </w:r>
      <w:r w:rsidR="00B719C9">
        <w:t>’</w:t>
      </w:r>
      <w:r w:rsidR="00B719C9">
        <w:t>s present economic recovery is likely to remain robust</w:t>
      </w:r>
      <w:r w:rsidR="00462DC5">
        <w:t xml:space="preserve"> for some time</w:t>
      </w:r>
      <w:r>
        <w:t xml:space="preserve">. Meanwhile, memories of the crisis are still vivid and may be enough to prevent complacency leading to inaction. A less than benign </w:t>
      </w:r>
      <w:r w:rsidR="00462DC5">
        <w:t xml:space="preserve">geopolitical </w:t>
      </w:r>
      <w:r>
        <w:t xml:space="preserve">environment may also incentivize the European Union to put its house in order. </w:t>
      </w:r>
    </w:p>
    <w:p w:rsidR="00803A11" w:rsidP="00803A11" w:rsidRDefault="00803A11">
      <w:r>
        <w:t xml:space="preserve">Specifically, the view that the banking union would be initially a </w:t>
      </w:r>
      <w:r>
        <w:t>“</w:t>
      </w:r>
      <w:r>
        <w:t>timber-framed</w:t>
      </w:r>
      <w:r>
        <w:t>”</w:t>
      </w:r>
      <w:r>
        <w:t xml:space="preserve"> construction and that it would take more time to build a more solid </w:t>
      </w:r>
      <w:r>
        <w:t>“</w:t>
      </w:r>
      <w:r>
        <w:t>steel-framed</w:t>
      </w:r>
      <w:r>
        <w:t>”</w:t>
      </w:r>
      <w:r>
        <w:t xml:space="preserve"> version was memorably propounded by Germany</w:t>
      </w:r>
      <w:r>
        <w:t>’</w:t>
      </w:r>
      <w:r>
        <w:t>s finance minister in a May</w:t>
      </w:r>
      <w:r>
        <w:t> </w:t>
      </w:r>
      <w:r>
        <w:t>2013 article (Sch</w:t>
      </w:r>
      <w:r>
        <w:t>ä</w:t>
      </w:r>
      <w:r>
        <w:t xml:space="preserve">uble, 2013). The argument was that the arrangements for the </w:t>
      </w:r>
      <w:r w:rsidR="009E023A">
        <w:t xml:space="preserve">banking union </w:t>
      </w:r>
      <w:r>
        <w:t xml:space="preserve">should </w:t>
      </w:r>
      <w:r w:rsidR="009E023A">
        <w:t xml:space="preserve">initially </w:t>
      </w:r>
      <w:r>
        <w:t xml:space="preserve">be pragmatic and somewhat ad hoc, and that a later phase would </w:t>
      </w:r>
      <w:r w:rsidR="009E023A">
        <w:t xml:space="preserve">make it </w:t>
      </w:r>
      <w:r>
        <w:t xml:space="preserve">possible to achieve </w:t>
      </w:r>
      <w:r>
        <w:t>“</w:t>
      </w:r>
      <w:r>
        <w:t>our long-term goal: a truly European and supranational banking union, with strong, central authorities</w:t>
      </w:r>
      <w:r>
        <w:t>”</w:t>
      </w:r>
      <w:r>
        <w:t xml:space="preserve">. Now that the legacy of </w:t>
      </w:r>
      <w:r w:rsidR="009E023A">
        <w:t xml:space="preserve">the </w:t>
      </w:r>
      <w:r>
        <w:t xml:space="preserve">crisis </w:t>
      </w:r>
      <w:r w:rsidR="009E023A">
        <w:t xml:space="preserve">is being </w:t>
      </w:r>
      <w:r>
        <w:t xml:space="preserve">convincingly addressed, with a number of remaining situations to handle but none of them a systemic concern any more, this vision can be used as a guide for the next phase of reform. </w:t>
      </w:r>
    </w:p>
    <w:p w:rsidR="00462DC5" w:rsidRDefault="00355AA3">
      <w:r>
        <w:t xml:space="preserve">Of course, awkward political developments are still possible, and even </w:t>
      </w:r>
      <w:r w:rsidR="00B719C9">
        <w:t>probable</w:t>
      </w:r>
      <w:r>
        <w:t xml:space="preserve">, in the 12-18 months ahead. Several member states, Italy the largest among them, will hold national elections whose outcome is currently hard to predict. The tensions over the Catalonian independence movement in Spain appear </w:t>
      </w:r>
      <w:r w:rsidR="00B719C9">
        <w:t xml:space="preserve">set </w:t>
      </w:r>
      <w:r>
        <w:t xml:space="preserve">to escalate, as do those about EU rule-of-law breaches in Hungary and Poland. Compared with the last ten years of intensive fire-fighting, however, these risks are comparably limited in scope. </w:t>
      </w:r>
    </w:p>
    <w:p w:rsidRPr="00DB304F" w:rsidR="00DB304F" w:rsidRDefault="00DB304F">
      <w:pPr>
        <w:rPr>
          <w:i/>
        </w:rPr>
      </w:pPr>
      <w:r w:rsidRPr="00DB304F">
        <w:rPr>
          <w:i/>
        </w:rPr>
        <w:t>The core bargain: from timber-framed to steel-framed banking union</w:t>
      </w:r>
    </w:p>
    <w:p w:rsidR="00803A11" w:rsidRDefault="00803A11">
      <w:r>
        <w:t>As noted above, breaking the bank-sovereign vicious circle is the core purpose of the banking union</w:t>
      </w:r>
      <w:r w:rsidR="00462DC5">
        <w:t xml:space="preserve"> project</w:t>
      </w:r>
      <w:r>
        <w:t>, but has not been achieve</w:t>
      </w:r>
      <w:r w:rsidR="00462DC5">
        <w:t>d</w:t>
      </w:r>
      <w:r>
        <w:t xml:space="preserve"> yet with the establishment of the SSM and SRM. The most direct bank-sovereign linkages are through national deposit insurance schemes on the one hand, and the high home bias in banks</w:t>
      </w:r>
      <w:r>
        <w:t>’</w:t>
      </w:r>
      <w:r>
        <w:t xml:space="preserve"> sovereign exposures on the other hand. The next phase of reform should address both those issues simultaneously. </w:t>
      </w:r>
    </w:p>
    <w:p w:rsidR="00803A11" w:rsidRDefault="00803A11">
      <w:r>
        <w:t>This would be aligned with the rhetorical emphasis promoted by the German government</w:t>
      </w:r>
      <w:r w:rsidR="00F5113F">
        <w:rPr>
          <w:rStyle w:val="FootnoteReference"/>
        </w:rPr>
        <w:footnoteReference w:id="14"/>
      </w:r>
      <w:r>
        <w:t xml:space="preserve"> of matching risk-sharing with risk-reduction, or perhaps more specifically, greater market discipline.</w:t>
      </w:r>
      <w:r>
        <w:rPr>
          <w:rStyle w:val="FootnoteReference"/>
        </w:rPr>
        <w:footnoteReference w:id="15"/>
      </w:r>
      <w:r>
        <w:t xml:space="preserve"> </w:t>
      </w:r>
      <w:r w:rsidR="007F5A8F">
        <w:t>Regulatory curbs on banks</w:t>
      </w:r>
      <w:r w:rsidR="007F5A8F">
        <w:t>’</w:t>
      </w:r>
      <w:r w:rsidR="007F5A8F">
        <w:t xml:space="preserve"> sovereign exposures would not only mitigate the bank-sovereign vicious circle in crisis situations, making it plausible that banks could survive a sovereign debt restructuring in their home country.</w:t>
      </w:r>
      <w:r w:rsidR="00F5113F">
        <w:rPr>
          <w:rStyle w:val="FootnoteReference"/>
        </w:rPr>
        <w:footnoteReference w:id="16"/>
      </w:r>
      <w:r w:rsidR="007F5A8F">
        <w:t xml:space="preserve"> The curbs would also result in significantly enhanced market discipline for the sovereign issuers themselves, since there would no longer be a presumption that domestic banks would act as buyers of last (or next-to-last) resort of their debt. In turn, the weakening of that link can be expected to reduce the governments</w:t>
      </w:r>
      <w:r w:rsidR="007F5A8F">
        <w:t>’</w:t>
      </w:r>
      <w:r w:rsidR="007F5A8F">
        <w:t xml:space="preserve"> incentives to insist on guarantees of the banks</w:t>
      </w:r>
      <w:r w:rsidR="007F5A8F">
        <w:t>’</w:t>
      </w:r>
      <w:r w:rsidR="007F5A8F">
        <w:t xml:space="preserve"> uninsured liabilities. As a risk-sharing complement to the sovereign exposure curbs legislation, the transfer from the national to the European level of the explicit insurance of covered deposits would eliminate the most direct channel of bank-to-sovereign contagion. </w:t>
      </w:r>
    </w:p>
    <w:p w:rsidR="007F5A8F" w:rsidRDefault="007F5A8F">
      <w:r>
        <w:t>As for the latter, the European Commission in November 2015 published a well-designed legislative proposal for a European Deposit Insurance Scheme</w:t>
      </w:r>
      <w:r w:rsidR="00F5113F">
        <w:t xml:space="preserve"> (EDIS)</w:t>
      </w:r>
      <w:r>
        <w:t xml:space="preserve">, with a decade-long transition towards a fully European framework divided in two phases of re-insurance and co-insurance respectively. But no comparably detailed proposal has been made so far on </w:t>
      </w:r>
      <w:r w:rsidR="00F5113F">
        <w:t>sovereign exposure curbs. This gap should be addressed as soon as possible for an appropriate debate in preparation of a balanced policy package to be endorsed at the political level in the course of 2018.</w:t>
      </w:r>
      <w:r w:rsidR="00F5113F">
        <w:rPr>
          <w:rStyle w:val="FootnoteReference"/>
        </w:rPr>
        <w:footnoteReference w:id="17"/>
      </w:r>
      <w:r w:rsidR="00F5113F">
        <w:t xml:space="preserve"> </w:t>
      </w:r>
    </w:p>
    <w:p w:rsidR="00F5113F" w:rsidRDefault="00F5113F">
      <w:r>
        <w:t xml:space="preserve">Sovereign exposure curbs on the </w:t>
      </w:r>
      <w:r w:rsidR="00964D14">
        <w:t xml:space="preserve">one hand, and EDIS on the other hand, would form the core of the bargain, but additional initiatives are desirable. On the market-discipline side, the European Commission should tighten its state aid control framework by going further in the direction of senior debt bail-in than in the currently applicable Banking Communication of 2013; the SRB should be made responsible not only for the decision on resolution schemes, as is already the case, but also for their execution, which is currently left to national authorities; </w:t>
      </w:r>
      <w:r w:rsidR="000E2DE7">
        <w:t xml:space="preserve">all banks in the banking union should be required to use International Financial Standards (IFRS) to achieve better accounting transparency and comparability; </w:t>
      </w:r>
      <w:r w:rsidR="00964D14">
        <w:t>and an effort should be initiated to harmonize bank insolvency law, with the long-term aim of an eventual single bank insolvency regime for the entire banking union area.</w:t>
      </w:r>
      <w:r w:rsidR="00964D14">
        <w:rPr>
          <w:rStyle w:val="FootnoteReference"/>
        </w:rPr>
        <w:footnoteReference w:id="18"/>
      </w:r>
      <w:r w:rsidR="00964D14">
        <w:t xml:space="preserve"> </w:t>
      </w:r>
      <w:r w:rsidR="0011003D">
        <w:t>On the risk-sharing side, the ESM should be explicitly mandated to provide a backstop to both the SRF and the joint Deposit Insurance Fund that would be created as part of EDIS. The Direct Recapitalisation Guideline (ESM, 2014) should also be amended to allow the ESM to participate in precautionary recapitalisations (as defined in Article</w:t>
      </w:r>
      <w:r w:rsidR="0011003D">
        <w:t> </w:t>
      </w:r>
      <w:r w:rsidR="0011003D">
        <w:t xml:space="preserve">32 of BRRD), which would mitigate that specific bank-sovereign linkage and also instill better financial discipline into </w:t>
      </w:r>
      <w:r w:rsidR="009E023A">
        <w:t xml:space="preserve">such </w:t>
      </w:r>
      <w:r w:rsidR="0011003D">
        <w:t>recapitalisation process</w:t>
      </w:r>
      <w:r w:rsidR="00462DC5">
        <w:t>es</w:t>
      </w:r>
      <w:r w:rsidR="0011003D">
        <w:t xml:space="preserve">. </w:t>
      </w:r>
    </w:p>
    <w:p w:rsidRPr="00803A11" w:rsidR="0011003D" w:rsidRDefault="0011003D">
      <w:r>
        <w:t xml:space="preserve">Importantly, none of these measures require </w:t>
      </w:r>
      <w:r w:rsidR="009E023A">
        <w:t>a treaty change. They w</w:t>
      </w:r>
      <w:r>
        <w:t>ould be adopted as EU internal market legislation (i.e. with qualified-majority voting in the Council), or by decision of the European Commission and the ESM respectively for the changes to the Banking Communication and to the Direct Recapitalisation Guideline. In this respect, the build-up of a steel-framed banking union can actually be easier than had been envisaged by Mr Sch</w:t>
      </w:r>
      <w:r>
        <w:t>ä</w:t>
      </w:r>
      <w:r>
        <w:t xml:space="preserve">uble in his above-mentioned article of 2013, when he opined that treaty change would be needed to </w:t>
      </w:r>
      <w:r w:rsidR="00462DC5">
        <w:t xml:space="preserve">eventually deliver on his </w:t>
      </w:r>
      <w:r>
        <w:t xml:space="preserve">long-term vision. </w:t>
      </w:r>
    </w:p>
    <w:p w:rsidRPr="00DB304F" w:rsidR="00DB304F" w:rsidRDefault="00DB304F">
      <w:pPr>
        <w:rPr>
          <w:i/>
        </w:rPr>
      </w:pPr>
      <w:r w:rsidRPr="00DB304F">
        <w:rPr>
          <w:i/>
        </w:rPr>
        <w:t>Complementary reforms under the fourfold vision</w:t>
      </w:r>
    </w:p>
    <w:p w:rsidR="00DB304F" w:rsidRDefault="000E2DE7">
      <w:r>
        <w:t xml:space="preserve">Because the bank-sovereign vicious circle was the greatest fragility of EMU that was revealed </w:t>
      </w:r>
      <w:r w:rsidR="00462DC5">
        <w:t xml:space="preserve">in </w:t>
      </w:r>
      <w:r>
        <w:t>the ten years of crisis, addressing it as suggested above should take priority in the agenda for EMU reform. But as the assessment in the previous section suggests, it is far from the only are</w:t>
      </w:r>
      <w:r w:rsidR="00462DC5">
        <w:t>a</w:t>
      </w:r>
      <w:r>
        <w:t xml:space="preserve"> where reform is evidently needed. </w:t>
      </w:r>
    </w:p>
    <w:p w:rsidR="003D3023" w:rsidRDefault="003D3023">
      <w:r>
        <w:t>For the financial union, a necessary next step would be the reform of the governance and funding of ESMA to transform it into an independent, authoritative and well-resourced supervisor. This would then pave the way for an expansion of its supervisory authority to markets segments and matters of conduct of business which are currently the remit of national authorities. Such a reform would in turn powerfully contribute to integration and convergence in the capital markets area and thus to the European Commission of a capital markets union as a necessary complement to banking union (see e.g. Const</w:t>
      </w:r>
      <w:r>
        <w:t>â</w:t>
      </w:r>
      <w:r>
        <w:t xml:space="preserve">ncio, 2017). </w:t>
      </w:r>
    </w:p>
    <w:p w:rsidR="003D3023" w:rsidRDefault="003D3023">
      <w:r>
        <w:t>For the fiscal union, the introduction of sovereign exposure curbs would, as mentioned above, significantly strengthen market discipline for sovereign issuers and thus create powerful incentives for fiscal discipline. Also in order to improve market discipline, a proper accounting and auditing framework should be introduced for sovereigns in the euro area, i.e. the standards under which government and national accounts are prepared should be further harmonized, and most importantly, the European institutions should be more directly involved in these numbers</w:t>
      </w:r>
      <w:r>
        <w:t>’</w:t>
      </w:r>
      <w:r>
        <w:t xml:space="preserve"> review and possibly in their preparation as well. </w:t>
      </w:r>
      <w:r w:rsidR="004735D4">
        <w:t xml:space="preserve">The size of the ESM should also be increased so that it can more credibly face crisis scenarios involving the larger member states of the euro area. As a counterpart to the increased market discipline, a reform of the existing framework based on EU-level administrative disciplines could be envisaged in order to reduce the gap between its stated purpose and its limited enforceability as revealed by the recent episodes. </w:t>
      </w:r>
    </w:p>
    <w:p w:rsidR="004735D4" w:rsidRDefault="004735D4">
      <w:r>
        <w:t xml:space="preserve">For the economic union, the early success of the SSM and SRM should be used as a </w:t>
      </w:r>
      <w:r>
        <w:t>“</w:t>
      </w:r>
      <w:r>
        <w:t>proof of concept</w:t>
      </w:r>
      <w:r>
        <w:t>”</w:t>
      </w:r>
      <w:r>
        <w:t xml:space="preserve"> </w:t>
      </w:r>
      <w:r w:rsidR="00CE3ADE">
        <w:t xml:space="preserve">for the development of European agencies with direct supervisory and enforcement authority in other sectors in which the national implementation of even harmonized rules contributes to cross-border market fragmentation. This is the case in a significant number of regulated services sectors, including electricity and gas transport and distribution, rail transport, and increasingly crucially, digital services in matters of privacy and data protection. For decades, the received wisdom in the European Union, including for financial services, was that supranational supervision and enforcement was desirable but politically impossible. Now that the banking union has demonstrated that it can work in practice as well as in theory, this insight could form the basis for a significant push forwards for the EU single market. </w:t>
      </w:r>
      <w:r w:rsidR="009E023A">
        <w:t>Simultaneously, an EU-level legislative framework for the security review of foreign direct investment should be introduced, even if the actual assessments remain predominantly made at the national level in the immediate future.</w:t>
      </w:r>
      <w:r w:rsidR="009E023A">
        <w:rPr>
          <w:rStyle w:val="FootnoteReference"/>
        </w:rPr>
        <w:footnoteReference w:id="19"/>
      </w:r>
      <w:r w:rsidR="009E023A">
        <w:t xml:space="preserve"> </w:t>
      </w:r>
    </w:p>
    <w:p w:rsidR="00E9614F" w:rsidRDefault="00CE3ADE">
      <w:r>
        <w:t>As for politics and institutions, public accountability of EU agencies and the scrutiny of the European Parliament should be enhanced. For example, in a reform of the governance of ESMA, a more compact board of, say, five to seven members should be created to replace the current unwieldy and intergovernmental Supervisory Board, and its members should be vetted by the European Parliament</w:t>
      </w:r>
      <w:r w:rsidR="009E023A">
        <w:t>,</w:t>
      </w:r>
      <w:r>
        <w:t xml:space="preserve"> as is the case for the SRB</w:t>
      </w:r>
      <w:r w:rsidR="009E023A">
        <w:t>’</w:t>
      </w:r>
      <w:r w:rsidR="009E023A">
        <w:t>s full-time Board members</w:t>
      </w:r>
      <w:r>
        <w:t xml:space="preserve"> or for the chair and vice chair of the SSM Supervisory Board. On a different level and to strengthen the legitimacy and credibility of EU institutions, France and the other members member states should renounce the European Parliament seat in Strasbourg and accept Brussels as the single venue for that institution, thus putting an end to the monthly migration that unnecessarily exposes the EU democratic process to the charge of wastefulness. </w:t>
      </w:r>
    </w:p>
    <w:p w:rsidR="00CE3ADE" w:rsidRDefault="00E9614F">
      <w:r>
        <w:t xml:space="preserve">Most </w:t>
      </w:r>
      <w:r w:rsidR="009E023A">
        <w:t>significant</w:t>
      </w:r>
      <w:r>
        <w:t xml:space="preserve"> in the near term for </w:t>
      </w:r>
      <w:r>
        <w:t>“</w:t>
      </w:r>
      <w:r>
        <w:t>political union</w:t>
      </w:r>
      <w:r>
        <w:t>”</w:t>
      </w:r>
      <w:r>
        <w:t xml:space="preserve">, however, will be the 2019 European </w:t>
      </w:r>
      <w:r w:rsidR="009E023A">
        <w:t>p</w:t>
      </w:r>
      <w:r>
        <w:t xml:space="preserve">arliamentary election, as this will be the first time that the vote will be explicitly and (presumably) unquestionably framed by the </w:t>
      </w:r>
      <w:r>
        <w:t>“</w:t>
      </w:r>
      <w:r>
        <w:t>lead candidate</w:t>
      </w:r>
      <w:r>
        <w:t>”</w:t>
      </w:r>
      <w:r>
        <w:t xml:space="preserve"> system introduced under the Lisbon Treaty, and thus a vote for the quasi-executive function of President of the European Commission. How much cross-border political mobilization results from this new system will be important, not only for the perception and role of the European Parliament and Commission, but also more generally for the evolving debate about the democratic drivers of EU policymaking. </w:t>
      </w:r>
    </w:p>
    <w:p w:rsidRPr="008411AC" w:rsidR="008411AC" w:rsidRDefault="008411AC">
      <w:pPr>
        <w:rPr>
          <w:i/>
        </w:rPr>
      </w:pPr>
      <w:r w:rsidRPr="008411AC">
        <w:rPr>
          <w:i/>
        </w:rPr>
        <w:t xml:space="preserve">More ambition for fiscal union? </w:t>
      </w:r>
    </w:p>
    <w:p w:rsidR="00DB304F" w:rsidRDefault="00E9614F">
      <w:r>
        <w:t xml:space="preserve">The last point, on the 2019 European </w:t>
      </w:r>
      <w:r w:rsidR="009E023A">
        <w:t>p</w:t>
      </w:r>
      <w:r>
        <w:t>arliamentary election, hints at why the above recommendations may appear somewhat unambitious in the area of fiscal union, compared with widely publicized recent suggestions of European safe bonds, a euro area fiscal capacity or rbudget, a European Monetary Fund, and</w:t>
      </w:r>
      <w:r w:rsidR="009E023A">
        <w:t>/or</w:t>
      </w:r>
      <w:r>
        <w:t xml:space="preserve"> an assorted euro-area finance minister. The underlying analysis is that the euro area and European Union are politically </w:t>
      </w:r>
      <w:r w:rsidR="00B6589C">
        <w:t xml:space="preserve">prepared </w:t>
      </w:r>
      <w:r>
        <w:t xml:space="preserve">for the steps suggested combining risk sharing and market discipline, and thus for the shift from the present </w:t>
      </w:r>
      <w:r>
        <w:t>“</w:t>
      </w:r>
      <w:r>
        <w:t>timber-framed</w:t>
      </w:r>
      <w:r>
        <w:t>”</w:t>
      </w:r>
      <w:r>
        <w:t xml:space="preserve"> to a </w:t>
      </w:r>
      <w:r>
        <w:t>“</w:t>
      </w:r>
      <w:r>
        <w:t>steel-framed</w:t>
      </w:r>
      <w:r>
        <w:t>”</w:t>
      </w:r>
      <w:r>
        <w:t xml:space="preserve"> banking union, but that the same may not be true when it comes to the ability to tax and spend, or fiscal sovereignty. </w:t>
      </w:r>
    </w:p>
    <w:p w:rsidR="00B6589C" w:rsidRDefault="00B6589C">
      <w:r>
        <w:t xml:space="preserve">This assessment may underestimate the readiness of the European body politic for a major step forward towards fiscal integration. Even so, it appears prudent to reserve the political window of opportunity of 2018 for projects that have a reasonably high likelihood of practical feasibility. If the 2019 European </w:t>
      </w:r>
      <w:r w:rsidR="009E023A">
        <w:t xml:space="preserve">parliamentary </w:t>
      </w:r>
      <w:r>
        <w:t xml:space="preserve">election result signals a limited, or perhaps even declining, commitment of the European public to EU integration, such prudence will have been </w:t>
      </w:r>
      <w:r w:rsidR="009E023A">
        <w:t>vindicated</w:t>
      </w:r>
      <w:r>
        <w:t>. If, on the other hand, the election outcome suggests a greater appetite than is now generally perceived for joint steps towards greater togetherness, then it will be time to consider bolder reforms of the fiscal framework</w:t>
      </w:r>
      <w:r w:rsidR="009E023A">
        <w:t>, b</w:t>
      </w:r>
      <w:r>
        <w:t xml:space="preserve">ut arguably not before. </w:t>
      </w:r>
    </w:p>
    <w:p w:rsidR="00B6589C" w:rsidRDefault="00B6589C"/>
    <w:p w:rsidRPr="005C70B7" w:rsidR="00393A77" w:rsidRDefault="00393A77">
      <w:pPr>
        <w:rPr>
          <w:b/>
        </w:rPr>
      </w:pPr>
      <w:r w:rsidRPr="005C70B7">
        <w:rPr>
          <w:b/>
        </w:rPr>
        <w:t>References</w:t>
      </w:r>
    </w:p>
    <w:p w:rsidR="003D3023" w:rsidP="003D3023" w:rsidRDefault="003D3023">
      <w:r>
        <w:t>Const</w:t>
      </w:r>
      <w:r>
        <w:t>â</w:t>
      </w:r>
      <w:r>
        <w:t xml:space="preserve">ncio, Vitor (2017), </w:t>
      </w:r>
      <w:r>
        <w:t>“</w:t>
      </w:r>
      <w:r>
        <w:t>Synergies between banking union and capital markets union</w:t>
      </w:r>
      <w:r>
        <w:t>”</w:t>
      </w:r>
      <w:r>
        <w:t>, speech at the joint conference of the European Commission and European Central Bank on European Financial Integration,</w:t>
      </w:r>
      <w:r>
        <w:rPr>
          <w:bdr w:val="none" w:color="auto" w:sz="0" w:space="0" w:frame="1"/>
        </w:rPr>
        <w:t> </w:t>
      </w:r>
      <w:r>
        <w:t xml:space="preserve">Brussels, May 19, available at </w:t>
      </w:r>
      <w:hyperlink w:history="1" r:id="rId8">
        <w:r>
          <w:rPr>
            <w:rStyle w:val="Hyperlink"/>
          </w:rPr>
          <w:t>https://www.ecb.europa.eu/press/key/date/2017/html/ecb.sp170519_1.en.html</w:t>
        </w:r>
      </w:hyperlink>
      <w:r>
        <w:t xml:space="preserve">. </w:t>
      </w:r>
    </w:p>
    <w:p w:rsidR="007359DD" w:rsidRDefault="007359DD">
      <w:pPr>
        <w:rPr>
          <w:rFonts w:hAnsiTheme="minorHAnsi" w:cstheme="minorHAnsi"/>
          <w:szCs w:val="21"/>
        </w:rPr>
      </w:pPr>
      <w:r>
        <w:rPr>
          <w:rFonts w:hAnsiTheme="minorHAnsi" w:cstheme="minorHAnsi"/>
          <w:szCs w:val="21"/>
        </w:rPr>
        <w:t>ESM (2014), “</w:t>
      </w:r>
      <w:r>
        <w:t>Guideline on Financial Assistance for the Direct Recapitalisation of Institutions</w:t>
      </w:r>
      <w:r>
        <w:t>”</w:t>
      </w:r>
      <w:r w:rsidR="00C154B5">
        <w:t>,</w:t>
      </w:r>
      <w:r>
        <w:t xml:space="preserve"> Luxembourg: European Stability Mechanism, December</w:t>
      </w:r>
      <w:r>
        <w:t> </w:t>
      </w:r>
      <w:r>
        <w:t xml:space="preserve">8, available at </w:t>
      </w:r>
      <w:hyperlink w:history="1" r:id="rId9">
        <w:r w:rsidRPr="004A3E70">
          <w:rPr>
            <w:rStyle w:val="Hyperlink"/>
          </w:rPr>
          <w:t>https://www.esm.europa.eu/sites/default/files/20141208_guideline_on_financial_assistance_for_the_direct_recapitalisation_of_institutions.pdf</w:t>
        </w:r>
      </w:hyperlink>
      <w:r>
        <w:t xml:space="preserve">. </w:t>
      </w:r>
    </w:p>
    <w:p w:rsidR="00F34022" w:rsidRDefault="00F34022">
      <w:pPr>
        <w:rPr>
          <w:rFonts w:hAnsiTheme="minorHAnsi" w:cstheme="minorHAnsi"/>
          <w:szCs w:val="21"/>
        </w:rPr>
      </w:pPr>
      <w:r>
        <w:rPr>
          <w:rFonts w:hAnsiTheme="minorHAnsi" w:cstheme="minorHAnsi"/>
          <w:szCs w:val="21"/>
        </w:rPr>
        <w:t xml:space="preserve">Euro Area Summit Statement (2012), Brussels, June 29, available at </w:t>
      </w:r>
      <w:hyperlink w:history="1" r:id="rId10">
        <w:r w:rsidRPr="004A3E70">
          <w:rPr>
            <w:rStyle w:val="Hyperlink"/>
            <w:rFonts w:hAnsiTheme="minorHAnsi" w:cstheme="minorHAnsi"/>
            <w:szCs w:val="21"/>
          </w:rPr>
          <w:t>https://www.bankingsupervision.europa.eu/about/milestones/shared/pdf/2012-06-29_euro_area_summit_statement_en.pdf</w:t>
        </w:r>
      </w:hyperlink>
      <w:r>
        <w:rPr>
          <w:rFonts w:hAnsiTheme="minorHAnsi" w:cstheme="minorHAnsi"/>
          <w:szCs w:val="21"/>
        </w:rPr>
        <w:t xml:space="preserve">. </w:t>
      </w:r>
    </w:p>
    <w:p w:rsidR="00F5113F" w:rsidRDefault="00F5113F">
      <w:pPr>
        <w:rPr>
          <w:rFonts w:hAnsiTheme="minorHAnsi" w:cstheme="minorHAnsi"/>
          <w:szCs w:val="21"/>
        </w:rPr>
      </w:pPr>
      <w:r>
        <w:rPr>
          <w:rFonts w:hAnsiTheme="minorHAnsi" w:cstheme="minorHAnsi"/>
          <w:szCs w:val="21"/>
        </w:rPr>
        <w:t xml:space="preserve">European Commission (2017), “Reflection Paper on the Deepening of the Economic and Monetary Union”, Brussels, May 31, available at </w:t>
      </w:r>
      <w:hyperlink w:history="1" r:id="rId11">
        <w:r w:rsidRPr="004A3E70">
          <w:rPr>
            <w:rStyle w:val="Hyperlink"/>
            <w:rFonts w:hAnsiTheme="minorHAnsi" w:cstheme="minorHAnsi"/>
            <w:szCs w:val="21"/>
          </w:rPr>
          <w:t>https://ec.europa.eu/commission/sites/beta-political/files/reflection-paper-emu_en.pdf</w:t>
        </w:r>
      </w:hyperlink>
      <w:r>
        <w:rPr>
          <w:rFonts w:hAnsiTheme="minorHAnsi" w:cstheme="minorHAnsi"/>
          <w:szCs w:val="21"/>
        </w:rPr>
        <w:t xml:space="preserve">. </w:t>
      </w:r>
    </w:p>
    <w:p w:rsidRPr="005C70B7" w:rsidR="00393A77" w:rsidRDefault="00393A77">
      <w:pPr>
        <w:rPr>
          <w:rFonts w:hAnsiTheme="minorHAnsi" w:cstheme="minorHAnsi"/>
          <w:szCs w:val="21"/>
        </w:rPr>
      </w:pPr>
      <w:r w:rsidRPr="005C70B7">
        <w:rPr>
          <w:rFonts w:hAnsiTheme="minorHAnsi" w:cstheme="minorHAnsi"/>
          <w:szCs w:val="21"/>
        </w:rPr>
        <w:t>Mody, Ashoka</w:t>
      </w:r>
      <w:r w:rsidR="005C70B7">
        <w:rPr>
          <w:rFonts w:hAnsiTheme="minorHAnsi" w:cstheme="minorHAnsi"/>
          <w:szCs w:val="21"/>
        </w:rPr>
        <w:t xml:space="preserve"> (</w:t>
      </w:r>
      <w:r w:rsidRPr="005C70B7">
        <w:rPr>
          <w:rFonts w:hAnsiTheme="minorHAnsi" w:cstheme="minorHAnsi"/>
          <w:szCs w:val="21"/>
        </w:rPr>
        <w:t>2009</w:t>
      </w:r>
      <w:r w:rsidR="005C70B7">
        <w:rPr>
          <w:rFonts w:hAnsiTheme="minorHAnsi" w:cstheme="minorHAnsi"/>
          <w:szCs w:val="21"/>
        </w:rPr>
        <w:t>),</w:t>
      </w:r>
      <w:r w:rsidRPr="005C70B7">
        <w:rPr>
          <w:rFonts w:hAnsiTheme="minorHAnsi" w:cstheme="minorHAnsi"/>
          <w:szCs w:val="21"/>
        </w:rPr>
        <w:t xml:space="preserve"> “From Bear Stearns to Anglo Irish: How Eurozone Sovereign Spreads Related to Financial Sector Vulnerability” </w:t>
      </w:r>
      <w:r w:rsidR="00C154B5">
        <w:rPr>
          <w:rFonts w:hAnsiTheme="minorHAnsi" w:cstheme="minorHAnsi"/>
          <w:szCs w:val="21"/>
        </w:rPr>
        <w:t>,</w:t>
      </w:r>
      <w:r w:rsidRPr="005C70B7">
        <w:rPr>
          <w:rFonts w:hAnsiTheme="minorHAnsi" w:cstheme="minorHAnsi"/>
          <w:szCs w:val="21"/>
        </w:rPr>
        <w:t>IMF Working Paper WP/09/108, Washington</w:t>
      </w:r>
      <w:r w:rsidR="005C70B7">
        <w:rPr>
          <w:rFonts w:hAnsiTheme="minorHAnsi" w:cstheme="minorHAnsi"/>
          <w:szCs w:val="21"/>
        </w:rPr>
        <w:t xml:space="preserve">: International Monetary Fund, </w:t>
      </w:r>
      <w:r w:rsidRPr="005C70B7" w:rsidR="005C70B7">
        <w:rPr>
          <w:rFonts w:hAnsiTheme="minorHAnsi" w:cstheme="minorHAnsi"/>
          <w:szCs w:val="21"/>
        </w:rPr>
        <w:t>May</w:t>
      </w:r>
      <w:r w:rsidR="00F34022">
        <w:rPr>
          <w:rFonts w:hAnsiTheme="minorHAnsi" w:cstheme="minorHAnsi"/>
          <w:szCs w:val="21"/>
        </w:rPr>
        <w:t xml:space="preserve">, available at </w:t>
      </w:r>
      <w:hyperlink w:history="1" r:id="rId12">
        <w:r w:rsidRPr="004A3E70" w:rsidR="00F34022">
          <w:rPr>
            <w:rStyle w:val="Hyperlink"/>
            <w:rFonts w:hAnsiTheme="minorHAnsi" w:cstheme="minorHAnsi"/>
            <w:szCs w:val="21"/>
          </w:rPr>
          <w:t>https://www.imf.org/en/Publications/WP/Issues/2016/12/31/From-Bear-Stearns-to-Anglo-Irish-How-Eurozone-Sovereign-Spreads-Related-to-Financial-Sector-22959</w:t>
        </w:r>
      </w:hyperlink>
      <w:r w:rsidR="00F34022">
        <w:rPr>
          <w:rFonts w:hAnsiTheme="minorHAnsi" w:cstheme="minorHAnsi"/>
          <w:szCs w:val="21"/>
        </w:rPr>
        <w:t xml:space="preserve">. </w:t>
      </w:r>
    </w:p>
    <w:p w:rsidR="002210DF" w:rsidRDefault="002210DF">
      <w:pPr>
        <w:rPr>
          <w:rFonts w:hAnsiTheme="minorHAnsi" w:cstheme="minorHAnsi"/>
          <w:szCs w:val="21"/>
        </w:rPr>
      </w:pPr>
      <w:r>
        <w:rPr>
          <w:rFonts w:hAnsiTheme="minorHAnsi" w:cstheme="minorHAnsi"/>
          <w:szCs w:val="21"/>
        </w:rPr>
        <w:t xml:space="preserve">Röller, Lars-Hendrik, and Nicolas Véron (2008), “Safe and Sound: An EU Approach to Sovereign Investment”, Bruegel Policy Brief 2008/08, Brussels: Bruegel, November, available at </w:t>
      </w:r>
      <w:hyperlink w:history="1" r:id="rId13">
        <w:r w:rsidRPr="004A3E70">
          <w:rPr>
            <w:rStyle w:val="Hyperlink"/>
            <w:rFonts w:hAnsiTheme="minorHAnsi" w:cstheme="minorHAnsi"/>
            <w:szCs w:val="21"/>
          </w:rPr>
          <w:t>http://bruegel.org/2008/11/safe-and-sound-an-eu-approach-to-sovereign-investment/</w:t>
        </w:r>
      </w:hyperlink>
      <w:r>
        <w:rPr>
          <w:rFonts w:hAnsiTheme="minorHAnsi" w:cstheme="minorHAnsi"/>
          <w:szCs w:val="21"/>
        </w:rPr>
        <w:t xml:space="preserve">. </w:t>
      </w:r>
    </w:p>
    <w:p w:rsidR="00C154B5" w:rsidRDefault="00C154B5">
      <w:pPr>
        <w:rPr>
          <w:rFonts w:hAnsiTheme="minorHAnsi" w:cstheme="minorHAnsi"/>
          <w:szCs w:val="21"/>
        </w:rPr>
      </w:pPr>
      <w:r>
        <w:rPr>
          <w:rFonts w:hAnsiTheme="minorHAnsi" w:cstheme="minorHAnsi"/>
          <w:szCs w:val="21"/>
        </w:rPr>
        <w:t xml:space="preserve">Schäuble, Wolfgang (20213), “Banking union must be built on firm foundations”, </w:t>
      </w:r>
      <w:r w:rsidRPr="00C154B5">
        <w:rPr>
          <w:rFonts w:hAnsiTheme="minorHAnsi" w:cstheme="minorHAnsi"/>
          <w:i/>
          <w:szCs w:val="21"/>
        </w:rPr>
        <w:t>Financial Times</w:t>
      </w:r>
      <w:r>
        <w:rPr>
          <w:rFonts w:hAnsiTheme="minorHAnsi" w:cstheme="minorHAnsi"/>
          <w:szCs w:val="21"/>
        </w:rPr>
        <w:t xml:space="preserve">, May 12, available at </w:t>
      </w:r>
      <w:hyperlink w:history="1" r:id="rId14">
        <w:r w:rsidRPr="004A3E70">
          <w:rPr>
            <w:rStyle w:val="Hyperlink"/>
            <w:rFonts w:hAnsiTheme="minorHAnsi" w:cstheme="minorHAnsi"/>
            <w:szCs w:val="21"/>
          </w:rPr>
          <w:t>https://www.ft.co</w:t>
        </w:r>
        <w:r w:rsidRPr="004A3E70">
          <w:rPr>
            <w:rStyle w:val="Hyperlink"/>
            <w:rFonts w:hAnsiTheme="minorHAnsi" w:cstheme="minorHAnsi"/>
            <w:szCs w:val="21"/>
          </w:rPr>
          <w:t>m</w:t>
        </w:r>
        <w:r w:rsidRPr="004A3E70">
          <w:rPr>
            <w:rStyle w:val="Hyperlink"/>
            <w:rFonts w:hAnsiTheme="minorHAnsi" w:cstheme="minorHAnsi"/>
            <w:szCs w:val="21"/>
          </w:rPr>
          <w:t>/content/</w:t>
        </w:r>
        <w:r w:rsidRPr="004A3E70">
          <w:rPr>
            <w:rStyle w:val="Hyperlink"/>
            <w:rFonts w:hAnsiTheme="minorHAnsi" w:cstheme="minorHAnsi"/>
            <w:szCs w:val="21"/>
          </w:rPr>
          <w:t>8</w:t>
        </w:r>
        <w:r w:rsidRPr="004A3E70">
          <w:rPr>
            <w:rStyle w:val="Hyperlink"/>
            <w:rFonts w:hAnsiTheme="minorHAnsi" w:cstheme="minorHAnsi"/>
            <w:szCs w:val="21"/>
          </w:rPr>
          <w:t>bdaf6e8-b</w:t>
        </w:r>
        <w:r w:rsidRPr="004A3E70">
          <w:rPr>
            <w:rStyle w:val="Hyperlink"/>
            <w:rFonts w:hAnsiTheme="minorHAnsi" w:cstheme="minorHAnsi"/>
            <w:szCs w:val="21"/>
          </w:rPr>
          <w:t>8</w:t>
        </w:r>
        <w:r w:rsidRPr="004A3E70">
          <w:rPr>
            <w:rStyle w:val="Hyperlink"/>
            <w:rFonts w:hAnsiTheme="minorHAnsi" w:cstheme="minorHAnsi"/>
            <w:szCs w:val="21"/>
          </w:rPr>
          <w:t>9f-11e2-869f-00144feabdc0</w:t>
        </w:r>
      </w:hyperlink>
      <w:r>
        <w:rPr>
          <w:rFonts w:hAnsiTheme="minorHAnsi" w:cstheme="minorHAnsi"/>
          <w:szCs w:val="21"/>
        </w:rPr>
        <w:t xml:space="preserve">. </w:t>
      </w:r>
    </w:p>
    <w:p w:rsidR="00393A77" w:rsidRDefault="00393A77">
      <w:pPr>
        <w:rPr>
          <w:rFonts w:hAnsiTheme="minorHAnsi" w:cstheme="minorHAnsi"/>
          <w:szCs w:val="21"/>
        </w:rPr>
      </w:pPr>
      <w:r w:rsidRPr="005C70B7">
        <w:rPr>
          <w:rFonts w:hAnsiTheme="minorHAnsi" w:cstheme="minorHAnsi"/>
          <w:szCs w:val="21"/>
        </w:rPr>
        <w:t>Sgherri, Silvia, and Edda Zoli</w:t>
      </w:r>
      <w:r w:rsidR="005C70B7">
        <w:rPr>
          <w:rFonts w:hAnsiTheme="minorHAnsi" w:cstheme="minorHAnsi"/>
          <w:szCs w:val="21"/>
        </w:rPr>
        <w:t xml:space="preserve"> (</w:t>
      </w:r>
      <w:r w:rsidRPr="005C70B7">
        <w:rPr>
          <w:rFonts w:hAnsiTheme="minorHAnsi" w:cstheme="minorHAnsi"/>
          <w:szCs w:val="21"/>
        </w:rPr>
        <w:t>2010</w:t>
      </w:r>
      <w:r w:rsidR="005C70B7">
        <w:rPr>
          <w:rFonts w:hAnsiTheme="minorHAnsi" w:cstheme="minorHAnsi"/>
          <w:szCs w:val="21"/>
        </w:rPr>
        <w:t>)</w:t>
      </w:r>
      <w:r w:rsidRPr="005C70B7">
        <w:rPr>
          <w:rFonts w:hAnsiTheme="minorHAnsi" w:cstheme="minorHAnsi"/>
          <w:szCs w:val="21"/>
        </w:rPr>
        <w:t>, “Euro Area Sovereign Risk During the Crisis”</w:t>
      </w:r>
      <w:r w:rsidR="00C154B5">
        <w:rPr>
          <w:rFonts w:hAnsiTheme="minorHAnsi" w:cstheme="minorHAnsi"/>
          <w:szCs w:val="21"/>
        </w:rPr>
        <w:t>,</w:t>
      </w:r>
      <w:r w:rsidRPr="005C70B7">
        <w:rPr>
          <w:rFonts w:hAnsiTheme="minorHAnsi" w:cstheme="minorHAnsi"/>
          <w:szCs w:val="21"/>
        </w:rPr>
        <w:t xml:space="preserve"> IMF Working Paper WP/09/222, Washingto</w:t>
      </w:r>
      <w:r w:rsidR="005C70B7">
        <w:rPr>
          <w:rFonts w:hAnsiTheme="minorHAnsi" w:cstheme="minorHAnsi"/>
          <w:szCs w:val="21"/>
        </w:rPr>
        <w:t xml:space="preserve">n: International Monetary Fund, </w:t>
      </w:r>
      <w:r w:rsidRPr="005C70B7" w:rsidR="005C70B7">
        <w:rPr>
          <w:rFonts w:hAnsiTheme="minorHAnsi" w:cstheme="minorHAnsi"/>
          <w:szCs w:val="21"/>
        </w:rPr>
        <w:t>October</w:t>
      </w:r>
      <w:r w:rsidR="00F34022">
        <w:rPr>
          <w:rFonts w:hAnsiTheme="minorHAnsi" w:cstheme="minorHAnsi"/>
          <w:szCs w:val="21"/>
        </w:rPr>
        <w:t xml:space="preserve">, available at </w:t>
      </w:r>
      <w:hyperlink w:history="1" r:id="rId15">
        <w:r w:rsidRPr="004A3E70" w:rsidR="00F34022">
          <w:rPr>
            <w:rStyle w:val="Hyperlink"/>
            <w:rFonts w:hAnsiTheme="minorHAnsi" w:cstheme="minorHAnsi"/>
            <w:szCs w:val="21"/>
          </w:rPr>
          <w:t>https://www.imf.org/en/Publications/WP/Issues/2016/12/31/Euro-Area-Sovereign-Risk-During-the-Crisis-23325</w:t>
        </w:r>
      </w:hyperlink>
      <w:r w:rsidR="00F34022">
        <w:rPr>
          <w:rFonts w:hAnsiTheme="minorHAnsi" w:cstheme="minorHAnsi"/>
          <w:szCs w:val="21"/>
        </w:rPr>
        <w:t xml:space="preserve">. </w:t>
      </w:r>
    </w:p>
    <w:p w:rsidR="007E7F6F" w:rsidP="005C70B7" w:rsidRDefault="007E7F6F">
      <w:r>
        <w:t xml:space="preserve">Van Rompuy, Herman (2012a), </w:t>
      </w:r>
      <w:r>
        <w:t>“</w:t>
      </w:r>
      <w:r>
        <w:t>Towards a Genuine Economic and Monetary Union</w:t>
      </w:r>
      <w:r>
        <w:t>”</w:t>
      </w:r>
      <w:r>
        <w:t>, Brussels: European Council, June</w:t>
      </w:r>
      <w:r>
        <w:t> </w:t>
      </w:r>
      <w:r>
        <w:t>26</w:t>
      </w:r>
      <w:r w:rsidR="00F34022">
        <w:t xml:space="preserve">, available at </w:t>
      </w:r>
      <w:hyperlink w:history="1" r:id="rId16">
        <w:r w:rsidRPr="004A3E70" w:rsidR="00F34022">
          <w:rPr>
            <w:rStyle w:val="Hyperlink"/>
          </w:rPr>
          <w:t>http://www.consilium.europa.eu/en/workare</w:t>
        </w:r>
        <w:r w:rsidRPr="004A3E70" w:rsidR="00F34022">
          <w:rPr>
            <w:rStyle w:val="Hyperlink"/>
          </w:rPr>
          <w:t>a</w:t>
        </w:r>
        <w:r w:rsidRPr="004A3E70" w:rsidR="00F34022">
          <w:rPr>
            <w:rStyle w:val="Hyperlink"/>
          </w:rPr>
          <w:t>/downloadasset.aspx?id=17220</w:t>
        </w:r>
      </w:hyperlink>
      <w:r w:rsidR="00F34022">
        <w:t xml:space="preserve">. </w:t>
      </w:r>
    </w:p>
    <w:p w:rsidR="007E7F6F" w:rsidP="005C70B7" w:rsidRDefault="007E7F6F">
      <w:r>
        <w:t xml:space="preserve">Van Rompuy, Herman (2012b), </w:t>
      </w:r>
      <w:r>
        <w:t>“</w:t>
      </w:r>
      <w:r>
        <w:t>Towards a Genuine Economic and Monetary Union</w:t>
      </w:r>
      <w:r>
        <w:t>”</w:t>
      </w:r>
      <w:r>
        <w:t>, Brussels: European Council, December</w:t>
      </w:r>
      <w:r>
        <w:t> </w:t>
      </w:r>
      <w:r>
        <w:t>5</w:t>
      </w:r>
      <w:r w:rsidR="00F34022">
        <w:t xml:space="preserve">, available at </w:t>
      </w:r>
      <w:hyperlink w:history="1" r:id="rId17">
        <w:r w:rsidRPr="004A3E70" w:rsidR="00F34022">
          <w:rPr>
            <w:rStyle w:val="Hyperlink"/>
          </w:rPr>
          <w:t>http://www.consilium.europa</w:t>
        </w:r>
        <w:r w:rsidRPr="004A3E70" w:rsidR="00F34022">
          <w:rPr>
            <w:rStyle w:val="Hyperlink"/>
          </w:rPr>
          <w:t>.</w:t>
        </w:r>
        <w:r w:rsidRPr="004A3E70" w:rsidR="00F34022">
          <w:rPr>
            <w:rStyle w:val="Hyperlink"/>
          </w:rPr>
          <w:t>eu/uedocs/cms_Data/docs/pressdata/en/ec/134069.pdf</w:t>
        </w:r>
      </w:hyperlink>
      <w:r w:rsidR="00F34022">
        <w:t xml:space="preserve">. </w:t>
      </w:r>
    </w:p>
    <w:p w:rsidR="007E7F6F" w:rsidP="005C70B7" w:rsidRDefault="007E7F6F">
      <w:r>
        <w:t>V</w:t>
      </w:r>
      <w:r>
        <w:t>é</w:t>
      </w:r>
      <w:r>
        <w:t xml:space="preserve">ron, Nicolas (2012), </w:t>
      </w:r>
      <w:r>
        <w:t>“</w:t>
      </w:r>
      <w:r>
        <w:rPr>
          <w:rFonts w:ascii="TT15Et00" w:hAnsi="TT15Et00" w:cs="TT15Et00"/>
          <w:sz w:val="21"/>
          <w:szCs w:val="21"/>
        </w:rPr>
        <w:t>Challenges of Europe’s Fourfold Union”</w:t>
      </w:r>
      <w:r w:rsidR="00C154B5">
        <w:rPr>
          <w:rFonts w:ascii="TT15Et00" w:hAnsi="TT15Et00" w:cs="TT15Et00"/>
          <w:sz w:val="21"/>
          <w:szCs w:val="21"/>
        </w:rPr>
        <w:t>,</w:t>
      </w:r>
      <w:r>
        <w:rPr>
          <w:rFonts w:ascii="TT15Et00" w:hAnsi="TT15Et00" w:cs="TT15Et00"/>
          <w:sz w:val="21"/>
          <w:szCs w:val="21"/>
        </w:rPr>
        <w:t xml:space="preserve"> prepared statement for the </w:t>
      </w:r>
      <w:r>
        <w:rPr>
          <w:rFonts w:ascii="TT15Ct00" w:hAnsi="TT15Ct00" w:cs="TT15Ct00"/>
          <w:sz w:val="21"/>
          <w:szCs w:val="21"/>
        </w:rPr>
        <w:t>Subcommittee on European Affairs hearing on “The Future of the Eurozone: Outlook and Lessons”</w:t>
      </w:r>
      <w:r w:rsidR="00C154B5">
        <w:rPr>
          <w:rFonts w:ascii="TT15Ct00" w:hAnsi="TT15Ct00" w:cs="TT15Ct00"/>
          <w:sz w:val="21"/>
          <w:szCs w:val="21"/>
        </w:rPr>
        <w:t>,</w:t>
      </w:r>
      <w:r>
        <w:rPr>
          <w:rFonts w:ascii="TT15Ct00" w:hAnsi="TT15Ct00" w:cs="TT15Ct00"/>
          <w:sz w:val="21"/>
          <w:szCs w:val="21"/>
        </w:rPr>
        <w:t xml:space="preserve"> Washington: U.S. Senate Committee on Foreign Relations, August 1</w:t>
      </w:r>
      <w:r w:rsidR="00F34022">
        <w:rPr>
          <w:rFonts w:ascii="TT15Ct00" w:hAnsi="TT15Ct00" w:cs="TT15Ct00"/>
          <w:sz w:val="21"/>
          <w:szCs w:val="21"/>
        </w:rPr>
        <w:t xml:space="preserve">, available at </w:t>
      </w:r>
      <w:hyperlink w:history="1" r:id="rId18">
        <w:r w:rsidRPr="004A3E70" w:rsidR="00F34022">
          <w:rPr>
            <w:rStyle w:val="Hyperlink"/>
            <w:rFonts w:ascii="TT15Ct00" w:hAnsi="TT15Ct00" w:cs="TT15Ct00"/>
            <w:sz w:val="21"/>
            <w:szCs w:val="21"/>
          </w:rPr>
          <w:t>https://www.foreign.senate.gov/imo/media/doc/Veron_Testimony.pdf</w:t>
        </w:r>
      </w:hyperlink>
      <w:r w:rsidR="00F34022">
        <w:rPr>
          <w:rFonts w:ascii="TT15Ct00" w:hAnsi="TT15Ct00" w:cs="TT15Ct00"/>
          <w:sz w:val="21"/>
          <w:szCs w:val="21"/>
        </w:rPr>
        <w:t xml:space="preserve">. </w:t>
      </w:r>
    </w:p>
    <w:p w:rsidR="005C70B7" w:rsidP="005C70B7" w:rsidRDefault="005C70B7">
      <w:r>
        <w:t>V</w:t>
      </w:r>
      <w:r>
        <w:t>é</w:t>
      </w:r>
      <w:r>
        <w:t>ron, Nicolas (2016</w:t>
      </w:r>
      <w:r w:rsidR="00964D14">
        <w:t>a</w:t>
      </w:r>
      <w:r>
        <w:t xml:space="preserve">), </w:t>
      </w:r>
      <w:r>
        <w:t>“</w:t>
      </w:r>
      <w:r>
        <w:t>The IMF</w:t>
      </w:r>
      <w:r>
        <w:t>’</w:t>
      </w:r>
      <w:r>
        <w:t>s Role in the Euro Area Crisis: Financial Sector Aspects</w:t>
      </w:r>
      <w:r>
        <w:t>”</w:t>
      </w:r>
      <w:r w:rsidR="00C154B5">
        <w:t>,</w:t>
      </w:r>
      <w:r>
        <w:t xml:space="preserve"> IEO Background Paper BP/16-02/10, </w:t>
      </w:r>
      <w:r w:rsidRPr="005C70B7">
        <w:rPr>
          <w:rFonts w:hAnsiTheme="minorHAnsi" w:cstheme="minorHAnsi"/>
          <w:szCs w:val="21"/>
        </w:rPr>
        <w:t>Washingto</w:t>
      </w:r>
      <w:r>
        <w:rPr>
          <w:rFonts w:hAnsiTheme="minorHAnsi" w:cstheme="minorHAnsi"/>
          <w:szCs w:val="21"/>
        </w:rPr>
        <w:t>n: International Monetary Fund</w:t>
      </w:r>
      <w:r>
        <w:t xml:space="preserve"> Indep</w:t>
      </w:r>
      <w:r w:rsidR="00F34022">
        <w:t xml:space="preserve">endent Evaluation Office, July, available at </w:t>
      </w:r>
      <w:hyperlink w:history="1" r:id="rId19">
        <w:r w:rsidRPr="004A3E70" w:rsidR="00F34022">
          <w:rPr>
            <w:rStyle w:val="Hyperlink"/>
          </w:rPr>
          <w:t>http://www.ieo-imf.org/ieo/files/completedevaluations/EAC__BP_16-02_10__Financial_Sector_Aspects%20v3.PDF</w:t>
        </w:r>
      </w:hyperlink>
      <w:r w:rsidR="00F34022">
        <w:t xml:space="preserve">. </w:t>
      </w:r>
    </w:p>
    <w:p w:rsidR="005C70B7" w:rsidP="005C70B7" w:rsidRDefault="00964D14">
      <w:r>
        <w:t>V</w:t>
      </w:r>
      <w:r>
        <w:t>é</w:t>
      </w:r>
      <w:r>
        <w:t xml:space="preserve">ron, Nicolas (2016b), </w:t>
      </w:r>
      <w:r>
        <w:t>“</w:t>
      </w:r>
      <w:r>
        <w:t>Breaking the vicious circle</w:t>
      </w:r>
      <w:r>
        <w:t>”</w:t>
      </w:r>
      <w:r>
        <w:t xml:space="preserve">, </w:t>
      </w:r>
      <w:r w:rsidRPr="00964D14">
        <w:rPr>
          <w:i/>
        </w:rPr>
        <w:t>Financial World</w:t>
      </w:r>
      <w:r>
        <w:t xml:space="preserve">, October/November, available at </w:t>
      </w:r>
      <w:hyperlink w:history="1" r:id="rId20">
        <w:r w:rsidRPr="004A3E70">
          <w:rPr>
            <w:rStyle w:val="Hyperlink"/>
          </w:rPr>
          <w:t>http://bruegel.org/2016/10/breaking-the-vicious-circle/</w:t>
        </w:r>
      </w:hyperlink>
      <w:r>
        <w:t xml:space="preserve">. </w:t>
      </w:r>
    </w:p>
    <w:sectPr w:rsidR="005C70B7" w:rsidSect="00467F93">
      <w:footerReference w:type="default" r:id="rId2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C57" w:rsidRDefault="006F0C57" w:rsidP="00945B5E">
      <w:pPr>
        <w:spacing w:after="0" w:line="240" w:lineRule="auto"/>
      </w:pPr>
      <w:r>
        <w:separator/>
      </w:r>
    </w:p>
  </w:endnote>
  <w:endnote w:type="continuationSeparator" w:id="0">
    <w:p w:rsidR="006F0C57" w:rsidRDefault="006F0C57" w:rsidP="00945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T15Et00">
    <w:altName w:val="Calibri"/>
    <w:panose1 w:val="00000000000000000000"/>
    <w:charset w:val="00"/>
    <w:family w:val="auto"/>
    <w:notTrueType/>
    <w:pitch w:val="default"/>
    <w:sig w:usb0="00000003" w:usb1="00000000" w:usb2="00000000" w:usb3="00000000" w:csb0="00000001" w:csb1="00000000"/>
  </w:font>
  <w:font w:name="TT15C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970542"/>
      <w:docPartObj>
        <w:docPartGallery w:val="Page Numbers (Bottom of Page)"/>
        <w:docPartUnique/>
      </w:docPartObj>
    </w:sdtPr>
    <w:sdtEndPr>
      <w:rPr>
        <w:noProof/>
      </w:rPr>
    </w:sdtEndPr>
    <w:sdtContent>
      <w:p w:rsidR="00C30214" w:rsidRDefault="00C30214">
        <w:pPr>
          <w:pStyle w:val="Footer"/>
          <w:jc w:val="center"/>
        </w:pPr>
        <w:r>
          <w:fldChar w:fldCharType="begin"/>
        </w:r>
        <w:r>
          <w:instrText xml:space="preserve"> PAGE   \* MERGEFORMAT </w:instrText>
        </w:r>
        <w:r>
          <w:fldChar w:fldCharType="separate"/>
        </w:r>
        <w:r w:rsidR="006F0C57">
          <w:rPr>
            <w:noProof/>
          </w:rPr>
          <w:t>1</w:t>
        </w:r>
        <w:r>
          <w:rPr>
            <w:noProof/>
          </w:rPr>
          <w:fldChar w:fldCharType="end"/>
        </w:r>
      </w:p>
    </w:sdtContent>
  </w:sdt>
  <w:p w:rsidR="00C30214" w:rsidRDefault="00C30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C57" w:rsidRDefault="006F0C57" w:rsidP="00945B5E">
      <w:pPr>
        <w:spacing w:after="0" w:line="240" w:lineRule="auto"/>
      </w:pPr>
      <w:r>
        <w:separator/>
      </w:r>
    </w:p>
  </w:footnote>
  <w:footnote w:type="continuationSeparator" w:id="0">
    <w:p w:rsidR="006F0C57" w:rsidRDefault="006F0C57" w:rsidP="00945B5E">
      <w:pPr>
        <w:spacing w:after="0" w:line="240" w:lineRule="auto"/>
      </w:pPr>
      <w:r>
        <w:continuationSeparator/>
      </w:r>
    </w:p>
  </w:footnote>
  <w:footnote w:id="1">
    <w:p w:rsidR="00C30214" w:rsidRDefault="00C30214" w:rsidP="00945B5E">
      <w:pPr>
        <w:pStyle w:val="FootnoteText"/>
      </w:pPr>
      <w:r>
        <w:rPr>
          <w:rStyle w:val="FootnoteReference"/>
        </w:rPr>
        <w:footnoteRef/>
      </w:r>
      <w:r>
        <w:t xml:space="preserve"> The author is a Senior Fellow at Bruegel (in Brussels) and at the Peterson Institute for International Economics (in Washington DC). He is also an independent board member for the derivatives trade repository arm of DTCC (Depository Trust &amp; Clearing Corporation), a financial services group that operates on a not-for-profit basis, and an individual investor in three venture capital funds managed by Newfund, a Paris-based investment management company. The author does not view any of his affiliations and investments as creating a conflict of interest either for his research or in the context of the Expert Meeting. More information is available on </w:t>
      </w:r>
      <w:hyperlink r:id="rId1" w:history="1">
        <w:r w:rsidRPr="00A34692">
          <w:rPr>
            <w:rStyle w:val="Hyperlink"/>
          </w:rPr>
          <w:t>www.bruegel.org</w:t>
        </w:r>
      </w:hyperlink>
      <w:r>
        <w:t xml:space="preserve">. </w:t>
      </w:r>
    </w:p>
  </w:footnote>
  <w:footnote w:id="2">
    <w:p w:rsidR="00C30214" w:rsidRDefault="00C30214">
      <w:pPr>
        <w:pStyle w:val="FootnoteText"/>
      </w:pPr>
      <w:r>
        <w:rPr>
          <w:rStyle w:val="FootnoteReference"/>
        </w:rPr>
        <w:footnoteRef/>
      </w:r>
      <w:r>
        <w:t xml:space="preserve"> see V</w:t>
      </w:r>
      <w:r>
        <w:t>é</w:t>
      </w:r>
      <w:r>
        <w:t xml:space="preserve">ron (2016a) for references. </w:t>
      </w:r>
    </w:p>
  </w:footnote>
  <w:footnote w:id="3">
    <w:p w:rsidR="00C30214" w:rsidRDefault="00C30214">
      <w:pPr>
        <w:pStyle w:val="FootnoteText"/>
      </w:pPr>
      <w:r>
        <w:rPr>
          <w:rStyle w:val="FootnoteReference"/>
        </w:rPr>
        <w:footnoteRef/>
      </w:r>
      <w:r>
        <w:t xml:space="preserve"> In the Four Presidents</w:t>
      </w:r>
      <w:r>
        <w:t>’</w:t>
      </w:r>
      <w:r>
        <w:t xml:space="preserve"> report, this item was not defined with as much specificity as the other three, but the indications were that it would refer mostly to structural economic policies. </w:t>
      </w:r>
    </w:p>
  </w:footnote>
  <w:footnote w:id="4">
    <w:p w:rsidR="00C30214" w:rsidRDefault="00C30214">
      <w:pPr>
        <w:pStyle w:val="FootnoteText"/>
      </w:pPr>
      <w:r>
        <w:rPr>
          <w:rStyle w:val="FootnoteReference"/>
        </w:rPr>
        <w:footnoteRef/>
      </w:r>
      <w:r>
        <w:t xml:space="preserve"> A follow-up report in the same format six months later (Van Rompuy, 2012b) referred to the evolution of EMU </w:t>
      </w:r>
      <w:r>
        <w:t>“</w:t>
      </w:r>
      <w:r>
        <w:t>towards banking, fiscal and economic union</w:t>
      </w:r>
      <w:r>
        <w:t>”</w:t>
      </w:r>
      <w:r>
        <w:t>. See also V</w:t>
      </w:r>
      <w:r>
        <w:t>é</w:t>
      </w:r>
      <w:r>
        <w:t xml:space="preserve">ron (2012). </w:t>
      </w:r>
    </w:p>
  </w:footnote>
  <w:footnote w:id="5">
    <w:p w:rsidR="00C30214" w:rsidRDefault="00C30214">
      <w:pPr>
        <w:pStyle w:val="FootnoteText"/>
      </w:pPr>
      <w:r>
        <w:rPr>
          <w:rStyle w:val="FootnoteReference"/>
        </w:rPr>
        <w:footnoteRef/>
      </w:r>
      <w:r>
        <w:t xml:space="preserve"> See e.g. Zeit Online, </w:t>
      </w:r>
      <w:r>
        <w:t>“</w:t>
      </w:r>
      <w:r>
        <w:t>Merkel will Fiskalunion ohne Volksabstimmung,</w:t>
      </w:r>
      <w:r>
        <w:t>”</w:t>
      </w:r>
      <w:r>
        <w:t xml:space="preserve"> December</w:t>
      </w:r>
      <w:r>
        <w:t> </w:t>
      </w:r>
      <w:r>
        <w:t xml:space="preserve">2, 2011, available at </w:t>
      </w:r>
      <w:hyperlink r:id="rId2" w:history="1">
        <w:r w:rsidRPr="004A3E70">
          <w:rPr>
            <w:rStyle w:val="Hyperlink"/>
          </w:rPr>
          <w:t>http://www.zeit.de/politik/deutschland/2011-12/euro-merkel-volksabstimmung</w:t>
        </w:r>
      </w:hyperlink>
      <w:r>
        <w:t xml:space="preserve">. </w:t>
      </w:r>
    </w:p>
  </w:footnote>
  <w:footnote w:id="6">
    <w:p w:rsidR="00C30214" w:rsidRDefault="00C30214">
      <w:pPr>
        <w:pStyle w:val="FootnoteText"/>
      </w:pPr>
      <w:r>
        <w:rPr>
          <w:rStyle w:val="FootnoteReference"/>
        </w:rPr>
        <w:footnoteRef/>
      </w:r>
      <w:r>
        <w:t xml:space="preserve"> See e.g. Simon Johnson &amp; Johan Ahlander, </w:t>
      </w:r>
      <w:r>
        <w:t>“</w:t>
      </w:r>
      <w:r>
        <w:t>Banking group Nordea snubs Sweden with HQ move to Finland,</w:t>
      </w:r>
      <w:r>
        <w:t>”</w:t>
      </w:r>
      <w:r>
        <w:t xml:space="preserve"> Reuters, September</w:t>
      </w:r>
      <w:r>
        <w:t> </w:t>
      </w:r>
      <w:r>
        <w:t xml:space="preserve">6, 2017, available at </w:t>
      </w:r>
      <w:hyperlink r:id="rId3" w:history="1">
        <w:r w:rsidRPr="004A3E70">
          <w:rPr>
            <w:rStyle w:val="Hyperlink"/>
          </w:rPr>
          <w:t>https://www.reuters.com/article/us-sweden-nordea/banking-group-nordea-snubs-sweden-with-hq-move-to-finland-idUSKCN1BH28R</w:t>
        </w:r>
      </w:hyperlink>
      <w:r>
        <w:t xml:space="preserve">. </w:t>
      </w:r>
    </w:p>
  </w:footnote>
  <w:footnote w:id="7">
    <w:p w:rsidR="00C30214" w:rsidRDefault="00C30214">
      <w:pPr>
        <w:pStyle w:val="FootnoteText"/>
      </w:pPr>
      <w:r>
        <w:rPr>
          <w:rStyle w:val="FootnoteReference"/>
        </w:rPr>
        <w:footnoteRef/>
      </w:r>
      <w:r>
        <w:t xml:space="preserve"> The European Commission</w:t>
      </w:r>
      <w:r>
        <w:t>’</w:t>
      </w:r>
      <w:r>
        <w:t>s current interpretation of its state aid control mandate, last set out in a Communication of July</w:t>
      </w:r>
      <w:r>
        <w:t> </w:t>
      </w:r>
      <w:r>
        <w:t>2013, practically prohibits such guarantees on equity and subordinated debt, but not on senior debt or uninsured deposits. The liquidation of Banca Popolare di Veneto and Veneto Banca in late June 2017, in which all senior creditors were fully reimbursed, illustrated the lingering willingness of at least some member states to use this flexibility even at a high cost in terms of taxpayers</w:t>
      </w:r>
      <w:r>
        <w:t>’</w:t>
      </w:r>
      <w:r>
        <w:t xml:space="preserve"> money. </w:t>
      </w:r>
    </w:p>
  </w:footnote>
  <w:footnote w:id="8">
    <w:p w:rsidR="00C30214" w:rsidRDefault="00C30214">
      <w:pPr>
        <w:pStyle w:val="FootnoteText"/>
      </w:pPr>
      <w:r>
        <w:rPr>
          <w:rStyle w:val="FootnoteReference"/>
        </w:rPr>
        <w:footnoteRef/>
      </w:r>
      <w:r>
        <w:t xml:space="preserve"> See e.g. Jim Brunsden, Arthur Beesley &amp; Kerin Hope, </w:t>
      </w:r>
      <w:r>
        <w:t>“</w:t>
      </w:r>
      <w:r>
        <w:t xml:space="preserve">Eurozone officials warn on Greece statistics trial </w:t>
      </w:r>
      <w:r>
        <w:t>‘</w:t>
      </w:r>
      <w:r>
        <w:t>farce</w:t>
      </w:r>
      <w:r>
        <w:t>’”</w:t>
      </w:r>
      <w:r>
        <w:t xml:space="preserve">, </w:t>
      </w:r>
      <w:r w:rsidRPr="00490495">
        <w:rPr>
          <w:i/>
        </w:rPr>
        <w:t>Financial Times</w:t>
      </w:r>
      <w:r>
        <w:t>, August</w:t>
      </w:r>
      <w:r>
        <w:t> </w:t>
      </w:r>
      <w:r>
        <w:t xml:space="preserve">3, 2017, available at </w:t>
      </w:r>
      <w:hyperlink r:id="rId4" w:history="1">
        <w:r w:rsidRPr="004A3E70">
          <w:rPr>
            <w:rStyle w:val="Hyperlink"/>
          </w:rPr>
          <w:t>https://www.ft.com/content/3d213384-77b1-11e7-90c0-90a9d1bc9691</w:t>
        </w:r>
      </w:hyperlink>
      <w:r>
        <w:t xml:space="preserve">. </w:t>
      </w:r>
    </w:p>
  </w:footnote>
  <w:footnote w:id="9">
    <w:p w:rsidR="00C30214" w:rsidRDefault="00C30214">
      <w:pPr>
        <w:pStyle w:val="FootnoteText"/>
      </w:pPr>
      <w:r>
        <w:rPr>
          <w:rStyle w:val="FootnoteReference"/>
        </w:rPr>
        <w:footnoteRef/>
      </w:r>
      <w:r>
        <w:t xml:space="preserve"> Whereas there have been precedents of political use of the European flag in other neighborhood countries including Belarus, Georgia and Serbia since the early 2000s, the Euromaidan was arguably the most iconic such case. </w:t>
      </w:r>
    </w:p>
  </w:footnote>
  <w:footnote w:id="10">
    <w:p w:rsidR="00C30214" w:rsidRDefault="00C30214">
      <w:pPr>
        <w:pStyle w:val="FootnoteText"/>
      </w:pPr>
      <w:r>
        <w:rPr>
          <w:rStyle w:val="FootnoteReference"/>
        </w:rPr>
        <w:footnoteRef/>
      </w:r>
      <w:r>
        <w:t xml:space="preserve"> See e.g. Euractiv, </w:t>
      </w:r>
      <w:r>
        <w:t>“</w:t>
      </w:r>
      <w:r>
        <w:t>Top German court refers ECB bond-buying case to EU judges,</w:t>
      </w:r>
      <w:r>
        <w:t>”</w:t>
      </w:r>
      <w:r>
        <w:t xml:space="preserve"> February</w:t>
      </w:r>
      <w:r>
        <w:t> </w:t>
      </w:r>
      <w:r>
        <w:t xml:space="preserve">11, 2014, available at </w:t>
      </w:r>
      <w:hyperlink r:id="rId5" w:history="1">
        <w:r w:rsidRPr="004A3E70">
          <w:rPr>
            <w:rStyle w:val="Hyperlink"/>
          </w:rPr>
          <w:t>http://www.euractiv.com/section/euro-finance/news/top-german-court-refers-ecb-bond-buying-case-to-eu-judges/</w:t>
        </w:r>
      </w:hyperlink>
      <w:r>
        <w:t xml:space="preserve">. </w:t>
      </w:r>
    </w:p>
  </w:footnote>
  <w:footnote w:id="11">
    <w:p w:rsidR="00C30214" w:rsidRDefault="00C30214">
      <w:pPr>
        <w:pStyle w:val="FootnoteText"/>
      </w:pPr>
      <w:r>
        <w:rPr>
          <w:rStyle w:val="FootnoteReference"/>
        </w:rPr>
        <w:footnoteRef/>
      </w:r>
      <w:r>
        <w:t xml:space="preserve"> Non-euro member states of the European Union may voluntary join the banking union through a process known as close cooperation. None of them has done so yet, but both Denmark and Sweden have indicated in July 2019 that they may consider such a decision in 2019. </w:t>
      </w:r>
    </w:p>
  </w:footnote>
  <w:footnote w:id="12">
    <w:p w:rsidR="00C30214" w:rsidRDefault="00C30214">
      <w:pPr>
        <w:pStyle w:val="FootnoteText"/>
      </w:pPr>
      <w:r>
        <w:rPr>
          <w:rStyle w:val="FootnoteReference"/>
        </w:rPr>
        <w:footnoteRef/>
      </w:r>
      <w:r>
        <w:t xml:space="preserve"> ESMA also has direct EEA-wide supervisory authority, but only over limited market segments, namely credit rating agencies and trade repository. (N.B.</w:t>
      </w:r>
      <w:r w:rsidR="00462DC5">
        <w:t>:</w:t>
      </w:r>
      <w:r>
        <w:t xml:space="preserve"> </w:t>
      </w:r>
      <w:r w:rsidR="00462DC5">
        <w:t>a</w:t>
      </w:r>
      <w:r>
        <w:t>s mentioned in footnote</w:t>
      </w:r>
      <w:r>
        <w:t> </w:t>
      </w:r>
      <w:r>
        <w:t xml:space="preserve">1, the author is an independent board member in a trade repository supervised by ESMA.) </w:t>
      </w:r>
    </w:p>
  </w:footnote>
  <w:footnote w:id="13">
    <w:p w:rsidR="00C30214" w:rsidRDefault="00C30214">
      <w:pPr>
        <w:pStyle w:val="FootnoteText"/>
      </w:pPr>
      <w:r>
        <w:rPr>
          <w:rStyle w:val="FootnoteReference"/>
        </w:rPr>
        <w:footnoteRef/>
      </w:r>
      <w:r>
        <w:t xml:space="preserve"> </w:t>
      </w:r>
      <w:r w:rsidR="00462DC5">
        <w:t xml:space="preserve">Since </w:t>
      </w:r>
      <w:r w:rsidR="00462DC5">
        <w:t>France</w:t>
      </w:r>
      <w:r w:rsidR="00462DC5">
        <w:t>’</w:t>
      </w:r>
      <w:r w:rsidR="00462DC5">
        <w:t xml:space="preserve">s </w:t>
      </w:r>
      <w:r w:rsidR="00462DC5">
        <w:t xml:space="preserve">election cycle is five years, </w:t>
      </w:r>
      <w:r w:rsidR="00462DC5">
        <w:t>and Germany</w:t>
      </w:r>
      <w:r w:rsidR="00462DC5">
        <w:t>’</w:t>
      </w:r>
      <w:r w:rsidR="00462DC5">
        <w:t xml:space="preserve">s </w:t>
      </w:r>
      <w:r w:rsidR="00462DC5">
        <w:t>is four</w:t>
      </w:r>
      <w:r w:rsidR="00462DC5">
        <w:t xml:space="preserve">, this only </w:t>
      </w:r>
      <w:r>
        <w:t>happens once every twenty years</w:t>
      </w:r>
      <w:r w:rsidR="00462DC5">
        <w:t xml:space="preserve">. </w:t>
      </w:r>
    </w:p>
  </w:footnote>
  <w:footnote w:id="14">
    <w:p w:rsidR="00C30214" w:rsidRDefault="00C30214">
      <w:pPr>
        <w:pStyle w:val="FootnoteText"/>
      </w:pPr>
      <w:r>
        <w:rPr>
          <w:rStyle w:val="FootnoteReference"/>
        </w:rPr>
        <w:footnoteRef/>
      </w:r>
      <w:r>
        <w:t xml:space="preserve"> See e.g. Francesco Guarascio, </w:t>
      </w:r>
      <w:r>
        <w:t>“</w:t>
      </w:r>
      <w:r>
        <w:t>Germany blocks small progress on banking union at EU summit</w:t>
      </w:r>
      <w:r>
        <w:t>”</w:t>
      </w:r>
      <w:r>
        <w:t xml:space="preserve">, </w:t>
      </w:r>
      <w:r w:rsidRPr="00F5113F">
        <w:rPr>
          <w:i/>
        </w:rPr>
        <w:t>Reuters</w:t>
      </w:r>
      <w:r>
        <w:t>, December</w:t>
      </w:r>
      <w:r>
        <w:t> </w:t>
      </w:r>
      <w:r>
        <w:t xml:space="preserve">16, 2016, available at </w:t>
      </w:r>
      <w:hyperlink r:id="rId6" w:history="1">
        <w:r w:rsidRPr="004A3E70">
          <w:rPr>
            <w:rStyle w:val="Hyperlink"/>
          </w:rPr>
          <w:t>http://www.reuters.com/article/us-eu-banks-regulations/germany-blocks-small-progress-on-banking-union-at-eu-summit-idUSKBN1442Z8</w:t>
        </w:r>
      </w:hyperlink>
      <w:r>
        <w:t xml:space="preserve">. </w:t>
      </w:r>
    </w:p>
  </w:footnote>
  <w:footnote w:id="15">
    <w:p w:rsidR="00C30214" w:rsidRDefault="00C30214">
      <w:pPr>
        <w:pStyle w:val="FootnoteText"/>
      </w:pPr>
      <w:r>
        <w:rPr>
          <w:rStyle w:val="FootnoteReference"/>
        </w:rPr>
        <w:footnoteRef/>
      </w:r>
      <w:r>
        <w:t xml:space="preserve"> The distinction is more semantic and rhetorical than substantial. An emphasis on market discipline signals a more explicitly forward-looking approach than risk</w:t>
      </w:r>
      <w:r w:rsidR="00462DC5">
        <w:t xml:space="preserve"> </w:t>
      </w:r>
      <w:r>
        <w:t xml:space="preserve">reduction, since risk reduction has already been achieved with the </w:t>
      </w:r>
      <w:r w:rsidR="00462DC5">
        <w:t xml:space="preserve">now well advanced </w:t>
      </w:r>
      <w:r>
        <w:t xml:space="preserve">(though belated) handling of legacy issues in the euro-area banking system. </w:t>
      </w:r>
    </w:p>
  </w:footnote>
  <w:footnote w:id="16">
    <w:p w:rsidR="00C30214" w:rsidRDefault="00C30214">
      <w:pPr>
        <w:pStyle w:val="FootnoteText"/>
      </w:pPr>
      <w:r>
        <w:rPr>
          <w:rStyle w:val="FootnoteReference"/>
        </w:rPr>
        <w:footnoteRef/>
      </w:r>
      <w:r>
        <w:t xml:space="preserve"> A highly stylized proposal for such curbs is in V</w:t>
      </w:r>
      <w:r>
        <w:t>é</w:t>
      </w:r>
      <w:r>
        <w:t xml:space="preserve">ron (2016b). The author is working on a more detailed blueprint, forthcoming in October or November 2017. </w:t>
      </w:r>
    </w:p>
  </w:footnote>
  <w:footnote w:id="17">
    <w:p w:rsidR="00C30214" w:rsidRDefault="00C30214">
      <w:pPr>
        <w:pStyle w:val="FootnoteText"/>
      </w:pPr>
      <w:r>
        <w:rPr>
          <w:rStyle w:val="FootnoteReference"/>
        </w:rPr>
        <w:footnoteRef/>
      </w:r>
      <w:r>
        <w:t xml:space="preserve"> This proposed approach differs from the one signaled by the European Commission in a recent Reflection Paper in which the recommendation is to decide on EDIS first, and on sovereign exposures at a later stage (European Commission, 2017). </w:t>
      </w:r>
    </w:p>
  </w:footnote>
  <w:footnote w:id="18">
    <w:p w:rsidR="00C30214" w:rsidRDefault="00C30214">
      <w:pPr>
        <w:pStyle w:val="FootnoteText"/>
      </w:pPr>
      <w:r>
        <w:rPr>
          <w:rStyle w:val="FootnoteReference"/>
        </w:rPr>
        <w:footnoteRef/>
      </w:r>
      <w:r>
        <w:t xml:space="preserve"> A legislative proposal to harmonize some aspects of the hierarchy of claims on failing banks, published by the European Commission in November 2016 and currently under consideration by the EU co-legislators, can be viewed as an initial step towards that aim. </w:t>
      </w:r>
    </w:p>
  </w:footnote>
  <w:footnote w:id="19">
    <w:p w:rsidR="009E023A" w:rsidRDefault="009E023A">
      <w:pPr>
        <w:pStyle w:val="FootnoteText"/>
      </w:pPr>
      <w:r>
        <w:rPr>
          <w:rStyle w:val="FootnoteReference"/>
        </w:rPr>
        <w:footnoteRef/>
      </w:r>
      <w:r>
        <w:t xml:space="preserve"> An argument and blueprint for such a framework was proposed in R</w:t>
      </w:r>
      <w:r>
        <w:t>ö</w:t>
      </w:r>
      <w:r>
        <w:t>ller and V</w:t>
      </w:r>
      <w:r>
        <w:t>é</w:t>
      </w:r>
      <w:r>
        <w:t xml:space="preserve">ron (2008) and remains relevant to this day.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6626D"/>
    <w:multiLevelType w:val="hybridMultilevel"/>
    <w:tmpl w:val="85044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B5E"/>
    <w:rsid w:val="00034B92"/>
    <w:rsid w:val="00076AC1"/>
    <w:rsid w:val="000E2DE7"/>
    <w:rsid w:val="0011003D"/>
    <w:rsid w:val="001206BB"/>
    <w:rsid w:val="0015386D"/>
    <w:rsid w:val="00181691"/>
    <w:rsid w:val="001B1241"/>
    <w:rsid w:val="001C4046"/>
    <w:rsid w:val="001D458C"/>
    <w:rsid w:val="002210DF"/>
    <w:rsid w:val="00264070"/>
    <w:rsid w:val="002704B5"/>
    <w:rsid w:val="00301A5A"/>
    <w:rsid w:val="00355AA3"/>
    <w:rsid w:val="00393A77"/>
    <w:rsid w:val="003A32E6"/>
    <w:rsid w:val="003D3023"/>
    <w:rsid w:val="004039F2"/>
    <w:rsid w:val="00426F63"/>
    <w:rsid w:val="00435BB9"/>
    <w:rsid w:val="00453854"/>
    <w:rsid w:val="004565BD"/>
    <w:rsid w:val="00462DC5"/>
    <w:rsid w:val="00467F93"/>
    <w:rsid w:val="004735D4"/>
    <w:rsid w:val="00490495"/>
    <w:rsid w:val="004A15F7"/>
    <w:rsid w:val="004A3130"/>
    <w:rsid w:val="004C6D44"/>
    <w:rsid w:val="004D7D5A"/>
    <w:rsid w:val="00584114"/>
    <w:rsid w:val="005C70B7"/>
    <w:rsid w:val="006B19B2"/>
    <w:rsid w:val="006B343C"/>
    <w:rsid w:val="006D6B6A"/>
    <w:rsid w:val="006F0C57"/>
    <w:rsid w:val="00710024"/>
    <w:rsid w:val="007359DD"/>
    <w:rsid w:val="007638CD"/>
    <w:rsid w:val="007A4205"/>
    <w:rsid w:val="007E7F6F"/>
    <w:rsid w:val="007F5A8F"/>
    <w:rsid w:val="00803A11"/>
    <w:rsid w:val="00826BE9"/>
    <w:rsid w:val="008411AC"/>
    <w:rsid w:val="00844B09"/>
    <w:rsid w:val="008745D7"/>
    <w:rsid w:val="00882D36"/>
    <w:rsid w:val="008B4322"/>
    <w:rsid w:val="008D5179"/>
    <w:rsid w:val="00945B5E"/>
    <w:rsid w:val="00953670"/>
    <w:rsid w:val="00964D14"/>
    <w:rsid w:val="009A2F19"/>
    <w:rsid w:val="009A363B"/>
    <w:rsid w:val="009A73EF"/>
    <w:rsid w:val="009E023A"/>
    <w:rsid w:val="00B6589C"/>
    <w:rsid w:val="00B719C9"/>
    <w:rsid w:val="00BE0C0A"/>
    <w:rsid w:val="00C154B5"/>
    <w:rsid w:val="00C30214"/>
    <w:rsid w:val="00C842F5"/>
    <w:rsid w:val="00CE3ADE"/>
    <w:rsid w:val="00D23D53"/>
    <w:rsid w:val="00D329EE"/>
    <w:rsid w:val="00D76816"/>
    <w:rsid w:val="00DB304F"/>
    <w:rsid w:val="00DF78F9"/>
    <w:rsid w:val="00E007A3"/>
    <w:rsid w:val="00E63DC7"/>
    <w:rsid w:val="00E8502A"/>
    <w:rsid w:val="00E949E3"/>
    <w:rsid w:val="00E9614F"/>
    <w:rsid w:val="00EA5CD2"/>
    <w:rsid w:val="00EB4327"/>
    <w:rsid w:val="00F02CAE"/>
    <w:rsid w:val="00F22E37"/>
    <w:rsid w:val="00F34022"/>
    <w:rsid w:val="00F5113F"/>
    <w:rsid w:val="00F77083"/>
    <w:rsid w:val="00FA259E"/>
  </w:rsids>
  <m:mathPr>
    <m:mathFont m:val="Cambria Math"/>
    <m:brkBin m:val="before"/>
    <m:brkBinSub m:val="--"/>
    <m:smallFrac m:val="0"/>
    <m:dispDef/>
    <m:lMargin m:val="0"/>
    <m:rMargin m:val="0"/>
    <m:defJc m:val="centerGroup"/>
    <m:wrapIndent m:val="1440"/>
    <m:intLim m:val="subSup"/>
    <m:naryLim m:val="undOvr"/>
  </m:mathPr>
  <w:themeFontLang w:val="en-GB"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2691D"/>
  <w15:chartTrackingRefBased/>
  <w15:docId w15:val="{39FADA8B-FD21-43DD-80B3-A5DA3697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B5E"/>
  </w:style>
  <w:style w:type="paragraph" w:styleId="Footer">
    <w:name w:val="footer"/>
    <w:basedOn w:val="Normal"/>
    <w:link w:val="FooterChar"/>
    <w:uiPriority w:val="99"/>
    <w:unhideWhenUsed/>
    <w:rsid w:val="00945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B5E"/>
  </w:style>
  <w:style w:type="paragraph" w:styleId="FootnoteText">
    <w:name w:val="footnote text"/>
    <w:basedOn w:val="Normal"/>
    <w:link w:val="FootnoteTextChar"/>
    <w:uiPriority w:val="99"/>
    <w:semiHidden/>
    <w:unhideWhenUsed/>
    <w:rsid w:val="00945B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5B5E"/>
    <w:rPr>
      <w:sz w:val="20"/>
      <w:szCs w:val="20"/>
    </w:rPr>
  </w:style>
  <w:style w:type="character" w:styleId="FootnoteReference">
    <w:name w:val="footnote reference"/>
    <w:basedOn w:val="DefaultParagraphFont"/>
    <w:uiPriority w:val="99"/>
    <w:semiHidden/>
    <w:unhideWhenUsed/>
    <w:rsid w:val="00945B5E"/>
    <w:rPr>
      <w:vertAlign w:val="superscript"/>
    </w:rPr>
  </w:style>
  <w:style w:type="character" w:styleId="Hyperlink">
    <w:name w:val="Hyperlink"/>
    <w:basedOn w:val="DefaultParagraphFont"/>
    <w:uiPriority w:val="99"/>
    <w:unhideWhenUsed/>
    <w:rsid w:val="00945B5E"/>
    <w:rPr>
      <w:color w:val="0563C1" w:themeColor="hyperlink"/>
      <w:u w:val="single"/>
    </w:rPr>
  </w:style>
  <w:style w:type="paragraph" w:styleId="ListParagraph">
    <w:name w:val="List Paragraph"/>
    <w:basedOn w:val="Normal"/>
    <w:uiPriority w:val="34"/>
    <w:qFormat/>
    <w:rsid w:val="00945B5E"/>
    <w:pPr>
      <w:ind w:left="720"/>
      <w:contextualSpacing/>
    </w:pPr>
  </w:style>
  <w:style w:type="character" w:styleId="UnresolvedMention">
    <w:name w:val="Unresolved Mention"/>
    <w:basedOn w:val="DefaultParagraphFont"/>
    <w:uiPriority w:val="99"/>
    <w:semiHidden/>
    <w:unhideWhenUsed/>
    <w:rsid w:val="00F34022"/>
    <w:rPr>
      <w:color w:val="808080"/>
      <w:shd w:val="clear" w:color="auto" w:fill="E6E6E6"/>
    </w:rPr>
  </w:style>
  <w:style w:type="character" w:styleId="FollowedHyperlink">
    <w:name w:val="FollowedHyperlink"/>
    <w:basedOn w:val="DefaultParagraphFont"/>
    <w:uiPriority w:val="99"/>
    <w:semiHidden/>
    <w:unhideWhenUsed/>
    <w:rsid w:val="00F340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700316">
      <w:bodyDiv w:val="1"/>
      <w:marLeft w:val="0"/>
      <w:marRight w:val="0"/>
      <w:marTop w:val="0"/>
      <w:marBottom w:val="0"/>
      <w:divBdr>
        <w:top w:val="none" w:sz="0" w:space="0" w:color="auto"/>
        <w:left w:val="none" w:sz="0" w:space="0" w:color="auto"/>
        <w:bottom w:val="none" w:sz="0" w:space="0" w:color="auto"/>
        <w:right w:val="none" w:sz="0" w:space="0" w:color="auto"/>
      </w:divBdr>
    </w:div>
    <w:div w:id="1330599588">
      <w:bodyDiv w:val="1"/>
      <w:marLeft w:val="0"/>
      <w:marRight w:val="0"/>
      <w:marTop w:val="0"/>
      <w:marBottom w:val="0"/>
      <w:divBdr>
        <w:top w:val="none" w:sz="0" w:space="0" w:color="auto"/>
        <w:left w:val="none" w:sz="0" w:space="0" w:color="auto"/>
        <w:bottom w:val="none" w:sz="0" w:space="0" w:color="auto"/>
        <w:right w:val="none" w:sz="0" w:space="0" w:color="auto"/>
      </w:divBdr>
    </w:div>
    <w:div w:id="1362584647">
      <w:bodyDiv w:val="1"/>
      <w:marLeft w:val="0"/>
      <w:marRight w:val="0"/>
      <w:marTop w:val="0"/>
      <w:marBottom w:val="0"/>
      <w:divBdr>
        <w:top w:val="none" w:sz="0" w:space="0" w:color="auto"/>
        <w:left w:val="none" w:sz="0" w:space="0" w:color="auto"/>
        <w:bottom w:val="none" w:sz="0" w:space="0" w:color="auto"/>
        <w:right w:val="none" w:sz="0" w:space="0" w:color="auto"/>
      </w:divBdr>
    </w:div>
    <w:div w:id="1380938583">
      <w:bodyDiv w:val="1"/>
      <w:marLeft w:val="0"/>
      <w:marRight w:val="0"/>
      <w:marTop w:val="0"/>
      <w:marBottom w:val="0"/>
      <w:divBdr>
        <w:top w:val="none" w:sz="0" w:space="0" w:color="auto"/>
        <w:left w:val="none" w:sz="0" w:space="0" w:color="auto"/>
        <w:bottom w:val="none" w:sz="0" w:space="0" w:color="auto"/>
        <w:right w:val="none" w:sz="0" w:space="0" w:color="auto"/>
      </w:divBdr>
    </w:div>
    <w:div w:id="180187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cb.europa.eu/press/key/date/2017/html/ecb.sp170519_1.en.html" TargetMode="External" Id="rId8" /><Relationship Type="http://schemas.openxmlformats.org/officeDocument/2006/relationships/hyperlink" Target="http://bruegel.org/2008/11/safe-and-sound-an-eu-approach-to-sovereign-investment/" TargetMode="External" Id="rId13" /><Relationship Type="http://schemas.openxmlformats.org/officeDocument/2006/relationships/hyperlink" Target="https://www.foreign.senate.gov/imo/media/doc/Veron_Testimony.pdf" TargetMode="External" Id="rId18"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hyperlink" Target="https://www.imf.org/en/Publications/WP/Issues/2016/12/31/From-Bear-Stearns-to-Anglo-Irish-How-Eurozone-Sovereign-Spreads-Related-to-Financial-Sector-22959" TargetMode="External" Id="rId12" /><Relationship Type="http://schemas.openxmlformats.org/officeDocument/2006/relationships/hyperlink" Target="http://www.consilium.europa.eu/uedocs/cms_Data/docs/pressdata/en/ec/134069.pdf" TargetMode="External" Id="rId17" /><Relationship Type="http://schemas.openxmlformats.org/officeDocument/2006/relationships/numbering" Target="numbering.xml" Id="rId2" /><Relationship Type="http://schemas.openxmlformats.org/officeDocument/2006/relationships/hyperlink" Target="http://www.consilium.europa.eu/en/workarea/downloadasset.aspx?id=17220" TargetMode="External" Id="rId16" /><Relationship Type="http://schemas.openxmlformats.org/officeDocument/2006/relationships/hyperlink" Target="http://bruegel.org/2016/10/breaking-the-vicious-circle/" TargetMode="External" Id="rId20" /><Relationship Type="http://schemas.openxmlformats.org/officeDocument/2006/relationships/footnotes" Target="footnotes.xml" Id="rId6" /><Relationship Type="http://schemas.openxmlformats.org/officeDocument/2006/relationships/hyperlink" Target="https://ec.europa.eu/commission/sites/beta-political/files/reflection-paper-emu_en.pdf" TargetMode="External" Id="rId11" /><Relationship Type="http://schemas.openxmlformats.org/officeDocument/2006/relationships/webSettings" Target="webSettings.xml" Id="rId5" /><Relationship Type="http://schemas.openxmlformats.org/officeDocument/2006/relationships/hyperlink" Target="https://www.imf.org/en/Publications/WP/Issues/2016/12/31/Euro-Area-Sovereign-Risk-During-the-Crisis-23325" TargetMode="External" Id="rId15" /><Relationship Type="http://schemas.openxmlformats.org/officeDocument/2006/relationships/theme" Target="theme/theme1.xml" Id="rId23" /><Relationship Type="http://schemas.openxmlformats.org/officeDocument/2006/relationships/hyperlink" Target="https://www.bankingsupervision.europa.eu/about/milestones/shared/pdf/2012-06-29_euro_area_summit_statement_en.pdf" TargetMode="External" Id="rId10" /><Relationship Type="http://schemas.openxmlformats.org/officeDocument/2006/relationships/hyperlink" Target="http://www.ieo-imf.org/ieo/files/completedevaluations/EAC__BP_16-02_10__Financial_Sector_Aspects%20v3.PDF" TargetMode="External" Id="rId19" /><Relationship Type="http://schemas.openxmlformats.org/officeDocument/2006/relationships/settings" Target="settings.xml" Id="rId4" /><Relationship Type="http://schemas.openxmlformats.org/officeDocument/2006/relationships/hyperlink" Target="https://www.esm.europa.eu/sites/default/files/20141208_guideline_on_financial_assistance_for_the_direct_recapitalisation_of_institutions.pdf" TargetMode="External" Id="rId9" /><Relationship Type="http://schemas.openxmlformats.org/officeDocument/2006/relationships/hyperlink" Target="https://www.ft.com/content/8bdaf6e8-b89f-11e2-869f-00144feabdc0"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reuters.com/article/us-sweden-nordea/banking-group-nordea-snubs-sweden-with-hq-move-to-finland-idUSKCN1BH28R" TargetMode="External"/><Relationship Id="rId2" Type="http://schemas.openxmlformats.org/officeDocument/2006/relationships/hyperlink" Target="http://www.zeit.de/politik/deutschland/2011-12/euro-merkel-volksabstimmung" TargetMode="External"/><Relationship Id="rId1" Type="http://schemas.openxmlformats.org/officeDocument/2006/relationships/hyperlink" Target="http://www.bruegel.org" TargetMode="External"/><Relationship Id="rId6" Type="http://schemas.openxmlformats.org/officeDocument/2006/relationships/hyperlink" Target="http://www.reuters.com/article/us-eu-banks-regulations/germany-blocks-small-progress-on-banking-union-at-eu-summit-idUSKBN1442Z8" TargetMode="External"/><Relationship Id="rId5" Type="http://schemas.openxmlformats.org/officeDocument/2006/relationships/hyperlink" Target="http://www.euractiv.com/section/euro-finance/news/top-german-court-refers-ecb-bond-buying-case-to-eu-judges/" TargetMode="External"/><Relationship Id="rId4" Type="http://schemas.openxmlformats.org/officeDocument/2006/relationships/hyperlink" Target="https://www.ft.com/content/3d213384-77b1-11e7-90c0-90a9d1bc9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6323</ap:Words>
  <ap:Characters>36045</ap:Characters>
  <ap:DocSecurity>0</ap:DocSecurity>
  <ap:Lines>300</ap:Lines>
  <ap:Paragraphs>84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42284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2017-09-06T08:11:00.0000000Z</dcterms:created>
  <dcterms:modified xsi:type="dcterms:W3CDTF">2017-09-11T19:56:00.0000000Z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0x010100DA9548EA0BD97A44BBE10CF39A78962B</vt:lpwstr>
  </property>
</Properties>
</file>