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CB8" w:rsidP="003A7CB8" w:rsidRDefault="003A7CB8">
      <w:pPr>
        <w:jc w:val="center"/>
      </w:pPr>
      <w:r>
        <w:t>D</w:t>
      </w:r>
      <w:r w:rsidRPr="003A7CB8">
        <w:t xml:space="preserve">eskundigenbijeenkomst discussienota </w:t>
      </w:r>
      <w:r>
        <w:t>“EMU Reflection Paper”</w:t>
      </w:r>
    </w:p>
    <w:p w:rsidR="003A7CB8" w:rsidP="003A7CB8" w:rsidRDefault="003A7CB8">
      <w:pPr>
        <w:jc w:val="center"/>
      </w:pPr>
      <w:r>
        <w:t xml:space="preserve">Discussiepunten </w:t>
      </w:r>
    </w:p>
    <w:p w:rsidR="003A7CB8" w:rsidP="003A7CB8" w:rsidRDefault="003A7CB8">
      <w:pPr>
        <w:jc w:val="center"/>
      </w:pPr>
      <w:r>
        <w:t>Adriaan Schout</w:t>
      </w:r>
    </w:p>
    <w:p w:rsidRPr="00EF5DD2" w:rsidR="0082053A" w:rsidP="003A7CB8" w:rsidRDefault="003A7CB8">
      <w:pPr>
        <w:jc w:val="center"/>
      </w:pPr>
      <w:r>
        <w:t xml:space="preserve">Tweede </w:t>
      </w:r>
      <w:r w:rsidRPr="00EF5DD2" w:rsidR="00417292">
        <w:t>Kamer</w:t>
      </w:r>
      <w:r>
        <w:t>,</w:t>
      </w:r>
      <w:r w:rsidRPr="00EF5DD2" w:rsidR="00417292">
        <w:t xml:space="preserve"> 13 september 2017</w:t>
      </w:r>
    </w:p>
    <w:p w:rsidRPr="005324D4" w:rsidR="005324D4" w:rsidP="005324D4" w:rsidRDefault="005324D4">
      <w:pPr>
        <w:rPr>
          <w:b/>
        </w:rPr>
      </w:pPr>
      <w:r w:rsidRPr="005324D4">
        <w:rPr>
          <w:b/>
        </w:rPr>
        <w:t>1</w:t>
      </w:r>
      <w:r w:rsidRPr="005324D4">
        <w:rPr>
          <w:b/>
        </w:rPr>
        <w:tab/>
        <w:t>Gedeelde visie?</w:t>
      </w:r>
    </w:p>
    <w:p w:rsidR="00057533" w:rsidP="005324D4" w:rsidRDefault="0083272A">
      <w:r>
        <w:t>H</w:t>
      </w:r>
      <w:r w:rsidR="00B00880">
        <w:t>et doel van de Reflectienota en van dit Rondetafelgesprek is om te komen tot “</w:t>
      </w:r>
      <w:r w:rsidRPr="005324D4" w:rsidR="00B00880">
        <w:t>een gedeelde visie</w:t>
      </w:r>
      <w:r w:rsidR="00B00880">
        <w:t>” op de toekomst van de EMU</w:t>
      </w:r>
      <w:r>
        <w:t xml:space="preserve">. Er zijn echter </w:t>
      </w:r>
      <w:r w:rsidR="00B00880">
        <w:t>grote t</w:t>
      </w:r>
      <w:r w:rsidR="00EF5DD2">
        <w:t>eg</w:t>
      </w:r>
      <w:r w:rsidR="00220044">
        <w:t xml:space="preserve">enstelling tussen </w:t>
      </w:r>
      <w:r w:rsidRPr="005324D4" w:rsidR="003A7CB8">
        <w:t>de visie</w:t>
      </w:r>
      <w:r>
        <w:t>s</w:t>
      </w:r>
      <w:r w:rsidRPr="005324D4" w:rsidR="00B00880">
        <w:t xml:space="preserve"> van de Europese Commissie</w:t>
      </w:r>
      <w:r w:rsidRPr="005324D4" w:rsidR="00320632">
        <w:t xml:space="preserve"> (EC)</w:t>
      </w:r>
      <w:r w:rsidR="00320632">
        <w:t xml:space="preserve"> in het document en </w:t>
      </w:r>
      <w:r w:rsidR="00B00880">
        <w:t xml:space="preserve">die </w:t>
      </w:r>
      <w:r>
        <w:t xml:space="preserve">van </w:t>
      </w:r>
      <w:r w:rsidRPr="005324D4" w:rsidR="00EF5DD2">
        <w:t>experts</w:t>
      </w:r>
      <w:r w:rsidRPr="005324D4" w:rsidR="00EF5DD2">
        <w:rPr>
          <w:u w:val="single"/>
        </w:rPr>
        <w:t xml:space="preserve"> </w:t>
      </w:r>
      <w:r w:rsidR="00B00880">
        <w:t xml:space="preserve">uit </w:t>
      </w:r>
      <w:r w:rsidR="00EF5DD2">
        <w:t>D</w:t>
      </w:r>
      <w:r w:rsidR="00B00880">
        <w:t>uitsland, Frankrijk</w:t>
      </w:r>
      <w:r w:rsidR="00EF5DD2">
        <w:t xml:space="preserve"> en </w:t>
      </w:r>
      <w:r w:rsidR="00B00880">
        <w:t xml:space="preserve">in </w:t>
      </w:r>
      <w:r w:rsidR="00EF5DD2">
        <w:t>Brusselse denktanks</w:t>
      </w:r>
      <w:r w:rsidR="00B00880">
        <w:t xml:space="preserve"> </w:t>
      </w:r>
      <w:r>
        <w:t xml:space="preserve">die ik </w:t>
      </w:r>
      <w:r w:rsidR="00B00880">
        <w:t>afgelopen weken</w:t>
      </w:r>
      <w:r>
        <w:t xml:space="preserve"> sprak</w:t>
      </w:r>
      <w:r w:rsidR="00EF5DD2">
        <w:t>.</w:t>
      </w:r>
      <w:r w:rsidR="00B00880">
        <w:t xml:space="preserve"> Zowel in analyse als in oplossingen liggen visies op oorzaken en te nemen maatregels ver uiteen.</w:t>
      </w:r>
      <w:r w:rsidR="00320632">
        <w:t xml:space="preserve"> </w:t>
      </w:r>
      <w:r w:rsidR="003A7CB8">
        <w:t>D</w:t>
      </w:r>
      <w:r w:rsidR="00320632">
        <w:t xml:space="preserve">e </w:t>
      </w:r>
      <w:r w:rsidRPr="005324D4" w:rsidR="00320632">
        <w:t xml:space="preserve">EC </w:t>
      </w:r>
      <w:r w:rsidRPr="005324D4" w:rsidR="003A7CB8">
        <w:t xml:space="preserve">legt </w:t>
      </w:r>
      <w:r w:rsidRPr="005324D4" w:rsidR="00320632">
        <w:t>de nadruk op de noodzaak tot verdiepte integratie op de langere termijn</w:t>
      </w:r>
      <w:r w:rsidR="00320632">
        <w:t xml:space="preserve"> en </w:t>
      </w:r>
      <w:r w:rsidR="003A7CB8">
        <w:t xml:space="preserve">wil in </w:t>
      </w:r>
      <w:r w:rsidR="00320632">
        <w:t>de tussentijd pragmatische stappen zetten. De EC gaat ver in wat nodig is op de langere termijn: een Europese minister van Economie en Financiën, een sterkere betrokkenheid van het EP, ruimere middelen op EU-niveau met suggesties richting Europese belastingen, stappen richting een sociale unie</w:t>
      </w:r>
      <w:r w:rsidR="003A7CB8">
        <w:t>, etc</w:t>
      </w:r>
      <w:r w:rsidR="00320632">
        <w:t xml:space="preserve">. Echter, </w:t>
      </w:r>
      <w:r w:rsidRPr="005324D4" w:rsidR="005D3EE6">
        <w:t xml:space="preserve">buiten de Commissie </w:t>
      </w:r>
      <w:r>
        <w:t xml:space="preserve">is </w:t>
      </w:r>
      <w:r w:rsidRPr="005324D4" w:rsidR="005D3EE6">
        <w:t>veel</w:t>
      </w:r>
      <w:r>
        <w:t>vuldig</w:t>
      </w:r>
      <w:r w:rsidRPr="005324D4" w:rsidR="005D3EE6">
        <w:t xml:space="preserve"> te horen</w:t>
      </w:r>
      <w:r>
        <w:t xml:space="preserve"> dat herstel</w:t>
      </w:r>
      <w:r w:rsidRPr="005324D4" w:rsidR="005D3EE6">
        <w:t xml:space="preserve"> van </w:t>
      </w:r>
      <w:r w:rsidRPr="005324D4" w:rsidR="00320632">
        <w:t>de No Bail-out</w:t>
      </w:r>
      <w:r w:rsidR="00320632">
        <w:t xml:space="preserve"> </w:t>
      </w:r>
      <w:r>
        <w:t xml:space="preserve">juist het doel moet zijn </w:t>
      </w:r>
      <w:r w:rsidR="002C7FE4">
        <w:t xml:space="preserve">en </w:t>
      </w:r>
      <w:r w:rsidR="005D3EE6">
        <w:t xml:space="preserve">dat </w:t>
      </w:r>
      <w:r w:rsidR="00320632">
        <w:t xml:space="preserve">lidstaten op hun eigen benen moeten staan. </w:t>
      </w:r>
      <w:r w:rsidR="00057533">
        <w:br/>
      </w:r>
    </w:p>
    <w:p w:rsidRPr="00F72604" w:rsidR="00F72604" w:rsidP="00F72604" w:rsidRDefault="00F72604">
      <w:pPr>
        <w:rPr>
          <w:b/>
        </w:rPr>
      </w:pPr>
      <w:r>
        <w:rPr>
          <w:b/>
        </w:rPr>
        <w:t>2</w:t>
      </w:r>
      <w:r w:rsidRPr="00F72604">
        <w:rPr>
          <w:b/>
        </w:rPr>
        <w:tab/>
        <w:t>Gedeelde diagnoses?</w:t>
      </w:r>
    </w:p>
    <w:p w:rsidR="00F72604" w:rsidP="00F72604" w:rsidRDefault="00F72604">
      <w:r>
        <w:t xml:space="preserve">Achter deze visies liggen grote verschillen in </w:t>
      </w:r>
      <w:r w:rsidR="0083272A">
        <w:t xml:space="preserve">de </w:t>
      </w:r>
      <w:r w:rsidRPr="00F72604">
        <w:t>diagnose</w:t>
      </w:r>
      <w:r w:rsidRPr="005324D4">
        <w:rPr>
          <w:u w:val="single"/>
        </w:rPr>
        <w:t xml:space="preserve"> </w:t>
      </w:r>
      <w:r>
        <w:t xml:space="preserve">ten grondslag. De EC onderstreept het belang van externe schokken en de perverse gevolgen van bezuinigingen. ‘Externe schokken’ zijn echter moeilijk hard te maken. Een externe schok is veelal minder ‘extern’ dan de term doet vermoeden. Daarbij, voor Italië, Portugal en Franrijk is al snel iets een onhoudbare externe ontwikkeling simpelweg omdat ze weinig tot geen eigen financiële ruimtes hebben om tegenwind op te vangen. Als een land de SGP-regel van 60% staatsschuld (of minder) respecteert </w:t>
      </w:r>
      <w:r w:rsidR="0083272A">
        <w:t>dan zal</w:t>
      </w:r>
      <w:r>
        <w:t xml:space="preserve"> het geen probleem zijn als op eventuele schokken of tegenvallende conjuncturele ontwikkelingen een tijdelijke coulance volgt. Overigens, als de geest van 60%-regel gerespecteerd wordt dan zullen lidstaten hervormingen </w:t>
      </w:r>
      <w:r w:rsidR="0083272A">
        <w:t xml:space="preserve">eerder </w:t>
      </w:r>
      <w:r>
        <w:t>serieus nemen.</w:t>
      </w:r>
      <w:r>
        <w:br/>
      </w:r>
    </w:p>
    <w:p w:rsidRPr="005324D4" w:rsidR="005324D4" w:rsidP="005324D4" w:rsidRDefault="00F72604">
      <w:pPr>
        <w:rPr>
          <w:b/>
        </w:rPr>
      </w:pPr>
      <w:r>
        <w:rPr>
          <w:b/>
        </w:rPr>
        <w:t>3</w:t>
      </w:r>
      <w:r>
        <w:rPr>
          <w:b/>
        </w:rPr>
        <w:tab/>
      </w:r>
      <w:r w:rsidRPr="005324D4" w:rsidR="005324D4">
        <w:rPr>
          <w:b/>
        </w:rPr>
        <w:t xml:space="preserve">Er is geen </w:t>
      </w:r>
      <w:r>
        <w:rPr>
          <w:b/>
        </w:rPr>
        <w:t xml:space="preserve">gedeelde visie voor </w:t>
      </w:r>
      <w:r w:rsidRPr="005324D4" w:rsidR="005324D4">
        <w:rPr>
          <w:b/>
        </w:rPr>
        <w:t>oplossing</w:t>
      </w:r>
      <w:r>
        <w:rPr>
          <w:b/>
        </w:rPr>
        <w:t xml:space="preserve">en op </w:t>
      </w:r>
      <w:r w:rsidRPr="005324D4" w:rsidR="005324D4">
        <w:rPr>
          <w:b/>
        </w:rPr>
        <w:t>voor de korte termijn</w:t>
      </w:r>
    </w:p>
    <w:p w:rsidR="004C6AA2" w:rsidP="005324D4" w:rsidRDefault="002C7FE4">
      <w:r>
        <w:t>Z</w:t>
      </w:r>
      <w:r w:rsidR="005D3EE6">
        <w:t>owel de EC</w:t>
      </w:r>
      <w:r w:rsidR="0083272A">
        <w:t>,</w:t>
      </w:r>
      <w:r w:rsidR="005D3EE6">
        <w:t xml:space="preserve"> als </w:t>
      </w:r>
      <w:r w:rsidR="00057533">
        <w:t xml:space="preserve">de </w:t>
      </w:r>
      <w:r w:rsidR="005D3EE6">
        <w:t xml:space="preserve">experts </w:t>
      </w:r>
      <w:r w:rsidR="00057533">
        <w:t>d</w:t>
      </w:r>
      <w:r w:rsidR="003A7CB8">
        <w:t>i</w:t>
      </w:r>
      <w:r w:rsidR="00057533">
        <w:t>e terug</w:t>
      </w:r>
      <w:r w:rsidR="00CD4CC0">
        <w:t xml:space="preserve"> </w:t>
      </w:r>
      <w:r w:rsidR="00057533">
        <w:t>wi</w:t>
      </w:r>
      <w:r w:rsidR="00CD4CC0">
        <w:t>llen naar ‘Plan A’ (de No-Bail O</w:t>
      </w:r>
      <w:r w:rsidR="00057533">
        <w:t>ut)</w:t>
      </w:r>
      <w:r w:rsidR="0083272A">
        <w:t>,</w:t>
      </w:r>
      <w:r w:rsidR="00057533">
        <w:t xml:space="preserve"> </w:t>
      </w:r>
      <w:r w:rsidR="005D3EE6">
        <w:t xml:space="preserve">hebben geen afdoende oplossing voor twee prangende vragen: </w:t>
      </w:r>
    </w:p>
    <w:p w:rsidR="004C6AA2" w:rsidP="005324D4" w:rsidRDefault="004C6AA2">
      <w:pPr>
        <w:pStyle w:val="Lijstalinea"/>
        <w:numPr>
          <w:ilvl w:val="0"/>
          <w:numId w:val="2"/>
        </w:numPr>
      </w:pPr>
      <w:r>
        <w:t>H</w:t>
      </w:r>
      <w:r w:rsidR="005D3EE6">
        <w:t xml:space="preserve">oe komen vooral Italië en Portugal van hun hoge </w:t>
      </w:r>
      <w:r w:rsidRPr="005324D4" w:rsidR="005D3EE6">
        <w:t>schulden</w:t>
      </w:r>
      <w:r w:rsidR="005D3EE6">
        <w:t xml:space="preserve"> af? </w:t>
      </w:r>
      <w:r w:rsidR="00057533">
        <w:t xml:space="preserve">Deze vraag is essentieel want de schulden </w:t>
      </w:r>
      <w:r w:rsidR="005324D4">
        <w:t xml:space="preserve">belasten groeikansen van deze landen en </w:t>
      </w:r>
      <w:r w:rsidR="0083272A">
        <w:t>ze</w:t>
      </w:r>
      <w:r w:rsidR="00057533">
        <w:t xml:space="preserve"> vormen existentiële bedreigingen voor de eurozone. </w:t>
      </w:r>
      <w:r w:rsidR="00686A45">
        <w:t>Het poolen van overheidsschulden zoals de EC voorstelt is onwenselijk en onhaalbaar. Maar wat wel? Bad banks?</w:t>
      </w:r>
      <w:r w:rsidR="00E5306F">
        <w:t xml:space="preserve"> Hoe denkt Italië haar schulden af te bouwen tot niveaus waar het voor getekend heeft?</w:t>
      </w:r>
      <w:r>
        <w:br/>
      </w:r>
      <w:r w:rsidR="00686A45">
        <w:t xml:space="preserve">Verder </w:t>
      </w:r>
      <w:r w:rsidR="005324D4">
        <w:t xml:space="preserve">zouden </w:t>
      </w:r>
      <w:r w:rsidR="00686A45">
        <w:t xml:space="preserve">er </w:t>
      </w:r>
      <w:r w:rsidR="00057533">
        <w:t>scenario</w:t>
      </w:r>
      <w:r w:rsidR="005324D4">
        <w:t>’</w:t>
      </w:r>
      <w:r w:rsidR="00057533">
        <w:t xml:space="preserve">s </w:t>
      </w:r>
      <w:r w:rsidR="005324D4">
        <w:t xml:space="preserve">moeten </w:t>
      </w:r>
      <w:r w:rsidR="00057533">
        <w:t xml:space="preserve">klaarliggen </w:t>
      </w:r>
      <w:r>
        <w:t xml:space="preserve">voor </w:t>
      </w:r>
      <w:r w:rsidR="00057533">
        <w:t xml:space="preserve">het geval een van deze landen in de problemen </w:t>
      </w:r>
      <w:r>
        <w:t>komt</w:t>
      </w:r>
      <w:r w:rsidR="005324D4">
        <w:t>,</w:t>
      </w:r>
      <w:r>
        <w:t xml:space="preserve"> </w:t>
      </w:r>
      <w:r w:rsidR="00057533">
        <w:t xml:space="preserve">bv door een renteverhoging. </w:t>
      </w:r>
      <w:r>
        <w:t>Volg</w:t>
      </w:r>
      <w:r w:rsidR="00057533">
        <w:t>t dan weer een proces van ‘too-little-too-late’? Kan Italië, gezien haar omvang</w:t>
      </w:r>
      <w:r>
        <w:t xml:space="preserve"> en politieke gewicht</w:t>
      </w:r>
      <w:r w:rsidR="00F72604">
        <w:t xml:space="preserve">, eventueel </w:t>
      </w:r>
      <w:r w:rsidR="00057533">
        <w:t>een program-land worden?</w:t>
      </w:r>
      <w:r w:rsidR="0083272A">
        <w:t xml:space="preserve"> Is het reëel om solidariteit te bieden in ruil voor hervormingsbeloftes?</w:t>
      </w:r>
    </w:p>
    <w:p w:rsidR="002C7FE4" w:rsidP="005324D4" w:rsidRDefault="004C6AA2">
      <w:pPr>
        <w:pStyle w:val="Lijstalinea"/>
        <w:numPr>
          <w:ilvl w:val="0"/>
          <w:numId w:val="2"/>
        </w:numPr>
      </w:pPr>
      <w:r>
        <w:lastRenderedPageBreak/>
        <w:t>H</w:t>
      </w:r>
      <w:r w:rsidR="002C7FE4">
        <w:t xml:space="preserve">oe komt nu eindelijk de </w:t>
      </w:r>
      <w:r w:rsidRPr="00F72604" w:rsidR="002C7FE4">
        <w:rPr>
          <w:i/>
        </w:rPr>
        <w:t>structurele</w:t>
      </w:r>
      <w:r w:rsidRPr="00F72604" w:rsidR="002C7FE4">
        <w:t xml:space="preserve"> convergentie</w:t>
      </w:r>
      <w:r w:rsidR="002C7FE4">
        <w:t xml:space="preserve"> </w:t>
      </w:r>
      <w:r w:rsidR="00562551">
        <w:t xml:space="preserve">in de eurozone </w:t>
      </w:r>
      <w:r w:rsidR="002C7FE4">
        <w:t>tot stand</w:t>
      </w:r>
      <w:r>
        <w:t>?</w:t>
      </w:r>
      <w:r w:rsidR="00057533">
        <w:t xml:space="preserve"> </w:t>
      </w:r>
      <w:r w:rsidR="00F72604">
        <w:t>S</w:t>
      </w:r>
      <w:r w:rsidR="00057533">
        <w:t xml:space="preserve">tructurele indicatoren </w:t>
      </w:r>
      <w:r w:rsidR="0083272A">
        <w:t>(</w:t>
      </w:r>
      <w:r w:rsidR="00057533">
        <w:t>die de kwaliteit van lidstaten tonen</w:t>
      </w:r>
      <w:r>
        <w:rPr>
          <w:rStyle w:val="Voetnootmarkering"/>
        </w:rPr>
        <w:footnoteReference w:id="1"/>
      </w:r>
      <w:r w:rsidR="0083272A">
        <w:t>) geven aan</w:t>
      </w:r>
      <w:r w:rsidR="00057533">
        <w:t xml:space="preserve"> dat a) NL en DUI veelal zeer goed scoren mbt kwaliteit overheid, kwaliteit regulering, kwaliteit corruptiebestrijding, etc., b) BE en FR midden-moters zijn, c) Zuid- en Oost-Europese lidstaten in de lage regionen zitten, en d) deze onderliggen</w:t>
      </w:r>
      <w:r w:rsidR="0083272A">
        <w:t>de</w:t>
      </w:r>
      <w:r w:rsidR="00057533">
        <w:t xml:space="preserve"> structurele convergentie</w:t>
      </w:r>
      <w:r w:rsidR="0083272A">
        <w:t>-</w:t>
      </w:r>
      <w:r w:rsidR="00057533">
        <w:t xml:space="preserve">indicatoren </w:t>
      </w:r>
      <w:r>
        <w:t>stabiel zijn</w:t>
      </w:r>
      <w:r w:rsidR="00057533">
        <w:t xml:space="preserve">. Dit geeft weinig reden tot optimisme over </w:t>
      </w:r>
      <w:r>
        <w:t xml:space="preserve">de noodzakelijke structurele </w:t>
      </w:r>
      <w:r w:rsidR="00057533">
        <w:t>convergentie.</w:t>
      </w:r>
      <w:r w:rsidR="002C7FE4">
        <w:br/>
      </w:r>
    </w:p>
    <w:p w:rsidRPr="00562551" w:rsidR="00562551" w:rsidP="00F72604" w:rsidRDefault="00562551">
      <w:pPr>
        <w:rPr>
          <w:b/>
        </w:rPr>
      </w:pPr>
      <w:r>
        <w:t>4</w:t>
      </w:r>
      <w:r>
        <w:tab/>
      </w:r>
      <w:r w:rsidRPr="00562551">
        <w:rPr>
          <w:b/>
        </w:rPr>
        <w:t>Dat d</w:t>
      </w:r>
      <w:r>
        <w:rPr>
          <w:b/>
        </w:rPr>
        <w:t>e EMU lijdt aan ‘design flaws’ is ook maar een mening</w:t>
      </w:r>
    </w:p>
    <w:p w:rsidR="002C7FE4" w:rsidP="00F72604" w:rsidRDefault="00E24928">
      <w:r>
        <w:t xml:space="preserve">In tegenstelling tot het uitgangspunt van de EC, </w:t>
      </w:r>
      <w:r w:rsidR="00562551">
        <w:t xml:space="preserve">is het een en ander af te doen aan het idee van </w:t>
      </w:r>
      <w:r w:rsidRPr="00562551">
        <w:t>‘design flaws’</w:t>
      </w:r>
      <w:r w:rsidRPr="00E24928">
        <w:t xml:space="preserve"> (</w:t>
      </w:r>
      <w:r>
        <w:t>i.e. een vermeend gebrek aan een politieke unie</w:t>
      </w:r>
      <w:r w:rsidRPr="00E24928">
        <w:t>)</w:t>
      </w:r>
      <w:r>
        <w:t xml:space="preserve">. </w:t>
      </w:r>
      <w:r w:rsidR="0083272A">
        <w:t xml:space="preserve">Als lange-termijn doel zou </w:t>
      </w:r>
      <w:r>
        <w:t xml:space="preserve">‘Plan A’ voldoende </w:t>
      </w:r>
      <w:r w:rsidR="00564D61">
        <w:t xml:space="preserve">moeten </w:t>
      </w:r>
      <w:r>
        <w:t xml:space="preserve">zijn. Het probleem is niet de </w:t>
      </w:r>
      <w:r w:rsidR="00562551">
        <w:t>e</w:t>
      </w:r>
      <w:r>
        <w:t xml:space="preserve">uro of een gebrek aan politieke unie; het probleem </w:t>
      </w:r>
      <w:r w:rsidR="00562551">
        <w:t xml:space="preserve">bestaat uit </w:t>
      </w:r>
      <w:r>
        <w:t>een paar zwakke lidstaten.</w:t>
      </w:r>
      <w:r w:rsidR="002776DC">
        <w:t xml:space="preserve"> De sterke neiging van de EU tot optuigen van Europese regering en Europese democratische controle kunnen achterwege blijven.</w:t>
      </w:r>
      <w:r>
        <w:br/>
        <w:t xml:space="preserve">Dat wil niet zeggen dat niet enkele regels </w:t>
      </w:r>
      <w:r w:rsidR="009E470E">
        <w:t>kunnen worden verscherpt</w:t>
      </w:r>
      <w:r>
        <w:t xml:space="preserve">. Te denken valt </w:t>
      </w:r>
      <w:r w:rsidR="009E470E">
        <w:t xml:space="preserve">vooral </w:t>
      </w:r>
      <w:r>
        <w:t>aan het waarderen van de risico’s</w:t>
      </w:r>
      <w:r w:rsidR="00562551">
        <w:t xml:space="preserve"> aan overheidsschulden. </w:t>
      </w:r>
      <w:r>
        <w:br/>
      </w:r>
    </w:p>
    <w:p w:rsidRPr="00562551" w:rsidR="00562551" w:rsidP="00F72604" w:rsidRDefault="00562551">
      <w:pPr>
        <w:rPr>
          <w:b/>
        </w:rPr>
      </w:pPr>
      <w:r w:rsidRPr="00562551">
        <w:rPr>
          <w:b/>
        </w:rPr>
        <w:t>5</w:t>
      </w:r>
      <w:r w:rsidRPr="00562551">
        <w:rPr>
          <w:b/>
        </w:rPr>
        <w:tab/>
        <w:t>De emu is gebaat bij meer marktwerking</w:t>
      </w:r>
    </w:p>
    <w:p w:rsidRPr="004920AE" w:rsidR="00E209B9" w:rsidP="00F72604" w:rsidRDefault="00E24928">
      <w:pPr>
        <w:rPr>
          <w:b/>
        </w:rPr>
      </w:pPr>
      <w:r>
        <w:t xml:space="preserve">In het algemeen zoekt de EC in het </w:t>
      </w:r>
      <w:r w:rsidRPr="00F72604">
        <w:rPr>
          <w:i/>
        </w:rPr>
        <w:t>Reflection Paper</w:t>
      </w:r>
      <w:r>
        <w:t xml:space="preserve"> naar centralistische maatregelen</w:t>
      </w:r>
      <w:r w:rsidR="00562551">
        <w:t xml:space="preserve"> en mist kansen om marktprikkels terug te brengen. </w:t>
      </w:r>
      <w:r w:rsidR="00E209B9">
        <w:t>‘</w:t>
      </w:r>
      <w:r w:rsidRPr="00F72604" w:rsidR="00E209B9">
        <w:rPr>
          <w:i/>
        </w:rPr>
        <w:t>Safe assets</w:t>
      </w:r>
      <w:r w:rsidR="00E209B9">
        <w:t xml:space="preserve">’ noemt de EC essentieel maar </w:t>
      </w:r>
      <w:r w:rsidR="00562551">
        <w:t xml:space="preserve">deze </w:t>
      </w:r>
      <w:r w:rsidR="00E209B9">
        <w:t xml:space="preserve">onderstrepen de neiging om marktprikkels te verzachten. Ze lijken in </w:t>
      </w:r>
      <w:r w:rsidR="009E470E">
        <w:t>de presentat</w:t>
      </w:r>
      <w:r w:rsidR="00E209B9">
        <w:t>i</w:t>
      </w:r>
      <w:r w:rsidR="009E470E">
        <w:t>e</w:t>
      </w:r>
      <w:r w:rsidR="00E209B9">
        <w:t xml:space="preserve"> in het </w:t>
      </w:r>
      <w:r w:rsidRPr="00F72604" w:rsidR="00E209B9">
        <w:rPr>
          <w:i/>
        </w:rPr>
        <w:t>Reflection Paper</w:t>
      </w:r>
      <w:r w:rsidR="00E209B9">
        <w:t xml:space="preserve"> </w:t>
      </w:r>
      <w:r w:rsidR="003E42C3">
        <w:t xml:space="preserve">zelfs </w:t>
      </w:r>
      <w:r w:rsidR="00E209B9">
        <w:t xml:space="preserve">op de </w:t>
      </w:r>
      <w:r w:rsidR="009E470E">
        <w:t xml:space="preserve">beruchte </w:t>
      </w:r>
      <w:r w:rsidRPr="00F72604" w:rsidR="00E209B9">
        <w:rPr>
          <w:i/>
        </w:rPr>
        <w:t>subprime morgages</w:t>
      </w:r>
      <w:r w:rsidR="00E209B9">
        <w:t xml:space="preserve"> de VS.</w:t>
      </w:r>
      <w:r w:rsidR="00562551">
        <w:t xml:space="preserve"> </w:t>
      </w:r>
      <w:r w:rsidR="003E42C3">
        <w:t>Misschien is meer risk-pricing ook in de bankenunie een oplossing.</w:t>
      </w:r>
      <w:r w:rsidR="004920AE">
        <w:br/>
      </w:r>
      <w:r w:rsidR="00E209B9">
        <w:br/>
      </w:r>
      <w:r w:rsidR="004920AE">
        <w:t>6</w:t>
      </w:r>
      <w:r w:rsidR="004920AE">
        <w:tab/>
      </w:r>
      <w:r w:rsidR="004920AE">
        <w:rPr>
          <w:b/>
        </w:rPr>
        <w:t>Beleidsconcurrentie</w:t>
      </w:r>
    </w:p>
    <w:p w:rsidR="00E209B9" w:rsidP="004920AE" w:rsidRDefault="00E209B9">
      <w:r>
        <w:t xml:space="preserve">Eveneens op gespannen voet met het concurrentiemechanisme staan voorstellen zoals </w:t>
      </w:r>
      <w:r w:rsidR="009E470E">
        <w:t>E</w:t>
      </w:r>
      <w:r>
        <w:t>uropeanisering van sociale modellen en belastingen. Er wordt in de EU en in de EMU-discussies weinig aandacht bestaat aan de voordelen van beleidsconcurrentie.</w:t>
      </w:r>
      <w:r>
        <w:br/>
      </w:r>
    </w:p>
    <w:p w:rsidRPr="00E5306F" w:rsidR="00E5306F" w:rsidP="00E5306F" w:rsidRDefault="00E5306F">
      <w:pPr>
        <w:rPr>
          <w:b/>
        </w:rPr>
      </w:pPr>
      <w:r>
        <w:t>7</w:t>
      </w:r>
      <w:r>
        <w:tab/>
      </w:r>
      <w:r>
        <w:rPr>
          <w:b/>
        </w:rPr>
        <w:t>Structurele convergentie vereist een andere aanpak</w:t>
      </w:r>
    </w:p>
    <w:p w:rsidR="00E209B9" w:rsidP="00E4697C" w:rsidRDefault="00E209B9">
      <w:r>
        <w:t>De EC</w:t>
      </w:r>
      <w:r w:rsidR="00E4697C">
        <w:t xml:space="preserve"> benadrukt het potentiele belang van het EU-</w:t>
      </w:r>
      <w:r>
        <w:t xml:space="preserve">budget </w:t>
      </w:r>
      <w:r w:rsidR="00E4697C">
        <w:t>om te komen tot structurele convergentie.</w:t>
      </w:r>
      <w:r>
        <w:t xml:space="preserve"> Naast een mogelijke symbolische werking </w:t>
      </w:r>
      <w:r w:rsidR="009E470E">
        <w:t xml:space="preserve">valt </w:t>
      </w:r>
      <w:r w:rsidR="003E42C3">
        <w:t xml:space="preserve">met </w:t>
      </w:r>
      <w:r>
        <w:t>de voorstelbare omvang van het EU-budget weinig slagkracht te verwachten.</w:t>
      </w:r>
      <w:r w:rsidR="009E470E">
        <w:t xml:space="preserve"> Het EU-budget is te klein en zelfs in </w:t>
      </w:r>
      <w:r w:rsidR="003E42C3">
        <w:t xml:space="preserve">sommige </w:t>
      </w:r>
      <w:r w:rsidR="009E470E">
        <w:t>Oost-Europese landen</w:t>
      </w:r>
      <w:r w:rsidR="003E42C3">
        <w:t>,</w:t>
      </w:r>
      <w:r w:rsidR="009E470E">
        <w:t xml:space="preserve"> waar het EU-budget </w:t>
      </w:r>
      <w:r w:rsidR="003E42C3">
        <w:t xml:space="preserve">ongeveer </w:t>
      </w:r>
      <w:r w:rsidR="009E470E">
        <w:t>4% van de staatshuishouding financiert</w:t>
      </w:r>
      <w:r w:rsidR="003E42C3">
        <w:t>,</w:t>
      </w:r>
      <w:r w:rsidR="009E470E">
        <w:t xml:space="preserve"> </w:t>
      </w:r>
      <w:r w:rsidR="00B65F20">
        <w:t xml:space="preserve">komt </w:t>
      </w:r>
      <w:r w:rsidR="009E470E">
        <w:t xml:space="preserve">weinig </w:t>
      </w:r>
      <w:r w:rsidR="00B65F20">
        <w:t>van de hervormingsdruk terecht.</w:t>
      </w:r>
      <w:r w:rsidR="00E4697C">
        <w:t xml:space="preserve"> Evenzo, d</w:t>
      </w:r>
      <w:r>
        <w:t xml:space="preserve">e verwachtingen tav de Europese fiscal board, de </w:t>
      </w:r>
      <w:r>
        <w:rPr>
          <w:i/>
        </w:rPr>
        <w:t>support unit</w:t>
      </w:r>
      <w:r>
        <w:t xml:space="preserve"> in het Secretariaat van de EC, </w:t>
      </w:r>
      <w:r w:rsidR="003E42C3">
        <w:rPr>
          <w:i/>
        </w:rPr>
        <w:t xml:space="preserve">Fiscal Councils </w:t>
      </w:r>
      <w:r>
        <w:t xml:space="preserve">of </w:t>
      </w:r>
      <w:r w:rsidR="003E42C3">
        <w:rPr>
          <w:i/>
        </w:rPr>
        <w:t>Productivity B</w:t>
      </w:r>
      <w:r w:rsidRPr="00E209B9">
        <w:rPr>
          <w:i/>
        </w:rPr>
        <w:t>oards</w:t>
      </w:r>
      <w:r>
        <w:t xml:space="preserve"> moeten niet te hoog gespannen zijn. De les van dit soort ideeën en aanzetten van de afgelopen 25 is </w:t>
      </w:r>
      <w:r w:rsidR="003E42C3">
        <w:t>weinig bemoedigend</w:t>
      </w:r>
      <w:r>
        <w:t>.</w:t>
      </w:r>
    </w:p>
    <w:p w:rsidR="00E209B9" w:rsidP="00E4697C" w:rsidRDefault="00E209B9">
      <w:r>
        <w:t>Een aanpak voor convergentie is echter wel mogelij</w:t>
      </w:r>
      <w:r w:rsidR="00B65F20">
        <w:t xml:space="preserve">k maar dan </w:t>
      </w:r>
      <w:r w:rsidR="003E42C3">
        <w:t xml:space="preserve">moet </w:t>
      </w:r>
      <w:r w:rsidR="00B65F20">
        <w:t>er gekozen worden voor</w:t>
      </w:r>
      <w:r>
        <w:t xml:space="preserve"> </w:t>
      </w:r>
      <w:r w:rsidR="00B65F20">
        <w:t xml:space="preserve">stelsels van onafhankelijke </w:t>
      </w:r>
      <w:r>
        <w:t>Europese agentschappen</w:t>
      </w:r>
      <w:r w:rsidR="00B65F20">
        <w:t xml:space="preserve"> die geïntegreerd zijn in netwerken van </w:t>
      </w:r>
      <w:r w:rsidR="00B65F20">
        <w:lastRenderedPageBreak/>
        <w:t>nationale onafhankelijke agentschappen</w:t>
      </w:r>
      <w:r>
        <w:t>.</w:t>
      </w:r>
      <w:r w:rsidR="00B65F20">
        <w:t xml:space="preserve"> Dit werkte bij grote hervormingen in de interne markt maar in de EMU overheerst een </w:t>
      </w:r>
      <w:r w:rsidR="003E42C3">
        <w:t xml:space="preserve">weerstand tegen </w:t>
      </w:r>
      <w:r w:rsidR="00B65F20">
        <w:t xml:space="preserve">onafhankelijke toezichtsorganen (zoals </w:t>
      </w:r>
      <w:r w:rsidR="003E42C3">
        <w:t xml:space="preserve">ook </w:t>
      </w:r>
      <w:r w:rsidR="00B65F20">
        <w:t xml:space="preserve">onderstreept </w:t>
      </w:r>
      <w:r w:rsidR="003E42C3">
        <w:t xml:space="preserve">duidelijk is uit </w:t>
      </w:r>
      <w:r w:rsidR="00B65F20">
        <w:t>de plannen voor een politieke EC en de politieke EMU).</w:t>
      </w:r>
      <w:r>
        <w:br/>
      </w:r>
    </w:p>
    <w:p w:rsidRPr="00E4697C" w:rsidR="00E4697C" w:rsidP="00E4697C" w:rsidRDefault="003E42C3">
      <w:pPr>
        <w:rPr>
          <w:b/>
        </w:rPr>
      </w:pPr>
      <w:r>
        <w:t>8</w:t>
      </w:r>
      <w:r w:rsidR="00E4697C">
        <w:tab/>
      </w:r>
      <w:r w:rsidR="00E4697C">
        <w:rPr>
          <w:b/>
        </w:rPr>
        <w:t>De EC is toe aan een grondige hervorming</w:t>
      </w:r>
    </w:p>
    <w:p w:rsidR="00E209B9" w:rsidP="00E4697C" w:rsidRDefault="00E209B9">
      <w:r>
        <w:t xml:space="preserve">De EC </w:t>
      </w:r>
      <w:r w:rsidR="00ED01A3">
        <w:t xml:space="preserve">stelt dingen voor die leiden tot meer taken en bevoegdheden voor de Commissie. Daarbij, ze maken de EC politieker en dat verklaart </w:t>
      </w:r>
      <w:r w:rsidR="003E42C3">
        <w:t xml:space="preserve">ook </w:t>
      </w:r>
      <w:r w:rsidR="00ED01A3">
        <w:t>de zoektocht</w:t>
      </w:r>
      <w:r w:rsidR="0067666B">
        <w:t>en</w:t>
      </w:r>
      <w:r w:rsidR="00ED01A3">
        <w:t xml:space="preserve"> van de EC naar politieke controle door het EP.</w:t>
      </w:r>
      <w:r w:rsidR="00E4697C">
        <w:t xml:space="preserve"> De EC stapelt </w:t>
      </w:r>
      <w:r w:rsidR="00ED01A3">
        <w:t xml:space="preserve">taken van beleidsvoorbereiding, beleidsuitvoering, beleidstoezicht en handhaving. In een ontwikkelde </w:t>
      </w:r>
      <w:r w:rsidR="0067666B">
        <w:t xml:space="preserve">economie </w:t>
      </w:r>
      <w:r w:rsidR="00ED01A3">
        <w:t>moeten deze taken gescheiden worden.</w:t>
      </w:r>
      <w:r w:rsidR="00E4697C">
        <w:t xml:space="preserve"> </w:t>
      </w:r>
      <w:r w:rsidR="0067666B">
        <w:t>Bijvoorbeeld</w:t>
      </w:r>
      <w:r w:rsidR="00ED01A3">
        <w:t>, de plannen voor een EMF (gekoppeld aan een Europese minister</w:t>
      </w:r>
      <w:r w:rsidR="0067666B">
        <w:t xml:space="preserve">, </w:t>
      </w:r>
      <w:r w:rsidR="00ED01A3">
        <w:t>etc</w:t>
      </w:r>
      <w:r w:rsidR="0067666B">
        <w:t>.</w:t>
      </w:r>
      <w:r w:rsidR="00ED01A3">
        <w:t xml:space="preserve">) </w:t>
      </w:r>
      <w:r w:rsidR="003E42C3">
        <w:t xml:space="preserve">is moeilijk te verenigen met een zoektocht naar </w:t>
      </w:r>
      <w:r w:rsidR="00ED01A3">
        <w:t>onafhankelijk toezicht</w:t>
      </w:r>
      <w:bookmarkStart w:name="_GoBack" w:id="0"/>
      <w:bookmarkEnd w:id="0"/>
      <w:r w:rsidR="00ED01A3">
        <w:t xml:space="preserve">. </w:t>
      </w:r>
    </w:p>
    <w:p w:rsidR="009E470E" w:rsidP="009E470E" w:rsidRDefault="009E470E">
      <w:pPr>
        <w:pStyle w:val="Lijstalinea"/>
        <w:ind w:left="1080"/>
      </w:pPr>
    </w:p>
    <w:p w:rsidRPr="00EF5DD2" w:rsidR="00EF5DD2" w:rsidRDefault="00EF5DD2"/>
    <w:sectPr w:rsidRPr="00EF5DD2" w:rsidR="00EF5DD2">
      <w:head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BDA" w:rsidRDefault="003D5BDA" w:rsidP="004C6AA2">
      <w:pPr>
        <w:spacing w:after="0" w:line="240" w:lineRule="auto"/>
      </w:pPr>
      <w:r>
        <w:separator/>
      </w:r>
    </w:p>
  </w:endnote>
  <w:endnote w:type="continuationSeparator" w:id="0">
    <w:p w:rsidR="003D5BDA" w:rsidRDefault="003D5BDA" w:rsidP="004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BDA" w:rsidRDefault="003D5BDA" w:rsidP="004C6AA2">
      <w:pPr>
        <w:spacing w:after="0" w:line="240" w:lineRule="auto"/>
      </w:pPr>
      <w:r>
        <w:separator/>
      </w:r>
    </w:p>
  </w:footnote>
  <w:footnote w:type="continuationSeparator" w:id="0">
    <w:p w:rsidR="003D5BDA" w:rsidRDefault="003D5BDA" w:rsidP="004C6AA2">
      <w:pPr>
        <w:spacing w:after="0" w:line="240" w:lineRule="auto"/>
      </w:pPr>
      <w:r>
        <w:continuationSeparator/>
      </w:r>
    </w:p>
  </w:footnote>
  <w:footnote w:id="1">
    <w:p w:rsidR="004C6AA2" w:rsidRPr="004C6AA2" w:rsidRDefault="004C6AA2">
      <w:pPr>
        <w:pStyle w:val="Voetnoottekst"/>
        <w:rPr>
          <w:lang w:val="en-GB"/>
        </w:rPr>
      </w:pPr>
      <w:r>
        <w:rPr>
          <w:rStyle w:val="Voetnootmarkering"/>
        </w:rPr>
        <w:footnoteRef/>
      </w:r>
      <w:r w:rsidRPr="004C6AA2">
        <w:rPr>
          <w:lang w:val="en-GB"/>
        </w:rPr>
        <w:t xml:space="preserve">Schout, A. (2017) “The EU’s existential threat: demands for flexibility in an EU based on rules”, in: Pirozzi, N. (ed.) </w:t>
      </w:r>
      <w:r w:rsidRPr="004C6AA2">
        <w:rPr>
          <w:i/>
          <w:lang w:val="en-GB"/>
        </w:rPr>
        <w:t>EU60: Re-founding Europe; The responsibility to propose</w:t>
      </w:r>
      <w:r w:rsidRPr="004C6AA2">
        <w:rPr>
          <w:lang w:val="en-GB"/>
        </w:rPr>
        <w:t>, Rome: IAI</w:t>
      </w:r>
      <w:r>
        <w:rPr>
          <w:lang w:val="en-GB"/>
        </w:rPr>
        <w:t xml:space="preserve">. </w:t>
      </w:r>
      <w:hyperlink r:id="rId1" w:history="1">
        <w:r w:rsidRPr="009362DE">
          <w:rPr>
            <w:rStyle w:val="Hyperlink"/>
            <w:lang w:val="en-GB"/>
          </w:rPr>
          <w:t>https://www.clingendael.org/publication/eus-existential-threat</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348536"/>
      <w:docPartObj>
        <w:docPartGallery w:val="Page Numbers (Top of Page)"/>
        <w:docPartUnique/>
      </w:docPartObj>
    </w:sdtPr>
    <w:sdtEndPr/>
    <w:sdtContent>
      <w:p w:rsidR="0067666B" w:rsidRDefault="0067666B">
        <w:pPr>
          <w:pStyle w:val="Koptekst"/>
          <w:jc w:val="center"/>
        </w:pPr>
        <w:r>
          <w:fldChar w:fldCharType="begin"/>
        </w:r>
        <w:r>
          <w:instrText>PAGE   \* MERGEFORMAT</w:instrText>
        </w:r>
        <w:r>
          <w:fldChar w:fldCharType="separate"/>
        </w:r>
        <w:r w:rsidR="003E42C3">
          <w:rPr>
            <w:noProof/>
          </w:rPr>
          <w:t>3</w:t>
        </w:r>
        <w:r>
          <w:fldChar w:fldCharType="end"/>
        </w:r>
      </w:p>
    </w:sdtContent>
  </w:sdt>
  <w:p w:rsidR="0067666B" w:rsidRDefault="006766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A0F50"/>
    <w:multiLevelType w:val="hybridMultilevel"/>
    <w:tmpl w:val="8ED27A86"/>
    <w:lvl w:ilvl="0" w:tplc="F9A0F6F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B9671A"/>
    <w:multiLevelType w:val="hybridMultilevel"/>
    <w:tmpl w:val="42C61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92"/>
    <w:rsid w:val="00057046"/>
    <w:rsid w:val="00057533"/>
    <w:rsid w:val="00113E2D"/>
    <w:rsid w:val="001B7CDC"/>
    <w:rsid w:val="001C04BF"/>
    <w:rsid w:val="00220044"/>
    <w:rsid w:val="00274C4C"/>
    <w:rsid w:val="002776DC"/>
    <w:rsid w:val="002C7FE4"/>
    <w:rsid w:val="00320632"/>
    <w:rsid w:val="003A7CB8"/>
    <w:rsid w:val="003C1AC8"/>
    <w:rsid w:val="003D5BDA"/>
    <w:rsid w:val="003E42C3"/>
    <w:rsid w:val="00417292"/>
    <w:rsid w:val="004920AE"/>
    <w:rsid w:val="004C6AA2"/>
    <w:rsid w:val="004D7D35"/>
    <w:rsid w:val="005324D4"/>
    <w:rsid w:val="00562551"/>
    <w:rsid w:val="00564D61"/>
    <w:rsid w:val="005D3EE6"/>
    <w:rsid w:val="00610052"/>
    <w:rsid w:val="006237DD"/>
    <w:rsid w:val="0067666B"/>
    <w:rsid w:val="00686A45"/>
    <w:rsid w:val="007314A3"/>
    <w:rsid w:val="0074404B"/>
    <w:rsid w:val="007C6BF8"/>
    <w:rsid w:val="0082053A"/>
    <w:rsid w:val="0083272A"/>
    <w:rsid w:val="009E470E"/>
    <w:rsid w:val="00AB0927"/>
    <w:rsid w:val="00B00880"/>
    <w:rsid w:val="00B65F20"/>
    <w:rsid w:val="00C12105"/>
    <w:rsid w:val="00C945D2"/>
    <w:rsid w:val="00CD4CC0"/>
    <w:rsid w:val="00E209B9"/>
    <w:rsid w:val="00E24928"/>
    <w:rsid w:val="00E4697C"/>
    <w:rsid w:val="00E5306F"/>
    <w:rsid w:val="00ED01A3"/>
    <w:rsid w:val="00EE7FF6"/>
    <w:rsid w:val="00EF5DD2"/>
    <w:rsid w:val="00F72604"/>
    <w:rsid w:val="00FB3DA5"/>
    <w:rsid w:val="00FE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496D5"/>
  <w15:docId w15:val="{90F1D254-A303-4806-A5FF-9CEE45C8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7FE4"/>
    <w:pPr>
      <w:ind w:left="720"/>
      <w:contextualSpacing/>
    </w:pPr>
  </w:style>
  <w:style w:type="paragraph" w:styleId="Voetnoottekst">
    <w:name w:val="footnote text"/>
    <w:basedOn w:val="Standaard"/>
    <w:link w:val="VoetnoottekstChar"/>
    <w:uiPriority w:val="99"/>
    <w:semiHidden/>
    <w:unhideWhenUsed/>
    <w:rsid w:val="004C6A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6AA2"/>
    <w:rPr>
      <w:sz w:val="20"/>
      <w:szCs w:val="20"/>
    </w:rPr>
  </w:style>
  <w:style w:type="character" w:styleId="Voetnootmarkering">
    <w:name w:val="footnote reference"/>
    <w:basedOn w:val="Standaardalinea-lettertype"/>
    <w:uiPriority w:val="99"/>
    <w:semiHidden/>
    <w:unhideWhenUsed/>
    <w:rsid w:val="004C6AA2"/>
    <w:rPr>
      <w:vertAlign w:val="superscript"/>
    </w:rPr>
  </w:style>
  <w:style w:type="character" w:styleId="Hyperlink">
    <w:name w:val="Hyperlink"/>
    <w:basedOn w:val="Standaardalinea-lettertype"/>
    <w:uiPriority w:val="99"/>
    <w:unhideWhenUsed/>
    <w:rsid w:val="004C6AA2"/>
    <w:rPr>
      <w:color w:val="0563C1" w:themeColor="hyperlink"/>
      <w:u w:val="single"/>
    </w:rPr>
  </w:style>
  <w:style w:type="character" w:customStyle="1" w:styleId="Onopgelostemelding1">
    <w:name w:val="Onopgeloste melding1"/>
    <w:basedOn w:val="Standaardalinea-lettertype"/>
    <w:uiPriority w:val="99"/>
    <w:semiHidden/>
    <w:unhideWhenUsed/>
    <w:rsid w:val="004C6AA2"/>
    <w:rPr>
      <w:color w:val="808080"/>
      <w:shd w:val="clear" w:color="auto" w:fill="E6E6E6"/>
    </w:rPr>
  </w:style>
  <w:style w:type="paragraph" w:styleId="Koptekst">
    <w:name w:val="header"/>
    <w:basedOn w:val="Standaard"/>
    <w:link w:val="KoptekstChar"/>
    <w:uiPriority w:val="99"/>
    <w:unhideWhenUsed/>
    <w:rsid w:val="0067666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7666B"/>
  </w:style>
  <w:style w:type="paragraph" w:styleId="Voettekst">
    <w:name w:val="footer"/>
    <w:basedOn w:val="Standaard"/>
    <w:link w:val="VoettekstChar"/>
    <w:uiPriority w:val="99"/>
    <w:unhideWhenUsed/>
    <w:rsid w:val="0067666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7666B"/>
  </w:style>
  <w:style w:type="paragraph" w:styleId="Ballontekst">
    <w:name w:val="Balloon Text"/>
    <w:basedOn w:val="Standaard"/>
    <w:link w:val="BallontekstChar"/>
    <w:uiPriority w:val="99"/>
    <w:semiHidden/>
    <w:unhideWhenUsed/>
    <w:rsid w:val="005324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24D4"/>
    <w:rPr>
      <w:rFonts w:ascii="Tahoma" w:hAnsi="Tahoma" w:cs="Tahoma"/>
      <w:sz w:val="16"/>
      <w:szCs w:val="16"/>
    </w:rPr>
  </w:style>
  <w:style w:type="character" w:styleId="Verwijzingopmerking">
    <w:name w:val="annotation reference"/>
    <w:basedOn w:val="Standaardalinea-lettertype"/>
    <w:uiPriority w:val="99"/>
    <w:semiHidden/>
    <w:unhideWhenUsed/>
    <w:rsid w:val="00686A45"/>
    <w:rPr>
      <w:sz w:val="16"/>
      <w:szCs w:val="16"/>
    </w:rPr>
  </w:style>
  <w:style w:type="paragraph" w:styleId="Tekstopmerking">
    <w:name w:val="annotation text"/>
    <w:basedOn w:val="Standaard"/>
    <w:link w:val="TekstopmerkingChar"/>
    <w:uiPriority w:val="99"/>
    <w:semiHidden/>
    <w:unhideWhenUsed/>
    <w:rsid w:val="00686A4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86A45"/>
    <w:rPr>
      <w:sz w:val="20"/>
      <w:szCs w:val="20"/>
    </w:rPr>
  </w:style>
  <w:style w:type="paragraph" w:styleId="Onderwerpvanopmerking">
    <w:name w:val="annotation subject"/>
    <w:basedOn w:val="Tekstopmerking"/>
    <w:next w:val="Tekstopmerking"/>
    <w:link w:val="OnderwerpvanopmerkingChar"/>
    <w:uiPriority w:val="99"/>
    <w:semiHidden/>
    <w:unhideWhenUsed/>
    <w:rsid w:val="00686A45"/>
    <w:rPr>
      <w:b/>
      <w:bCs/>
    </w:rPr>
  </w:style>
  <w:style w:type="character" w:customStyle="1" w:styleId="OnderwerpvanopmerkingChar">
    <w:name w:val="Onderwerp van opmerking Char"/>
    <w:basedOn w:val="TekstopmerkingChar"/>
    <w:link w:val="Onderwerpvanopmerking"/>
    <w:uiPriority w:val="99"/>
    <w:semiHidden/>
    <w:rsid w:val="00686A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lingendael.org/publication/eus-existential-threa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975</ap:Words>
  <ap:Characters>5559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2017-09-11T12:27:00.0000000Z</lastPrinted>
  <dcterms:created xsi:type="dcterms:W3CDTF">2017-09-11T13:06:00.0000000Z</dcterms:created>
  <dcterms:modified xsi:type="dcterms:W3CDTF">2017-09-11T21:02:00.0000000Z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0x010100DA9548EA0BD97A44BBE10CF39A78962B</vt:lpwstr>
  </property>
</Properties>
</file>