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 xml:space="preserve">weken </w:t>
      </w:r>
      <w:r w:rsidRPr="00F74ED7" w:rsidR="00FE39EB">
        <w:rPr>
          <w:rFonts w:asciiTheme="minorHAnsi" w:hAnsiTheme="minorHAnsi"/>
          <w:sz w:val="22"/>
          <w:szCs w:val="22"/>
          <w:u w:val="single"/>
        </w:rPr>
        <w:t>2</w:t>
      </w:r>
      <w:r w:rsidR="0074305F">
        <w:rPr>
          <w:rFonts w:asciiTheme="minorHAnsi" w:hAnsiTheme="minorHAnsi"/>
          <w:sz w:val="22"/>
          <w:szCs w:val="22"/>
          <w:u w:val="single"/>
        </w:rPr>
        <w:t>6</w:t>
      </w:r>
      <w:r w:rsidR="00A3314F">
        <w:rPr>
          <w:rFonts w:asciiTheme="minorHAnsi" w:hAnsiTheme="minorHAnsi"/>
          <w:sz w:val="22"/>
          <w:szCs w:val="22"/>
          <w:u w:val="single"/>
        </w:rPr>
        <w:t>-</w:t>
      </w:r>
      <w:r w:rsidR="0074305F">
        <w:rPr>
          <w:rFonts w:asciiTheme="minorHAnsi" w:hAnsiTheme="minorHAnsi"/>
          <w:sz w:val="22"/>
          <w:szCs w:val="22"/>
          <w:u w:val="single"/>
        </w:rPr>
        <w:t>35</w:t>
      </w:r>
      <w:r w:rsidRPr="00F74ED7">
        <w:rPr>
          <w:rFonts w:asciiTheme="minorHAnsi" w:hAnsiTheme="minorHAnsi"/>
          <w:sz w:val="22"/>
          <w:szCs w:val="22"/>
          <w:u w:val="single"/>
        </w:rPr>
        <w:t xml:space="preserve"> (</w:t>
      </w:r>
      <w:r w:rsidR="0074305F">
        <w:rPr>
          <w:rFonts w:asciiTheme="minorHAnsi" w:hAnsiTheme="minorHAnsi"/>
          <w:sz w:val="22"/>
          <w:szCs w:val="22"/>
          <w:u w:val="single"/>
        </w:rPr>
        <w:t>2</w:t>
      </w:r>
      <w:r w:rsidR="00AD4E0E">
        <w:rPr>
          <w:rFonts w:asciiTheme="minorHAnsi" w:hAnsiTheme="minorHAnsi"/>
          <w:sz w:val="22"/>
          <w:szCs w:val="22"/>
          <w:u w:val="single"/>
        </w:rPr>
        <w:t xml:space="preserve">9 juni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04740C">
        <w:rPr>
          <w:rFonts w:asciiTheme="minorHAnsi" w:hAnsiTheme="minorHAnsi"/>
          <w:sz w:val="22"/>
          <w:szCs w:val="22"/>
          <w:u w:val="single"/>
        </w:rPr>
        <w:t>31 juli</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74305F">
        <w:rPr>
          <w:rFonts w:asciiTheme="minorHAnsi" w:hAnsiTheme="minorHAnsi"/>
          <w:sz w:val="22"/>
          <w:szCs w:val="22"/>
          <w:u w:val="single"/>
        </w:rPr>
        <w:t>30 augustus</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931F2B" w:rsidTr="00931F2B">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31F2B" w:rsidR="00931F2B" w:rsidP="00931F2B" w:rsidRDefault="00931F2B">
            <w:pPr>
              <w:jc w:val="center"/>
              <w:rPr>
                <w:rFonts w:ascii="Calibri" w:hAnsi="Calibri"/>
                <w:color w:val="000000"/>
                <w:sz w:val="22"/>
                <w:szCs w:val="22"/>
              </w:rPr>
            </w:pPr>
            <w:r w:rsidRPr="00931F2B">
              <w:rPr>
                <w:rFonts w:ascii="Calibri" w:hAnsi="Calibri"/>
                <w:color w:val="000000"/>
                <w:sz w:val="22"/>
                <w:szCs w:val="22"/>
              </w:rPr>
              <w:t>30-jun-17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31F2B" w:rsidR="00931F2B" w:rsidP="00931F2B" w:rsidRDefault="00931F2B">
            <w:pPr>
              <w:jc w:val="center"/>
              <w:rPr>
                <w:rFonts w:ascii="Calibri" w:hAnsi="Calibri"/>
                <w:color w:val="000000"/>
                <w:sz w:val="22"/>
                <w:szCs w:val="22"/>
              </w:rPr>
            </w:pPr>
            <w:r w:rsidRPr="00931F2B">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31F2B" w:rsidR="00931F2B" w:rsidP="00931F2B" w:rsidRDefault="00931F2B">
            <w:pPr>
              <w:jc w:val="center"/>
              <w:rPr>
                <w:rFonts w:ascii="Calibri" w:hAnsi="Calibri"/>
                <w:color w:val="000000"/>
                <w:sz w:val="22"/>
                <w:szCs w:val="22"/>
              </w:rPr>
            </w:pPr>
            <w:r w:rsidRPr="00931F2B">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931F2B" w:rsidR="00931F2B" w:rsidP="00931F2B" w:rsidRDefault="00931F2B">
            <w:pPr>
              <w:rPr>
                <w:rFonts w:ascii="Calibri" w:hAnsi="Calibri"/>
                <w:color w:val="000000"/>
                <w:sz w:val="22"/>
                <w:szCs w:val="22"/>
              </w:rPr>
            </w:pPr>
            <w:r w:rsidRPr="00931F2B">
              <w:rPr>
                <w:rFonts w:ascii="Calibri" w:hAnsi="Calibri"/>
                <w:color w:val="000000"/>
                <w:sz w:val="22"/>
                <w:szCs w:val="22"/>
              </w:rPr>
              <w:t xml:space="preserve">Voorstel voor een VERORDENING VAN HET EUROPEES PARLEMENT EN DE RAAD betreffende de statistieken van het spoorvervoer (herschikking)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31F2B" w:rsidR="00931F2B" w:rsidP="00931F2B" w:rsidRDefault="006A32F6">
            <w:pPr>
              <w:jc w:val="center"/>
              <w:rPr>
                <w:rFonts w:ascii="Calibri" w:hAnsi="Calibri"/>
                <w:color w:val="0000FF"/>
                <w:sz w:val="22"/>
                <w:szCs w:val="22"/>
                <w:u w:val="single"/>
              </w:rPr>
            </w:pPr>
            <w:hyperlink w:history="1" r:id="rId9">
              <w:r w:rsidRPr="00931F2B" w:rsidR="00931F2B">
                <w:rPr>
                  <w:rStyle w:val="Hyperlink"/>
                  <w:rFonts w:ascii="Calibri" w:hAnsi="Calibri"/>
                  <w:sz w:val="22"/>
                  <w:szCs w:val="22"/>
                </w:rPr>
                <w:t>353</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1F2B" w:rsidR="00931F2B" w:rsidP="00931F2B" w:rsidRDefault="00931F2B">
            <w:pPr>
              <w:jc w:val="center"/>
              <w:rPr>
                <w:rFonts w:ascii="Calibri" w:hAnsi="Calibri"/>
                <w:color w:val="000000"/>
                <w:sz w:val="22"/>
                <w:szCs w:val="22"/>
                <w:highlight w:val="yellow"/>
              </w:rPr>
            </w:pPr>
            <w:r>
              <w:rPr>
                <w:rFonts w:ascii="Calibri" w:hAnsi="Calibri"/>
                <w:color w:val="000000"/>
                <w:sz w:val="22"/>
                <w:szCs w:val="22"/>
              </w:rPr>
              <w:t>22-sept-17</w:t>
            </w:r>
            <w:r w:rsidRPr="00931F2B">
              <w:rPr>
                <w:rFonts w:ascii="Calibri" w:hAnsi="Calibri"/>
                <w:color w:val="000000"/>
                <w:sz w:val="22"/>
                <w:szCs w:val="22"/>
              </w:rPr>
              <w:t> </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931F2B" w:rsidP="00931F2B" w:rsidRDefault="00931F2B">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00931F2B" w:rsidP="00931F2B" w:rsidRDefault="00931F2B">
            <w:pPr>
              <w:rPr>
                <w:rFonts w:asciiTheme="minorHAnsi" w:hAnsiTheme="minorHAnsi"/>
                <w:color w:val="000000"/>
                <w:sz w:val="22"/>
                <w:szCs w:val="22"/>
              </w:rPr>
            </w:pPr>
          </w:p>
          <w:p w:rsidRPr="00931F2B" w:rsidR="00931F2B" w:rsidP="00931F2B" w:rsidRDefault="00931F2B">
            <w:pPr>
              <w:rPr>
                <w:rFonts w:asciiTheme="minorHAnsi" w:hAnsiTheme="minorHAnsi"/>
                <w:color w:val="000000"/>
                <w:sz w:val="22"/>
                <w:szCs w:val="22"/>
                <w:u w:val="single"/>
              </w:rPr>
            </w:pPr>
          </w:p>
        </w:tc>
      </w:tr>
      <w:tr w:rsidRPr="000947B3" w:rsidR="00931F2B" w:rsidTr="00931F2B">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931F2B" w:rsidP="00931F2B" w:rsidRDefault="00931F2B">
            <w:pPr>
              <w:jc w:val="center"/>
              <w:rPr>
                <w:rFonts w:ascii="Calibri" w:hAnsi="Calibri"/>
                <w:color w:val="000000"/>
                <w:sz w:val="22"/>
                <w:szCs w:val="22"/>
              </w:rPr>
            </w:pPr>
            <w:r>
              <w:rPr>
                <w:rFonts w:ascii="Calibri" w:hAnsi="Calibri"/>
                <w:color w:val="000000"/>
                <w:sz w:val="22"/>
                <w:szCs w:val="22"/>
              </w:rPr>
              <w:t>29-jun-17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931F2B" w:rsidP="00931F2B" w:rsidRDefault="00931F2B">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931F2B" w:rsidP="00931F2B" w:rsidRDefault="00931F2B">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931F2B" w:rsidRDefault="00931F2B">
            <w:pPr>
              <w:rPr>
                <w:rFonts w:ascii="Calibri" w:hAnsi="Calibri"/>
                <w:color w:val="000000"/>
                <w:sz w:val="22"/>
                <w:szCs w:val="22"/>
              </w:rPr>
            </w:pPr>
            <w:r>
              <w:rPr>
                <w:rFonts w:ascii="Calibri" w:hAnsi="Calibri"/>
                <w:color w:val="000000"/>
                <w:sz w:val="22"/>
                <w:szCs w:val="22"/>
              </w:rPr>
              <w:t>Openbare raadpleging over de uitvoering van het Atlantisch actieplan</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931F2B" w:rsidRDefault="006A32F6">
            <w:pPr>
              <w:jc w:val="center"/>
              <w:rPr>
                <w:rFonts w:ascii="Calibri" w:hAnsi="Calibri"/>
                <w:color w:val="0000FF"/>
                <w:sz w:val="22"/>
                <w:szCs w:val="22"/>
                <w:u w:val="single"/>
              </w:rPr>
            </w:pPr>
            <w:hyperlink w:history="1" r:id="rId10">
              <w:r w:rsidR="00931F2B">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00931F2B" w:rsidP="00931F2B" w:rsidRDefault="00931F2B">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931F2B" w:rsidP="00E72B18" w:rsidRDefault="00931F2B">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931F2B" w:rsidP="00E72B18" w:rsidRDefault="00931F2B">
            <w:pPr>
              <w:rPr>
                <w:rFonts w:asciiTheme="minorHAnsi" w:hAnsiTheme="minorHAnsi"/>
                <w:color w:val="000000"/>
                <w:sz w:val="22"/>
                <w:szCs w:val="22"/>
              </w:rPr>
            </w:pPr>
          </w:p>
          <w:p w:rsidR="00931F2B" w:rsidP="00E52F23" w:rsidRDefault="00931F2B">
            <w:pPr>
              <w:rPr>
                <w:rFonts w:ascii="Calibri" w:hAnsi="Calibri"/>
                <w:color w:val="000000"/>
                <w:sz w:val="22"/>
                <w:szCs w:val="22"/>
              </w:rPr>
            </w:pPr>
            <w:r>
              <w:rPr>
                <w:rFonts w:asciiTheme="minorHAnsi" w:hAnsiTheme="minorHAnsi"/>
                <w:color w:val="000000"/>
                <w:sz w:val="22"/>
                <w:szCs w:val="22"/>
              </w:rPr>
              <w:t>Noot: de deadline voor inbreng op deze consultatie loopt af op</w:t>
            </w:r>
            <w:r w:rsidR="00E52F23">
              <w:rPr>
                <w:rFonts w:asciiTheme="minorHAnsi" w:hAnsiTheme="minorHAnsi"/>
                <w:color w:val="000000"/>
                <w:sz w:val="22"/>
                <w:szCs w:val="22"/>
              </w:rPr>
              <w:t xml:space="preserve"> </w:t>
            </w:r>
            <w:r w:rsidR="00E52F23">
              <w:rPr>
                <w:rFonts w:ascii="Calibri" w:hAnsi="Calibri"/>
                <w:color w:val="000000"/>
                <w:sz w:val="22"/>
                <w:szCs w:val="22"/>
              </w:rPr>
              <w:t>22 september 2017</w:t>
            </w:r>
            <w:r>
              <w:rPr>
                <w:rFonts w:asciiTheme="minorHAnsi" w:hAnsiTheme="minorHAnsi"/>
                <w:color w:val="000000"/>
                <w:sz w:val="22"/>
                <w:szCs w:val="22"/>
              </w:rPr>
              <w:t>.</w:t>
            </w:r>
          </w:p>
        </w:tc>
      </w:tr>
      <w:tr w:rsidRPr="000947B3" w:rsidR="00E52F23" w:rsidTr="00E52F2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E52F23" w:rsidP="00E52F23" w:rsidRDefault="00E52F23">
            <w:pPr>
              <w:jc w:val="center"/>
              <w:rPr>
                <w:rFonts w:ascii="Calibri" w:hAnsi="Calibri"/>
                <w:color w:val="000000"/>
                <w:sz w:val="22"/>
                <w:szCs w:val="22"/>
              </w:rPr>
            </w:pPr>
            <w:r>
              <w:rPr>
                <w:rFonts w:ascii="Calibri" w:hAnsi="Calibri"/>
                <w:color w:val="000000"/>
                <w:sz w:val="22"/>
                <w:szCs w:val="22"/>
              </w:rPr>
              <w:t>5-jul-17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E52F23" w:rsidP="00E52F23" w:rsidRDefault="00E52F2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E52F23" w:rsidP="00E52F23" w:rsidRDefault="00E52F23">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Pr="00E52F23" w:rsidR="00E52F23" w:rsidRDefault="00E52F23">
            <w:pPr>
              <w:rPr>
                <w:rFonts w:ascii="Calibri" w:hAnsi="Calibri"/>
                <w:color w:val="000000"/>
                <w:sz w:val="22"/>
                <w:szCs w:val="22"/>
                <w:lang w:val="en-GB"/>
              </w:rPr>
            </w:pPr>
            <w:r w:rsidRPr="00E52F23">
              <w:rPr>
                <w:rFonts w:ascii="Calibri" w:hAnsi="Calibri"/>
                <w:color w:val="000000"/>
                <w:sz w:val="22"/>
                <w:szCs w:val="22"/>
                <w:lang w:val="en-GB"/>
              </w:rPr>
              <w:t xml:space="preserve">Evaluation of Regulation 996/2010 on investigating aviation accidents in the EU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E52F23" w:rsidRDefault="006A32F6">
            <w:pPr>
              <w:jc w:val="center"/>
              <w:rPr>
                <w:rFonts w:ascii="Calibri" w:hAnsi="Calibri"/>
                <w:color w:val="0000FF"/>
                <w:sz w:val="22"/>
                <w:szCs w:val="22"/>
                <w:u w:val="single"/>
              </w:rPr>
            </w:pPr>
            <w:hyperlink w:history="1" r:id="rId11">
              <w:r w:rsidR="00E52F23">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00E52F23" w:rsidP="00E52F23" w:rsidRDefault="00E52F23">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E52F23" w:rsidP="00AD4E0E" w:rsidRDefault="00E52F23">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E52F23" w:rsidP="00AD4E0E" w:rsidRDefault="00E52F23">
            <w:pPr>
              <w:rPr>
                <w:rFonts w:asciiTheme="minorHAnsi" w:hAnsiTheme="minorHAnsi"/>
                <w:color w:val="000000"/>
                <w:sz w:val="22"/>
                <w:szCs w:val="22"/>
              </w:rPr>
            </w:pPr>
          </w:p>
          <w:p w:rsidR="00E52F23" w:rsidP="00E52F23" w:rsidRDefault="00E52F23">
            <w:pPr>
              <w:rPr>
                <w:rFonts w:ascii="Calibri" w:hAnsi="Calibri"/>
                <w:color w:val="000000"/>
                <w:sz w:val="22"/>
                <w:szCs w:val="22"/>
              </w:rPr>
            </w:pPr>
            <w:r>
              <w:rPr>
                <w:rFonts w:asciiTheme="minorHAnsi" w:hAnsiTheme="minorHAnsi"/>
                <w:color w:val="000000"/>
                <w:sz w:val="22"/>
                <w:szCs w:val="22"/>
              </w:rPr>
              <w:t xml:space="preserve">Noot: de deadline voor inbreng op deze consultatie loopt af op 4 oktober 2017. </w:t>
            </w:r>
          </w:p>
        </w:tc>
      </w:tr>
      <w:tr w:rsidRPr="000947B3" w:rsidR="00E52F23" w:rsidTr="00E52F2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52F23" w:rsidP="00E52F23" w:rsidRDefault="00E52F23">
            <w:pPr>
              <w:jc w:val="center"/>
              <w:rPr>
                <w:rFonts w:ascii="Calibri" w:hAnsi="Calibri"/>
                <w:color w:val="000000"/>
                <w:sz w:val="22"/>
                <w:szCs w:val="22"/>
              </w:rPr>
            </w:pPr>
            <w:r>
              <w:rPr>
                <w:rFonts w:ascii="Calibri" w:hAnsi="Calibri"/>
                <w:color w:val="000000"/>
                <w:sz w:val="22"/>
                <w:szCs w:val="22"/>
              </w:rPr>
              <w:lastRenderedPageBreak/>
              <w:t>10-jul-17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52F23" w:rsidP="00E52F23" w:rsidRDefault="00E52F2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52F23" w:rsidP="00E52F23" w:rsidRDefault="00E52F23">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E52F23" w:rsidP="00E52F23" w:rsidRDefault="00E52F23">
            <w:pPr>
              <w:rPr>
                <w:rFonts w:ascii="Calibri" w:hAnsi="Calibri"/>
                <w:color w:val="000000"/>
                <w:sz w:val="22"/>
                <w:szCs w:val="22"/>
              </w:rPr>
            </w:pPr>
            <w:r>
              <w:rPr>
                <w:rFonts w:ascii="Calibri" w:hAnsi="Calibri"/>
                <w:color w:val="000000"/>
                <w:sz w:val="22"/>
                <w:szCs w:val="22"/>
              </w:rPr>
              <w:t>Openbare raadpleging over eventuele reguleringsmaatregelen voor de milieubelasting van bedrijfsservers en producten voor dataopslag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52F23" w:rsidP="00E52F23" w:rsidRDefault="00E52F23">
            <w:pPr>
              <w:jc w:val="center"/>
              <w:rPr>
                <w:rFonts w:ascii="Calibri" w:hAnsi="Calibri"/>
                <w:color w:val="0000FF"/>
                <w:sz w:val="22"/>
                <w:szCs w:val="22"/>
                <w:u w:val="single"/>
              </w:rPr>
            </w:pPr>
            <w:r>
              <w:rPr>
                <w:rFonts w:ascii="Calibri" w:hAnsi="Calibri"/>
                <w:color w:val="0000FF"/>
                <w:sz w:val="22"/>
                <w:szCs w:val="22"/>
                <w:u w:val="single"/>
              </w:rPr>
              <w:t>OR</w:t>
            </w:r>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E52F23" w:rsidP="00E52F23" w:rsidRDefault="00E52F23">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E52F23" w:rsidP="00AD4E0E" w:rsidRDefault="00E52F23">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E52F23" w:rsidP="00AD4E0E" w:rsidRDefault="00E52F23">
            <w:pPr>
              <w:rPr>
                <w:rFonts w:asciiTheme="minorHAnsi" w:hAnsiTheme="minorHAnsi"/>
                <w:color w:val="000000"/>
                <w:sz w:val="22"/>
                <w:szCs w:val="22"/>
              </w:rPr>
            </w:pPr>
          </w:p>
          <w:p w:rsidRPr="00F552B9" w:rsidR="00E52F23" w:rsidP="00E52F23" w:rsidRDefault="00E52F23">
            <w:pPr>
              <w:rPr>
                <w:rFonts w:asciiTheme="minorHAnsi" w:hAnsiTheme="minorHAnsi"/>
                <w:color w:val="000000"/>
                <w:sz w:val="22"/>
                <w:szCs w:val="22"/>
                <w:highlight w:val="yellow"/>
                <w:u w:val="single"/>
              </w:rPr>
            </w:pPr>
            <w:r>
              <w:rPr>
                <w:rFonts w:asciiTheme="minorHAnsi" w:hAnsiTheme="minorHAnsi"/>
                <w:color w:val="000000"/>
                <w:sz w:val="22"/>
                <w:szCs w:val="22"/>
              </w:rPr>
              <w:t>Noot: de deadline voor inbreng op deze consultatie loopt af op 23 oktober 2017.</w:t>
            </w:r>
          </w:p>
        </w:tc>
      </w:tr>
      <w:tr w:rsidRPr="000947B3" w:rsidR="00D51C73" w:rsidTr="00D51C7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1C73" w:rsidP="00D51C73" w:rsidRDefault="00D51C73">
            <w:pPr>
              <w:jc w:val="center"/>
              <w:rPr>
                <w:rFonts w:ascii="Calibri" w:hAnsi="Calibri"/>
                <w:color w:val="000000"/>
                <w:sz w:val="22"/>
                <w:szCs w:val="22"/>
              </w:rPr>
            </w:pPr>
            <w:r>
              <w:rPr>
                <w:rFonts w:ascii="Calibri" w:hAnsi="Calibri"/>
                <w:color w:val="000000"/>
                <w:sz w:val="22"/>
                <w:szCs w:val="22"/>
              </w:rPr>
              <w:t>17-jul-17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1C73" w:rsidP="00D51C73" w:rsidRDefault="00D51C7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1C73" w:rsidP="00D51C73" w:rsidRDefault="00D51C73">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51C73" w:rsidR="00D51C73" w:rsidRDefault="00D51C73">
            <w:pPr>
              <w:rPr>
                <w:rFonts w:ascii="Calibri" w:hAnsi="Calibri"/>
                <w:color w:val="000000"/>
                <w:sz w:val="22"/>
                <w:szCs w:val="22"/>
                <w:lang w:val="en-GB"/>
              </w:rPr>
            </w:pPr>
            <w:r w:rsidRPr="00D51C73">
              <w:rPr>
                <w:rFonts w:ascii="Calibri" w:hAnsi="Calibri"/>
                <w:color w:val="000000"/>
                <w:sz w:val="22"/>
                <w:szCs w:val="22"/>
                <w:lang w:val="en-GB"/>
              </w:rPr>
              <w:t>Public consultation to support the evaluation of the European Environment Agency and its European Environment Information and Observation Network</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51C73" w:rsidRDefault="006A32F6">
            <w:pPr>
              <w:jc w:val="center"/>
              <w:rPr>
                <w:rFonts w:ascii="Calibri" w:hAnsi="Calibri"/>
                <w:color w:val="0000FF"/>
                <w:sz w:val="22"/>
                <w:szCs w:val="22"/>
                <w:u w:val="single"/>
              </w:rPr>
            </w:pPr>
            <w:hyperlink w:history="1" r:id="rId12">
              <w:r w:rsidR="00D51C73">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D51C73" w:rsidP="00D51C73" w:rsidRDefault="00D51C73">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D51C73" w:rsidP="00D51C73" w:rsidRDefault="00D51C73">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D51C73" w:rsidP="00D51C73" w:rsidRDefault="00D51C73">
            <w:pPr>
              <w:rPr>
                <w:rFonts w:asciiTheme="minorHAnsi" w:hAnsiTheme="minorHAnsi"/>
                <w:color w:val="000000"/>
                <w:sz w:val="22"/>
                <w:szCs w:val="22"/>
              </w:rPr>
            </w:pPr>
          </w:p>
          <w:p w:rsidRPr="00AD4E0E" w:rsidR="00D51C73" w:rsidP="00D51C73" w:rsidRDefault="00D51C73">
            <w:pPr>
              <w:rPr>
                <w:rFonts w:asciiTheme="minorHAnsi" w:hAnsiTheme="minorHAnsi"/>
                <w:color w:val="000000"/>
                <w:sz w:val="22"/>
                <w:szCs w:val="22"/>
                <w:u w:val="single"/>
              </w:rPr>
            </w:pPr>
            <w:r>
              <w:rPr>
                <w:rFonts w:asciiTheme="minorHAnsi" w:hAnsiTheme="minorHAnsi"/>
                <w:color w:val="000000"/>
                <w:sz w:val="22"/>
                <w:szCs w:val="22"/>
              </w:rPr>
              <w:t>Noot: de deadline voor inbreng op deze consultatie loopt af op 23 oktober 2017.</w:t>
            </w:r>
          </w:p>
        </w:tc>
      </w:tr>
      <w:tr w:rsidRPr="000947B3" w:rsidR="008E0742" w:rsidTr="008E0742">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E0742" w:rsidP="008E0742" w:rsidRDefault="008E0742">
            <w:pPr>
              <w:jc w:val="center"/>
              <w:rPr>
                <w:rFonts w:ascii="Calibri" w:hAnsi="Calibri"/>
                <w:color w:val="000000"/>
                <w:sz w:val="22"/>
                <w:szCs w:val="22"/>
              </w:rPr>
            </w:pPr>
            <w:r>
              <w:rPr>
                <w:rFonts w:ascii="Calibri" w:hAnsi="Calibri"/>
                <w:color w:val="000000"/>
                <w:sz w:val="22"/>
                <w:szCs w:val="22"/>
              </w:rPr>
              <w:t>27-jul-17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E0742" w:rsidP="008E0742" w:rsidRDefault="008E0742">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E0742" w:rsidP="008E0742" w:rsidRDefault="008E0742">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8E0742" w:rsidR="008E0742" w:rsidRDefault="008E0742">
            <w:pPr>
              <w:rPr>
                <w:rFonts w:ascii="Calibri" w:hAnsi="Calibri"/>
                <w:color w:val="000000"/>
                <w:sz w:val="22"/>
                <w:szCs w:val="22"/>
                <w:lang w:val="en-GB"/>
              </w:rPr>
            </w:pPr>
            <w:r w:rsidRPr="008E0742">
              <w:rPr>
                <w:rFonts w:ascii="Calibri" w:hAnsi="Calibri"/>
                <w:color w:val="000000"/>
                <w:sz w:val="22"/>
                <w:szCs w:val="22"/>
                <w:lang w:val="en-GB"/>
              </w:rPr>
              <w:t xml:space="preserve">Public consultation on the evaluation of the European Maritime Safety Agency including its pollution response services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E0742" w:rsidRDefault="006A32F6">
            <w:pPr>
              <w:jc w:val="center"/>
              <w:rPr>
                <w:rFonts w:ascii="Calibri" w:hAnsi="Calibri"/>
                <w:color w:val="0000FF"/>
                <w:sz w:val="22"/>
                <w:szCs w:val="22"/>
                <w:u w:val="single"/>
              </w:rPr>
            </w:pPr>
            <w:hyperlink w:history="1" r:id="rId13">
              <w:r w:rsidR="008E0742">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8E0742" w:rsidP="008E0742" w:rsidRDefault="008E0742">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8E0742" w:rsidP="008E0742" w:rsidRDefault="008E0742">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8E0742" w:rsidP="008E0742" w:rsidRDefault="008E0742">
            <w:pPr>
              <w:rPr>
                <w:rFonts w:asciiTheme="minorHAnsi" w:hAnsiTheme="minorHAnsi"/>
                <w:color w:val="000000"/>
                <w:sz w:val="22"/>
                <w:szCs w:val="22"/>
              </w:rPr>
            </w:pPr>
          </w:p>
          <w:p w:rsidRPr="00AD4E0E" w:rsidR="008E0742" w:rsidP="008E0742" w:rsidRDefault="008E0742">
            <w:pPr>
              <w:rPr>
                <w:rFonts w:asciiTheme="minorHAnsi" w:hAnsiTheme="minorHAnsi"/>
                <w:color w:val="000000"/>
                <w:sz w:val="22"/>
                <w:szCs w:val="22"/>
                <w:u w:val="single"/>
              </w:rPr>
            </w:pPr>
            <w:r>
              <w:rPr>
                <w:rFonts w:asciiTheme="minorHAnsi" w:hAnsiTheme="minorHAnsi"/>
                <w:color w:val="000000"/>
                <w:sz w:val="22"/>
                <w:szCs w:val="22"/>
              </w:rPr>
              <w:t>Noot: de deadline voor inbreng op deze consultatie loopt af op 2 november 2017.</w:t>
            </w:r>
          </w:p>
        </w:tc>
      </w:tr>
      <w:tr w:rsidRPr="000947B3" w:rsidR="003510B5" w:rsidTr="003510B5">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510B5" w:rsidP="003510B5" w:rsidRDefault="003510B5">
            <w:pPr>
              <w:jc w:val="center"/>
              <w:rPr>
                <w:rFonts w:ascii="Calibri" w:hAnsi="Calibri"/>
                <w:color w:val="000000"/>
                <w:sz w:val="22"/>
                <w:szCs w:val="22"/>
              </w:rPr>
            </w:pPr>
            <w:r>
              <w:rPr>
                <w:rFonts w:ascii="Calibri" w:hAnsi="Calibri"/>
                <w:color w:val="000000"/>
                <w:sz w:val="22"/>
                <w:szCs w:val="22"/>
              </w:rPr>
              <w:t>31-jul-17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510B5" w:rsidP="003510B5" w:rsidRDefault="003510B5">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510B5" w:rsidP="003510B5" w:rsidRDefault="003510B5">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3510B5" w:rsidRDefault="003510B5">
            <w:pPr>
              <w:rPr>
                <w:rFonts w:ascii="Calibri" w:hAnsi="Calibri"/>
                <w:color w:val="000000"/>
                <w:sz w:val="22"/>
                <w:szCs w:val="22"/>
              </w:rPr>
            </w:pPr>
            <w:r>
              <w:rPr>
                <w:rFonts w:ascii="Calibri" w:hAnsi="Calibri"/>
                <w:color w:val="000000"/>
                <w:sz w:val="22"/>
                <w:szCs w:val="22"/>
              </w:rPr>
              <w:t>Evaluation of the Environmental Technologies Verification Pilot Programme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510B5" w:rsidRDefault="006A32F6">
            <w:pPr>
              <w:jc w:val="center"/>
              <w:rPr>
                <w:rFonts w:ascii="Calibri" w:hAnsi="Calibri"/>
                <w:color w:val="0000FF"/>
                <w:sz w:val="22"/>
                <w:szCs w:val="22"/>
                <w:u w:val="single"/>
              </w:rPr>
            </w:pPr>
            <w:hyperlink w:history="1" r:id="rId14">
              <w:r w:rsidR="003510B5">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3510B5" w:rsidP="003510B5" w:rsidRDefault="003510B5">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3510B5" w:rsidP="003510B5" w:rsidRDefault="003510B5">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3510B5" w:rsidP="003510B5" w:rsidRDefault="003510B5">
            <w:pPr>
              <w:rPr>
                <w:rFonts w:asciiTheme="minorHAnsi" w:hAnsiTheme="minorHAnsi"/>
                <w:color w:val="000000"/>
                <w:sz w:val="22"/>
                <w:szCs w:val="22"/>
              </w:rPr>
            </w:pPr>
          </w:p>
          <w:p w:rsidRPr="00AD4E0E" w:rsidR="003510B5" w:rsidP="003510B5" w:rsidRDefault="003510B5">
            <w:pPr>
              <w:rPr>
                <w:rFonts w:asciiTheme="minorHAnsi" w:hAnsiTheme="minorHAnsi"/>
                <w:color w:val="000000"/>
                <w:sz w:val="22"/>
                <w:szCs w:val="22"/>
                <w:u w:val="single"/>
              </w:rPr>
            </w:pPr>
            <w:r>
              <w:rPr>
                <w:rFonts w:asciiTheme="minorHAnsi" w:hAnsiTheme="minorHAnsi"/>
                <w:color w:val="000000"/>
                <w:sz w:val="22"/>
                <w:szCs w:val="22"/>
              </w:rPr>
              <w:t>Noot: de deadline voor inbreng op deze consultatie loopt af op 10 november 2017.</w:t>
            </w:r>
          </w:p>
        </w:tc>
      </w:tr>
      <w:tr w:rsidRPr="000947B3" w:rsidR="003B762C" w:rsidTr="003B762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B762C" w:rsidP="003B762C" w:rsidRDefault="003B762C">
            <w:pPr>
              <w:jc w:val="center"/>
              <w:rPr>
                <w:rFonts w:ascii="Calibri" w:hAnsi="Calibri"/>
                <w:color w:val="000000"/>
                <w:sz w:val="22"/>
                <w:szCs w:val="22"/>
              </w:rPr>
            </w:pPr>
            <w:r>
              <w:rPr>
                <w:rFonts w:ascii="Calibri" w:hAnsi="Calibri"/>
                <w:color w:val="000000"/>
                <w:sz w:val="22"/>
                <w:szCs w:val="22"/>
              </w:rPr>
              <w:t>31-jul-17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B762C" w:rsidP="003B762C" w:rsidRDefault="003B762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B762C" w:rsidP="003B762C" w:rsidRDefault="003B762C">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3B762C" w:rsidRDefault="003B762C">
            <w:pPr>
              <w:rPr>
                <w:rFonts w:ascii="Calibri" w:hAnsi="Calibri"/>
                <w:color w:val="000000"/>
                <w:sz w:val="22"/>
                <w:szCs w:val="22"/>
              </w:rPr>
            </w:pPr>
            <w:r>
              <w:rPr>
                <w:rFonts w:ascii="Calibri" w:hAnsi="Calibri"/>
                <w:color w:val="000000"/>
                <w:sz w:val="22"/>
                <w:szCs w:val="22"/>
              </w:rPr>
              <w:t>Openbare raadpleging over de herziening van de Verordening betreffende de algemene veiligheid van motorvoertuigen en de Verordening betreffende de bescherming van voetgangers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B762C" w:rsidRDefault="006A32F6">
            <w:pPr>
              <w:jc w:val="center"/>
              <w:rPr>
                <w:rFonts w:ascii="Calibri" w:hAnsi="Calibri"/>
                <w:color w:val="0000FF"/>
                <w:sz w:val="22"/>
                <w:szCs w:val="22"/>
                <w:u w:val="single"/>
              </w:rPr>
            </w:pPr>
            <w:hyperlink w:history="1" r:id="rId15">
              <w:r w:rsidR="003B762C">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3B762C" w:rsidP="003B762C" w:rsidRDefault="003B762C">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3B762C" w:rsidP="003B762C" w:rsidRDefault="003B762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3B762C" w:rsidP="003B762C" w:rsidRDefault="003B762C">
            <w:pPr>
              <w:rPr>
                <w:rFonts w:asciiTheme="minorHAnsi" w:hAnsiTheme="minorHAnsi"/>
                <w:color w:val="000000"/>
                <w:sz w:val="22"/>
                <w:szCs w:val="22"/>
              </w:rPr>
            </w:pPr>
          </w:p>
          <w:p w:rsidRPr="00AD4E0E" w:rsidR="003B762C" w:rsidP="003B762C" w:rsidRDefault="003B762C">
            <w:pPr>
              <w:rPr>
                <w:rFonts w:asciiTheme="minorHAnsi" w:hAnsiTheme="minorHAnsi"/>
                <w:color w:val="000000"/>
                <w:sz w:val="22"/>
                <w:szCs w:val="22"/>
                <w:u w:val="single"/>
              </w:rPr>
            </w:pPr>
            <w:r>
              <w:rPr>
                <w:rFonts w:asciiTheme="minorHAnsi" w:hAnsiTheme="minorHAnsi"/>
                <w:color w:val="000000"/>
                <w:sz w:val="22"/>
                <w:szCs w:val="22"/>
              </w:rPr>
              <w:t>Noot: de deadline voor inbreng op deze consultatie loopt af op 22 oktober 2017.</w:t>
            </w:r>
          </w:p>
        </w:tc>
      </w:tr>
    </w:tbl>
    <w:p w:rsidRPr="006605C6" w:rsidR="00F74ED7" w:rsidP="00E34A2D" w:rsidRDefault="00F74ED7">
      <w:pPr>
        <w:pStyle w:val="Voetnoottekst"/>
        <w:rPr>
          <w:rFonts w:ascii="Verdana" w:hAnsi="Verdana"/>
          <w:b/>
        </w:rPr>
      </w:pPr>
    </w:p>
    <w:p w:rsidRPr="006605C6" w:rsidR="00F74ED7" w:rsidRDefault="00F74ED7">
      <w:pPr>
        <w:rPr>
          <w:rFonts w:ascii="Verdana" w:hAnsi="Verdana"/>
          <w:b/>
          <w:sz w:val="20"/>
          <w:szCs w:val="20"/>
        </w:rPr>
      </w:pPr>
      <w:r w:rsidRPr="006605C6">
        <w:rPr>
          <w:rFonts w:ascii="Verdana" w:hAnsi="Verdana"/>
          <w:b/>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6">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EB" w:rsidRDefault="006E48EB" w:rsidP="00E34A2D">
      <w:r>
        <w:separator/>
      </w:r>
    </w:p>
  </w:endnote>
  <w:endnote w:type="continuationSeparator" w:id="0">
    <w:p w:rsidR="006E48EB" w:rsidRDefault="006E48EB"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EB" w:rsidRDefault="006E48EB" w:rsidP="00E34A2D">
      <w:r>
        <w:separator/>
      </w:r>
    </w:p>
  </w:footnote>
  <w:footnote w:type="continuationSeparator" w:id="0">
    <w:p w:rsidR="006E48EB" w:rsidRDefault="006E48EB"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4740C"/>
    <w:rsid w:val="00057DE3"/>
    <w:rsid w:val="00066693"/>
    <w:rsid w:val="00076F95"/>
    <w:rsid w:val="000842C8"/>
    <w:rsid w:val="000A2B12"/>
    <w:rsid w:val="001717B9"/>
    <w:rsid w:val="00191F74"/>
    <w:rsid w:val="00200C1D"/>
    <w:rsid w:val="00223DF9"/>
    <w:rsid w:val="0022783E"/>
    <w:rsid w:val="00273611"/>
    <w:rsid w:val="002A1C59"/>
    <w:rsid w:val="002E6DA8"/>
    <w:rsid w:val="00316C98"/>
    <w:rsid w:val="003510B5"/>
    <w:rsid w:val="003B762C"/>
    <w:rsid w:val="003E0BCD"/>
    <w:rsid w:val="00420609"/>
    <w:rsid w:val="00435D03"/>
    <w:rsid w:val="00473F02"/>
    <w:rsid w:val="004C5A17"/>
    <w:rsid w:val="004C7A6A"/>
    <w:rsid w:val="004E4562"/>
    <w:rsid w:val="00505AFF"/>
    <w:rsid w:val="00507AC9"/>
    <w:rsid w:val="00545D82"/>
    <w:rsid w:val="00546B1D"/>
    <w:rsid w:val="005B7672"/>
    <w:rsid w:val="005E30E3"/>
    <w:rsid w:val="00640A4E"/>
    <w:rsid w:val="006605C6"/>
    <w:rsid w:val="00666395"/>
    <w:rsid w:val="006732E8"/>
    <w:rsid w:val="00685915"/>
    <w:rsid w:val="00686770"/>
    <w:rsid w:val="00694BCA"/>
    <w:rsid w:val="006A0D87"/>
    <w:rsid w:val="006A32F6"/>
    <w:rsid w:val="006D4A88"/>
    <w:rsid w:val="006E48EB"/>
    <w:rsid w:val="00707B33"/>
    <w:rsid w:val="00726889"/>
    <w:rsid w:val="00736970"/>
    <w:rsid w:val="0074305F"/>
    <w:rsid w:val="007529D4"/>
    <w:rsid w:val="0076598A"/>
    <w:rsid w:val="00796A54"/>
    <w:rsid w:val="007B3194"/>
    <w:rsid w:val="007B34BC"/>
    <w:rsid w:val="007D40B9"/>
    <w:rsid w:val="007E3D88"/>
    <w:rsid w:val="00811362"/>
    <w:rsid w:val="008309FF"/>
    <w:rsid w:val="008E0742"/>
    <w:rsid w:val="008E28F7"/>
    <w:rsid w:val="009160FA"/>
    <w:rsid w:val="00916D21"/>
    <w:rsid w:val="00917FCF"/>
    <w:rsid w:val="00931F2B"/>
    <w:rsid w:val="009419E4"/>
    <w:rsid w:val="009464F8"/>
    <w:rsid w:val="00964C2E"/>
    <w:rsid w:val="00974103"/>
    <w:rsid w:val="009A0FC6"/>
    <w:rsid w:val="009A4778"/>
    <w:rsid w:val="009C388A"/>
    <w:rsid w:val="009E3021"/>
    <w:rsid w:val="00A137D8"/>
    <w:rsid w:val="00A3314F"/>
    <w:rsid w:val="00A54D1F"/>
    <w:rsid w:val="00A95F68"/>
    <w:rsid w:val="00AC7F3C"/>
    <w:rsid w:val="00AD4E0E"/>
    <w:rsid w:val="00AE5D29"/>
    <w:rsid w:val="00AF3F1D"/>
    <w:rsid w:val="00B06716"/>
    <w:rsid w:val="00B31027"/>
    <w:rsid w:val="00B35E56"/>
    <w:rsid w:val="00B464EB"/>
    <w:rsid w:val="00BB0A70"/>
    <w:rsid w:val="00BC696D"/>
    <w:rsid w:val="00C00CFA"/>
    <w:rsid w:val="00C40D4F"/>
    <w:rsid w:val="00C70943"/>
    <w:rsid w:val="00CD2557"/>
    <w:rsid w:val="00D004FC"/>
    <w:rsid w:val="00D51C73"/>
    <w:rsid w:val="00D52CF9"/>
    <w:rsid w:val="00D729AB"/>
    <w:rsid w:val="00D775CA"/>
    <w:rsid w:val="00D96C24"/>
    <w:rsid w:val="00DE2C83"/>
    <w:rsid w:val="00E34A2D"/>
    <w:rsid w:val="00E52F23"/>
    <w:rsid w:val="00E60E54"/>
    <w:rsid w:val="00E72B18"/>
    <w:rsid w:val="00EA2272"/>
    <w:rsid w:val="00ED40CC"/>
    <w:rsid w:val="00F3194C"/>
    <w:rsid w:val="00F552B9"/>
    <w:rsid w:val="00F66BD3"/>
    <w:rsid w:val="00F74ED7"/>
    <w:rsid w:val="00FA15B5"/>
    <w:rsid w:val="00FA27D6"/>
    <w:rsid w:val="00FC67DB"/>
    <w:rsid w:val="00FE39E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c.europa.eu/transport/modes/maritime/consultations/2017-emsa-evaluation_en"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ec.europa.eu/info/consultations/public-consultation-support-evaluation-european-environment-agency-and-its-european-environment-information-and-observation-network-0_nl" TargetMode="External" Id="rId12" /><Relationship Type="http://schemas.openxmlformats.org/officeDocument/2006/relationships/hyperlink" Target="http://ec.europa.eu/yourvoice/consultations/index_nl.htm" TargetMode="External" Id="rId17" /><Relationship Type="http://schemas.openxmlformats.org/officeDocument/2006/relationships/numbering" Target="numbering.xml" Id="rId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webSettings" Target="webSettings.xml" Id="rId6" /><Relationship Type="http://schemas.openxmlformats.org/officeDocument/2006/relationships/hyperlink" Target="https://ec.europa.eu/transport/content/evaluation-regulation-9962010-investigating-aviation-accidents-eu_en" TargetMode="External" Id="rId11" /><Relationship Type="http://schemas.openxmlformats.org/officeDocument/2006/relationships/settings" Target="settings.xml" Id="rId5" /><Relationship Type="http://schemas.openxmlformats.org/officeDocument/2006/relationships/hyperlink" Target="https://ec.europa.eu/info/consultations/public-consultation-revision-vehicle-general-safety-regulation-and-pedestrian-safety-regulation_nl" TargetMode="External" Id="rId15" /><Relationship Type="http://schemas.openxmlformats.org/officeDocument/2006/relationships/hyperlink" Target="http://ec.europa.eu/info/consultations/public-consultation-implementation-atlantic-action-plan_nl" TargetMode="Externa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hyperlink" Target="http://www.ipex.eu/IPEXL-WEB/dossier/document/COM20170353.do" TargetMode="External" Id="rId9" /><Relationship Type="http://schemas.openxmlformats.org/officeDocument/2006/relationships/hyperlink" Target="https://ec.europa.eu/info/consultations/evaluation-environmental-technologies-verification-pilot-programme_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2308</ap:Words>
  <ap:Characters>16010</ap:Characters>
  <ap:DocSecurity>4</ap:DocSecurity>
  <ap:Lines>133</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2017-08-30T13:50:00.0000000Z</lastPrinted>
  <dcterms:created xsi:type="dcterms:W3CDTF">2017-08-30T13:56:00.0000000Z</dcterms:created>
  <dcterms:modified xsi:type="dcterms:W3CDTF">2017-08-30T13:56:00.0000000Z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0x010100FF85624218863847BF3DE928AA84504F</vt:lpwstr>
  </property>
</Properties>
</file>