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0FC6" w:rsidP="009A0FC6" w:rsidRDefault="009A0FC6">
      <w:pPr>
        <w:rPr>
          <w:rFonts w:asciiTheme="minorHAnsi" w:hAnsiTheme="minorHAnsi"/>
          <w:b/>
          <w:sz w:val="22"/>
          <w:szCs w:val="22"/>
        </w:rPr>
      </w:pPr>
      <w:bookmarkStart w:name="_GoBack" w:id="0"/>
      <w:bookmarkEnd w:id="0"/>
      <w:r w:rsidRPr="00854ED8">
        <w:rPr>
          <w:rFonts w:asciiTheme="minorHAnsi" w:hAnsiTheme="minorHAnsi"/>
          <w:b/>
          <w:sz w:val="22"/>
          <w:szCs w:val="22"/>
        </w:rPr>
        <w:t>Lijst met EU-voorstellen op het terrein van de commissie I&amp;M</w:t>
      </w:r>
    </w:p>
    <w:p w:rsidRPr="00F67F5B" w:rsidR="00A137D8" w:rsidP="00A137D8" w:rsidRDefault="00A137D8">
      <w:pPr>
        <w:rPr>
          <w:rFonts w:asciiTheme="minorHAnsi" w:hAnsiTheme="minorHAnsi"/>
          <w:sz w:val="22"/>
          <w:szCs w:val="22"/>
        </w:rPr>
      </w:pPr>
    </w:p>
    <w:p w:rsidRPr="00BF35EE" w:rsidR="00A137D8" w:rsidP="00A137D8" w:rsidRDefault="00A137D8">
      <w:pPr>
        <w:rPr>
          <w:rFonts w:asciiTheme="minorHAnsi" w:hAnsiTheme="minorHAnsi"/>
          <w:sz w:val="22"/>
          <w:szCs w:val="22"/>
          <w:u w:val="single"/>
        </w:rPr>
      </w:pPr>
      <w:r w:rsidRPr="00BF35EE">
        <w:rPr>
          <w:rFonts w:asciiTheme="minorHAnsi" w:hAnsiTheme="minorHAnsi"/>
          <w:sz w:val="22"/>
          <w:szCs w:val="22"/>
          <w:u w:val="single"/>
        </w:rPr>
        <w:t xml:space="preserve">Integraal overzicht met nieuw gepubliceerde EU-voorstellen </w:t>
      </w:r>
      <w:r w:rsidRPr="00F74ED7">
        <w:rPr>
          <w:rFonts w:asciiTheme="minorHAnsi" w:hAnsiTheme="minorHAnsi"/>
          <w:sz w:val="22"/>
          <w:szCs w:val="22"/>
          <w:u w:val="single"/>
        </w:rPr>
        <w:t xml:space="preserve">weken </w:t>
      </w:r>
      <w:r w:rsidRPr="00F74ED7" w:rsidR="00FE39EB">
        <w:rPr>
          <w:rFonts w:asciiTheme="minorHAnsi" w:hAnsiTheme="minorHAnsi"/>
          <w:sz w:val="22"/>
          <w:szCs w:val="22"/>
          <w:u w:val="single"/>
        </w:rPr>
        <w:t>2</w:t>
      </w:r>
      <w:r w:rsidR="0074305F">
        <w:rPr>
          <w:rFonts w:asciiTheme="minorHAnsi" w:hAnsiTheme="minorHAnsi"/>
          <w:sz w:val="22"/>
          <w:szCs w:val="22"/>
          <w:u w:val="single"/>
        </w:rPr>
        <w:t>6</w:t>
      </w:r>
      <w:r w:rsidR="00A3314F">
        <w:rPr>
          <w:rFonts w:asciiTheme="minorHAnsi" w:hAnsiTheme="minorHAnsi"/>
          <w:sz w:val="22"/>
          <w:szCs w:val="22"/>
          <w:u w:val="single"/>
        </w:rPr>
        <w:t>-</w:t>
      </w:r>
      <w:r w:rsidR="0074305F">
        <w:rPr>
          <w:rFonts w:asciiTheme="minorHAnsi" w:hAnsiTheme="minorHAnsi"/>
          <w:sz w:val="22"/>
          <w:szCs w:val="22"/>
          <w:u w:val="single"/>
        </w:rPr>
        <w:t>35</w:t>
      </w:r>
      <w:r w:rsidRPr="00F74ED7">
        <w:rPr>
          <w:rFonts w:asciiTheme="minorHAnsi" w:hAnsiTheme="minorHAnsi"/>
          <w:sz w:val="22"/>
          <w:szCs w:val="22"/>
          <w:u w:val="single"/>
        </w:rPr>
        <w:t xml:space="preserve"> (</w:t>
      </w:r>
      <w:r w:rsidR="0074305F">
        <w:rPr>
          <w:rFonts w:asciiTheme="minorHAnsi" w:hAnsiTheme="minorHAnsi"/>
          <w:sz w:val="22"/>
          <w:szCs w:val="22"/>
          <w:u w:val="single"/>
        </w:rPr>
        <w:t>2</w:t>
      </w:r>
      <w:r w:rsidR="00AD4E0E">
        <w:rPr>
          <w:rFonts w:asciiTheme="minorHAnsi" w:hAnsiTheme="minorHAnsi"/>
          <w:sz w:val="22"/>
          <w:szCs w:val="22"/>
          <w:u w:val="single"/>
        </w:rPr>
        <w:t xml:space="preserve">9 juni </w:t>
      </w:r>
      <w:r w:rsidRPr="00F74ED7" w:rsidR="009A0FC6">
        <w:rPr>
          <w:rFonts w:asciiTheme="minorHAnsi" w:hAnsiTheme="minorHAnsi"/>
          <w:sz w:val="22"/>
          <w:szCs w:val="22"/>
          <w:u w:val="single"/>
        </w:rPr>
        <w:t>2017</w:t>
      </w:r>
      <w:r w:rsidRPr="00F74ED7" w:rsidR="00FA27D6">
        <w:rPr>
          <w:rFonts w:asciiTheme="minorHAnsi" w:hAnsiTheme="minorHAnsi"/>
          <w:sz w:val="22"/>
          <w:szCs w:val="22"/>
          <w:u w:val="single"/>
        </w:rPr>
        <w:t xml:space="preserve"> -</w:t>
      </w:r>
      <w:r w:rsidR="0074305F">
        <w:rPr>
          <w:rFonts w:asciiTheme="minorHAnsi" w:hAnsiTheme="minorHAnsi"/>
          <w:sz w:val="22"/>
          <w:szCs w:val="22"/>
          <w:u w:val="single"/>
        </w:rPr>
        <w:t xml:space="preserve"> </w:t>
      </w:r>
      <w:r w:rsidR="0004740C">
        <w:rPr>
          <w:rFonts w:asciiTheme="minorHAnsi" w:hAnsiTheme="minorHAnsi"/>
          <w:sz w:val="22"/>
          <w:szCs w:val="22"/>
          <w:u w:val="single"/>
        </w:rPr>
        <w:t>31 juli</w:t>
      </w:r>
      <w:r w:rsidR="0074305F">
        <w:rPr>
          <w:rFonts w:asciiTheme="minorHAnsi" w:hAnsiTheme="minorHAnsi"/>
          <w:sz w:val="22"/>
          <w:szCs w:val="22"/>
          <w:u w:val="single"/>
        </w:rPr>
        <w:t xml:space="preserve"> </w:t>
      </w:r>
      <w:r w:rsidRPr="00F74ED7" w:rsidR="006A0D87">
        <w:rPr>
          <w:rFonts w:asciiTheme="minorHAnsi" w:hAnsiTheme="minorHAnsi"/>
          <w:sz w:val="22"/>
          <w:szCs w:val="22"/>
          <w:u w:val="single"/>
        </w:rPr>
        <w:t>2017</w:t>
      </w:r>
      <w:r w:rsidRPr="00F74ED7">
        <w:rPr>
          <w:rFonts w:asciiTheme="minorHAnsi" w:hAnsiTheme="minorHAnsi"/>
          <w:sz w:val="22"/>
          <w:szCs w:val="22"/>
          <w:u w:val="single"/>
        </w:rPr>
        <w:t xml:space="preserve">) d.d. </w:t>
      </w:r>
      <w:r w:rsidR="0074305F">
        <w:rPr>
          <w:rFonts w:asciiTheme="minorHAnsi" w:hAnsiTheme="minorHAnsi"/>
          <w:sz w:val="22"/>
          <w:szCs w:val="22"/>
          <w:u w:val="single"/>
        </w:rPr>
        <w:t>30 augustus</w:t>
      </w:r>
      <w:r w:rsidRPr="00F74ED7" w:rsidR="009A0FC6">
        <w:rPr>
          <w:rFonts w:asciiTheme="minorHAnsi" w:hAnsiTheme="minorHAnsi"/>
          <w:sz w:val="22"/>
          <w:szCs w:val="22"/>
          <w:u w:val="single"/>
        </w:rPr>
        <w:t xml:space="preserve"> 2017</w:t>
      </w:r>
    </w:p>
    <w:p w:rsidRPr="00F67F5B" w:rsidR="00A137D8" w:rsidP="00A137D8" w:rsidRDefault="00A137D8">
      <w:pPr>
        <w:rPr>
          <w:rFonts w:asciiTheme="minorHAnsi" w:hAnsiTheme="minorHAnsi"/>
          <w:sz w:val="22"/>
          <w:szCs w:val="22"/>
        </w:rPr>
      </w:pPr>
    </w:p>
    <w:p w:rsidRPr="00FD013F" w:rsidR="00A137D8" w:rsidP="00A137D8" w:rsidRDefault="00A137D8">
      <w:pPr>
        <w:rPr>
          <w:rFonts w:asciiTheme="minorHAnsi" w:hAnsiTheme="minorHAnsi"/>
          <w:sz w:val="22"/>
          <w:szCs w:val="22"/>
        </w:rPr>
      </w:pPr>
      <w:r w:rsidRPr="00FD013F">
        <w:rPr>
          <w:rFonts w:asciiTheme="minorHAnsi" w:hAnsiTheme="minorHAnsi"/>
          <w:sz w:val="22"/>
          <w:szCs w:val="22"/>
        </w:rPr>
        <w:t>Rood gemarkeerd betekent dat het desbetreffende EU-voorstel behoort tot een door de commissie als prioritair be</w:t>
      </w:r>
      <w:r w:rsidR="0076598A">
        <w:rPr>
          <w:rFonts w:asciiTheme="minorHAnsi" w:hAnsiTheme="minorHAnsi"/>
          <w:sz w:val="22"/>
          <w:szCs w:val="22"/>
        </w:rPr>
        <w:t>stempeld dossier. Omdat g</w:t>
      </w:r>
      <w:r w:rsidRPr="00FD013F">
        <w:rPr>
          <w:rFonts w:asciiTheme="minorHAnsi" w:hAnsiTheme="minorHAnsi"/>
          <w:sz w:val="22"/>
          <w:szCs w:val="22"/>
        </w:rPr>
        <w:t xml:space="preserve">roen- en </w:t>
      </w:r>
      <w:r w:rsidR="0076598A">
        <w:rPr>
          <w:rFonts w:asciiTheme="minorHAnsi" w:hAnsiTheme="minorHAnsi"/>
          <w:sz w:val="22"/>
          <w:szCs w:val="22"/>
        </w:rPr>
        <w:t>w</w:t>
      </w:r>
      <w:r w:rsidRPr="00FD013F">
        <w:rPr>
          <w:rFonts w:asciiTheme="minorHAnsi" w:hAnsiTheme="minorHAnsi"/>
          <w:sz w:val="22"/>
          <w:szCs w:val="22"/>
        </w:rPr>
        <w:t xml:space="preserve">itboeken en prioritaire </w:t>
      </w:r>
      <w:r w:rsidR="0076598A">
        <w:rPr>
          <w:rFonts w:asciiTheme="minorHAnsi" w:hAnsiTheme="minorHAnsi"/>
          <w:sz w:val="22"/>
          <w:szCs w:val="22"/>
        </w:rPr>
        <w:t>EU-</w:t>
      </w:r>
      <w:r w:rsidRPr="00FD013F">
        <w:rPr>
          <w:rFonts w:asciiTheme="minorHAnsi" w:hAnsiTheme="minorHAnsi"/>
          <w:sz w:val="22"/>
          <w:szCs w:val="22"/>
        </w:rPr>
        <w:t xml:space="preserve">voorstellen ook afzonderlijk worden geagendeerd, </w:t>
      </w:r>
      <w:r w:rsidR="0076598A">
        <w:rPr>
          <w:rFonts w:asciiTheme="minorHAnsi" w:hAnsiTheme="minorHAnsi"/>
          <w:sz w:val="22"/>
          <w:szCs w:val="22"/>
        </w:rPr>
        <w:t xml:space="preserve">wordt </w:t>
      </w:r>
      <w:r w:rsidRPr="00FD013F">
        <w:rPr>
          <w:rFonts w:asciiTheme="minorHAnsi" w:hAnsiTheme="minorHAnsi"/>
          <w:sz w:val="22"/>
          <w:szCs w:val="22"/>
        </w:rPr>
        <w:t>hiervoor</w:t>
      </w:r>
      <w:r w:rsidR="0076598A">
        <w:rPr>
          <w:rFonts w:asciiTheme="minorHAnsi" w:hAnsiTheme="minorHAnsi"/>
          <w:sz w:val="22"/>
          <w:szCs w:val="22"/>
        </w:rPr>
        <w:t xml:space="preserve"> - indien aan de orde -</w:t>
      </w:r>
      <w:r>
        <w:rPr>
          <w:rFonts w:asciiTheme="minorHAnsi" w:hAnsiTheme="minorHAnsi"/>
          <w:sz w:val="22"/>
          <w:szCs w:val="22"/>
        </w:rPr>
        <w:t xml:space="preserve"> bij “Opmerking”</w:t>
      </w:r>
      <w:r w:rsidRPr="00FD013F">
        <w:rPr>
          <w:rFonts w:asciiTheme="minorHAnsi" w:hAnsiTheme="minorHAnsi"/>
          <w:sz w:val="22"/>
          <w:szCs w:val="22"/>
        </w:rPr>
        <w:t xml:space="preserve"> </w:t>
      </w:r>
      <w:r>
        <w:rPr>
          <w:rFonts w:asciiTheme="minorHAnsi" w:hAnsiTheme="minorHAnsi"/>
          <w:sz w:val="22"/>
          <w:szCs w:val="22"/>
        </w:rPr>
        <w:t xml:space="preserve">met </w:t>
      </w:r>
      <w:r w:rsidRPr="00FD013F">
        <w:rPr>
          <w:rFonts w:asciiTheme="minorHAnsi" w:hAnsiTheme="minorHAnsi"/>
          <w:sz w:val="22"/>
          <w:szCs w:val="22"/>
        </w:rPr>
        <w:t>een verwijzing naar het aparte agendapunt en de mogelijk hierbij behorende EU-stafnotitie</w:t>
      </w:r>
      <w:r>
        <w:rPr>
          <w:rFonts w:asciiTheme="minorHAnsi" w:hAnsiTheme="minorHAnsi"/>
          <w:sz w:val="22"/>
          <w:szCs w:val="22"/>
        </w:rPr>
        <w:t xml:space="preserve"> volstaan</w:t>
      </w:r>
      <w:r w:rsidRPr="00FD013F">
        <w:rPr>
          <w:rFonts w:asciiTheme="minorHAnsi" w:hAnsiTheme="minorHAnsi"/>
          <w:sz w:val="22"/>
          <w:szCs w:val="22"/>
        </w:rPr>
        <w:t>.</w:t>
      </w:r>
    </w:p>
    <w:p w:rsidRPr="00F67F5B" w:rsidR="00A137D8" w:rsidP="00A137D8" w:rsidRDefault="00A137D8">
      <w:pPr>
        <w:rPr>
          <w:rFonts w:asciiTheme="minorHAnsi" w:hAnsiTheme="minorHAnsi"/>
          <w:sz w:val="22"/>
          <w:szCs w:val="22"/>
        </w:rPr>
      </w:pPr>
    </w:p>
    <w:tbl>
      <w:tblPr>
        <w:tblW w:w="14655"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980"/>
        <w:gridCol w:w="1203"/>
        <w:gridCol w:w="1254"/>
        <w:gridCol w:w="4890"/>
        <w:gridCol w:w="720"/>
        <w:gridCol w:w="1033"/>
        <w:gridCol w:w="4575"/>
      </w:tblGrid>
      <w:tr w:rsidRPr="00F67F5B" w:rsidR="00A137D8" w:rsidTr="0034235C">
        <w:trPr>
          <w:trHeight w:val="1550"/>
        </w:trPr>
        <w:tc>
          <w:tcPr>
            <w:tcW w:w="980" w:type="dxa"/>
            <w:shd w:val="clear" w:color="auto" w:fill="auto"/>
            <w:textDirection w:val="btLr"/>
            <w:vAlign w:val="bottom"/>
            <w:hideMark/>
          </w:tcPr>
          <w:p w:rsidRPr="00F50A0B" w:rsidR="00A137D8" w:rsidP="0034235C" w:rsidRDefault="00A137D8">
            <w:pPr>
              <w:jc w:val="center"/>
              <w:rPr>
                <w:rFonts w:asciiTheme="minorHAnsi" w:hAnsiTheme="minorHAnsi"/>
                <w:b/>
                <w:bCs/>
                <w:color w:val="000000"/>
                <w:sz w:val="22"/>
                <w:szCs w:val="22"/>
              </w:rPr>
            </w:pPr>
            <w:r w:rsidRPr="00F50A0B">
              <w:rPr>
                <w:rFonts w:asciiTheme="minorHAnsi" w:hAnsiTheme="minorHAnsi"/>
                <w:b/>
                <w:bCs/>
                <w:color w:val="000000"/>
                <w:sz w:val="22"/>
                <w:szCs w:val="22"/>
              </w:rPr>
              <w:t>Publicatie-</w:t>
            </w:r>
          </w:p>
          <w:p w:rsidRPr="00F67F5B" w:rsidR="00A137D8" w:rsidP="0034235C" w:rsidRDefault="00A137D8">
            <w:pPr>
              <w:jc w:val="center"/>
              <w:rPr>
                <w:rFonts w:asciiTheme="minorHAnsi" w:hAnsiTheme="minorHAnsi"/>
                <w:b/>
                <w:bCs/>
                <w:color w:val="000000"/>
                <w:sz w:val="22"/>
                <w:szCs w:val="22"/>
              </w:rPr>
            </w:pPr>
            <w:r w:rsidRPr="00F50A0B">
              <w:rPr>
                <w:rFonts w:asciiTheme="minorHAnsi" w:hAnsiTheme="minorHAnsi"/>
                <w:b/>
                <w:bCs/>
                <w:color w:val="000000"/>
                <w:sz w:val="22"/>
                <w:szCs w:val="22"/>
              </w:rPr>
              <w:t>datum</w:t>
            </w:r>
          </w:p>
        </w:tc>
        <w:tc>
          <w:tcPr>
            <w:tcW w:w="1203" w:type="dxa"/>
            <w:shd w:val="clear" w:color="auto" w:fill="auto"/>
            <w:textDirection w:val="btLr"/>
            <w:vAlign w:val="bottom"/>
            <w:hideMark/>
          </w:tcPr>
          <w:p w:rsidRPr="00F67F5B" w:rsidR="00A137D8" w:rsidP="0034235C" w:rsidRDefault="00A137D8">
            <w:pPr>
              <w:jc w:val="center"/>
              <w:rPr>
                <w:rFonts w:asciiTheme="minorHAnsi" w:hAnsiTheme="minorHAnsi"/>
                <w:b/>
                <w:bCs/>
                <w:color w:val="000000"/>
                <w:sz w:val="22"/>
                <w:szCs w:val="22"/>
              </w:rPr>
            </w:pPr>
            <w:r w:rsidRPr="00F67F5B">
              <w:rPr>
                <w:rFonts w:asciiTheme="minorHAnsi" w:hAnsiTheme="minorHAnsi"/>
                <w:b/>
                <w:bCs/>
                <w:color w:val="000000"/>
                <w:sz w:val="22"/>
                <w:szCs w:val="22"/>
              </w:rPr>
              <w:t>Voortouw</w:t>
            </w:r>
          </w:p>
        </w:tc>
        <w:tc>
          <w:tcPr>
            <w:tcW w:w="1254" w:type="dxa"/>
            <w:shd w:val="clear" w:color="auto" w:fill="auto"/>
            <w:textDirection w:val="btLr"/>
            <w:vAlign w:val="bottom"/>
            <w:hideMark/>
          </w:tcPr>
          <w:p w:rsidRPr="00F67F5B" w:rsidR="00A137D8" w:rsidP="0034235C" w:rsidRDefault="00A137D8">
            <w:pPr>
              <w:jc w:val="center"/>
              <w:rPr>
                <w:rFonts w:asciiTheme="minorHAnsi" w:hAnsiTheme="minorHAnsi"/>
                <w:b/>
                <w:bCs/>
                <w:color w:val="000000"/>
                <w:sz w:val="22"/>
                <w:szCs w:val="22"/>
              </w:rPr>
            </w:pPr>
            <w:r w:rsidRPr="00F67F5B">
              <w:rPr>
                <w:rFonts w:asciiTheme="minorHAnsi" w:hAnsiTheme="minorHAnsi"/>
                <w:b/>
                <w:bCs/>
                <w:color w:val="000000"/>
                <w:sz w:val="22"/>
                <w:szCs w:val="22"/>
              </w:rPr>
              <w:t>Soort</w:t>
            </w:r>
          </w:p>
        </w:tc>
        <w:tc>
          <w:tcPr>
            <w:tcW w:w="4890" w:type="dxa"/>
            <w:shd w:val="clear" w:color="auto" w:fill="auto"/>
            <w:textDirection w:val="btLr"/>
            <w:vAlign w:val="bottom"/>
            <w:hideMark/>
          </w:tcPr>
          <w:p w:rsidRPr="00F67F5B" w:rsidR="00A137D8" w:rsidP="0034235C" w:rsidRDefault="00A137D8">
            <w:pPr>
              <w:jc w:val="center"/>
              <w:rPr>
                <w:rFonts w:asciiTheme="minorHAnsi" w:hAnsiTheme="minorHAnsi"/>
                <w:b/>
                <w:bCs/>
                <w:color w:val="000000"/>
                <w:sz w:val="22"/>
                <w:szCs w:val="22"/>
              </w:rPr>
            </w:pPr>
            <w:r w:rsidRPr="00F67F5B">
              <w:rPr>
                <w:rFonts w:asciiTheme="minorHAnsi" w:hAnsiTheme="minorHAnsi"/>
                <w:b/>
                <w:bCs/>
                <w:color w:val="000000"/>
                <w:sz w:val="22"/>
                <w:szCs w:val="22"/>
              </w:rPr>
              <w:t>Titel</w:t>
            </w:r>
          </w:p>
        </w:tc>
        <w:tc>
          <w:tcPr>
            <w:tcW w:w="720" w:type="dxa"/>
            <w:shd w:val="clear" w:color="auto" w:fill="auto"/>
            <w:textDirection w:val="btLr"/>
            <w:vAlign w:val="bottom"/>
            <w:hideMark/>
          </w:tcPr>
          <w:p w:rsidRPr="00F67F5B" w:rsidR="00A137D8" w:rsidP="0034235C" w:rsidRDefault="00A137D8">
            <w:pPr>
              <w:jc w:val="center"/>
              <w:rPr>
                <w:rFonts w:asciiTheme="minorHAnsi" w:hAnsiTheme="minorHAnsi"/>
                <w:b/>
                <w:bCs/>
                <w:color w:val="000000"/>
                <w:sz w:val="22"/>
                <w:szCs w:val="22"/>
              </w:rPr>
            </w:pPr>
            <w:r w:rsidRPr="00F67F5B">
              <w:rPr>
                <w:rFonts w:asciiTheme="minorHAnsi" w:hAnsiTheme="minorHAnsi"/>
                <w:b/>
                <w:bCs/>
                <w:color w:val="000000"/>
                <w:sz w:val="22"/>
                <w:szCs w:val="22"/>
              </w:rPr>
              <w:t>C</w:t>
            </w:r>
            <w:r>
              <w:rPr>
                <w:rFonts w:asciiTheme="minorHAnsi" w:hAnsiTheme="minorHAnsi"/>
                <w:b/>
                <w:bCs/>
                <w:color w:val="000000"/>
                <w:sz w:val="22"/>
                <w:szCs w:val="22"/>
              </w:rPr>
              <w:t>OM</w:t>
            </w:r>
            <w:r w:rsidRPr="00F67F5B">
              <w:rPr>
                <w:rFonts w:asciiTheme="minorHAnsi" w:hAnsiTheme="minorHAnsi"/>
                <w:b/>
                <w:bCs/>
                <w:color w:val="000000"/>
                <w:sz w:val="22"/>
                <w:szCs w:val="22"/>
              </w:rPr>
              <w:t>-nummer</w:t>
            </w:r>
          </w:p>
        </w:tc>
        <w:tc>
          <w:tcPr>
            <w:tcW w:w="1033" w:type="dxa"/>
            <w:textDirection w:val="btLr"/>
          </w:tcPr>
          <w:p w:rsidR="00A137D8" w:rsidP="0034235C" w:rsidRDefault="00A137D8">
            <w:pPr>
              <w:jc w:val="center"/>
              <w:rPr>
                <w:rFonts w:asciiTheme="minorHAnsi" w:hAnsiTheme="minorHAnsi"/>
                <w:b/>
                <w:bCs/>
                <w:color w:val="000000"/>
                <w:sz w:val="22"/>
                <w:szCs w:val="22"/>
              </w:rPr>
            </w:pPr>
          </w:p>
          <w:p w:rsidRPr="00F50A0B" w:rsidR="00A137D8" w:rsidP="0034235C" w:rsidRDefault="00A137D8">
            <w:pPr>
              <w:jc w:val="center"/>
              <w:rPr>
                <w:rFonts w:asciiTheme="minorHAnsi" w:hAnsiTheme="minorHAnsi"/>
                <w:b/>
                <w:bCs/>
                <w:color w:val="000000"/>
                <w:sz w:val="22"/>
                <w:szCs w:val="22"/>
              </w:rPr>
            </w:pPr>
            <w:r w:rsidRPr="00F50A0B">
              <w:rPr>
                <w:rFonts w:asciiTheme="minorHAnsi" w:hAnsiTheme="minorHAnsi"/>
                <w:b/>
                <w:bCs/>
                <w:color w:val="000000"/>
                <w:sz w:val="22"/>
                <w:szCs w:val="22"/>
              </w:rPr>
              <w:t>Deadline</w:t>
            </w:r>
          </w:p>
          <w:p w:rsidRPr="00F67F5B" w:rsidR="00A137D8" w:rsidP="0034235C" w:rsidRDefault="00A137D8">
            <w:pPr>
              <w:jc w:val="center"/>
              <w:rPr>
                <w:rFonts w:asciiTheme="minorHAnsi" w:hAnsiTheme="minorHAnsi"/>
                <w:b/>
                <w:bCs/>
                <w:color w:val="000000"/>
                <w:sz w:val="22"/>
                <w:szCs w:val="22"/>
              </w:rPr>
            </w:pPr>
            <w:r w:rsidRPr="00F50A0B">
              <w:rPr>
                <w:rFonts w:asciiTheme="minorHAnsi" w:hAnsiTheme="minorHAnsi"/>
                <w:b/>
                <w:bCs/>
                <w:color w:val="000000"/>
                <w:sz w:val="22"/>
                <w:szCs w:val="22"/>
              </w:rPr>
              <w:t>Sub.toets</w:t>
            </w:r>
          </w:p>
        </w:tc>
        <w:tc>
          <w:tcPr>
            <w:tcW w:w="4575" w:type="dxa"/>
            <w:shd w:val="clear" w:color="auto" w:fill="auto"/>
            <w:textDirection w:val="btLr"/>
            <w:vAlign w:val="bottom"/>
            <w:hideMark/>
          </w:tcPr>
          <w:p w:rsidRPr="00F67F5B" w:rsidR="00A137D8" w:rsidP="0034235C" w:rsidRDefault="00A137D8">
            <w:pPr>
              <w:jc w:val="center"/>
              <w:rPr>
                <w:rFonts w:asciiTheme="minorHAnsi" w:hAnsiTheme="minorHAnsi"/>
                <w:b/>
                <w:bCs/>
                <w:color w:val="000000"/>
                <w:sz w:val="22"/>
                <w:szCs w:val="22"/>
              </w:rPr>
            </w:pPr>
            <w:r w:rsidRPr="00F67F5B">
              <w:rPr>
                <w:rFonts w:asciiTheme="minorHAnsi" w:hAnsiTheme="minorHAnsi"/>
                <w:b/>
                <w:bCs/>
                <w:color w:val="000000"/>
                <w:sz w:val="22"/>
                <w:szCs w:val="22"/>
              </w:rPr>
              <w:t>Opmerking</w:t>
            </w:r>
          </w:p>
        </w:tc>
      </w:tr>
      <w:tr w:rsidRPr="00F67F5B" w:rsidR="00A137D8" w:rsidTr="0034235C">
        <w:trPr>
          <w:trHeight w:val="300"/>
        </w:trPr>
        <w:tc>
          <w:tcPr>
            <w:tcW w:w="980" w:type="dxa"/>
            <w:tcBorders>
              <w:bottom w:val="single" w:color="auto" w:sz="4" w:space="0"/>
            </w:tcBorders>
            <w:shd w:val="clear" w:color="000000" w:fill="538DD5"/>
            <w:vAlign w:val="bottom"/>
            <w:hideMark/>
          </w:tcPr>
          <w:p w:rsidRPr="00F67F5B" w:rsidR="00A137D8" w:rsidP="0034235C" w:rsidRDefault="00A137D8">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1203" w:type="dxa"/>
            <w:tcBorders>
              <w:bottom w:val="single" w:color="auto" w:sz="4" w:space="0"/>
            </w:tcBorders>
            <w:shd w:val="clear" w:color="000000" w:fill="538DD5"/>
            <w:vAlign w:val="bottom"/>
            <w:hideMark/>
          </w:tcPr>
          <w:p w:rsidRPr="00F67F5B" w:rsidR="00A137D8" w:rsidP="0034235C" w:rsidRDefault="00A137D8">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1254" w:type="dxa"/>
            <w:tcBorders>
              <w:bottom w:val="single" w:color="auto" w:sz="4" w:space="0"/>
            </w:tcBorders>
            <w:shd w:val="clear" w:color="000000" w:fill="538DD5"/>
            <w:vAlign w:val="bottom"/>
            <w:hideMark/>
          </w:tcPr>
          <w:p w:rsidRPr="00F67F5B" w:rsidR="00A137D8" w:rsidP="0034235C" w:rsidRDefault="00A137D8">
            <w:pP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4890" w:type="dxa"/>
            <w:tcBorders>
              <w:bottom w:val="single" w:color="auto" w:sz="4" w:space="0"/>
            </w:tcBorders>
            <w:shd w:val="clear" w:color="000000" w:fill="538DD5"/>
            <w:vAlign w:val="bottom"/>
            <w:hideMark/>
          </w:tcPr>
          <w:p w:rsidRPr="00F67F5B" w:rsidR="00A137D8" w:rsidP="0034235C" w:rsidRDefault="00A137D8">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720" w:type="dxa"/>
            <w:tcBorders>
              <w:bottom w:val="single" w:color="auto" w:sz="4" w:space="0"/>
            </w:tcBorders>
            <w:shd w:val="clear" w:color="000000" w:fill="538DD5"/>
            <w:vAlign w:val="bottom"/>
            <w:hideMark/>
          </w:tcPr>
          <w:p w:rsidRPr="00F67F5B" w:rsidR="00A137D8" w:rsidP="0034235C" w:rsidRDefault="00A137D8">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1033" w:type="dxa"/>
            <w:tcBorders>
              <w:bottom w:val="single" w:color="auto" w:sz="4" w:space="0"/>
            </w:tcBorders>
            <w:shd w:val="clear" w:color="000000" w:fill="538DD5"/>
          </w:tcPr>
          <w:p w:rsidRPr="00F67F5B" w:rsidR="00A137D8" w:rsidP="0034235C" w:rsidRDefault="00A137D8">
            <w:pPr>
              <w:rPr>
                <w:rFonts w:asciiTheme="minorHAnsi" w:hAnsiTheme="minorHAnsi"/>
                <w:b/>
                <w:bCs/>
                <w:color w:val="000000"/>
                <w:sz w:val="22"/>
                <w:szCs w:val="22"/>
              </w:rPr>
            </w:pPr>
          </w:p>
        </w:tc>
        <w:tc>
          <w:tcPr>
            <w:tcW w:w="4575" w:type="dxa"/>
            <w:tcBorders>
              <w:bottom w:val="single" w:color="auto" w:sz="4" w:space="0"/>
            </w:tcBorders>
            <w:shd w:val="clear" w:color="000000" w:fill="538DD5"/>
            <w:hideMark/>
          </w:tcPr>
          <w:p w:rsidRPr="00F67F5B" w:rsidR="00A137D8" w:rsidP="0034235C" w:rsidRDefault="00A137D8">
            <w:pPr>
              <w:rPr>
                <w:rFonts w:asciiTheme="minorHAnsi" w:hAnsiTheme="minorHAnsi"/>
                <w:b/>
                <w:bCs/>
                <w:color w:val="000000"/>
                <w:sz w:val="22"/>
                <w:szCs w:val="22"/>
              </w:rPr>
            </w:pPr>
            <w:r w:rsidRPr="00F67F5B">
              <w:rPr>
                <w:rFonts w:asciiTheme="minorHAnsi" w:hAnsiTheme="minorHAnsi"/>
                <w:b/>
                <w:bCs/>
                <w:color w:val="000000"/>
                <w:sz w:val="22"/>
                <w:szCs w:val="22"/>
              </w:rPr>
              <w:t> </w:t>
            </w:r>
          </w:p>
        </w:tc>
      </w:tr>
      <w:tr w:rsidRPr="00931F2B" w:rsidR="00931F2B" w:rsidTr="00931F2B">
        <w:trPr>
          <w:trHeight w:val="1509"/>
        </w:trPr>
        <w:tc>
          <w:tcPr>
            <w:tcW w:w="980"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931F2B" w:rsidR="00931F2B" w:rsidP="00931F2B" w:rsidRDefault="00931F2B">
            <w:pPr>
              <w:jc w:val="center"/>
              <w:rPr>
                <w:rFonts w:ascii="Calibri" w:hAnsi="Calibri"/>
                <w:color w:val="000000"/>
                <w:sz w:val="22"/>
                <w:szCs w:val="22"/>
              </w:rPr>
            </w:pPr>
            <w:r w:rsidRPr="00931F2B">
              <w:rPr>
                <w:rFonts w:ascii="Calibri" w:hAnsi="Calibri"/>
                <w:color w:val="000000"/>
                <w:sz w:val="22"/>
                <w:szCs w:val="22"/>
              </w:rPr>
              <w:t>30-jun-17</w:t>
            </w:r>
          </w:p>
        </w:tc>
        <w:tc>
          <w:tcPr>
            <w:tcW w:w="120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931F2B" w:rsidR="00931F2B" w:rsidP="00931F2B" w:rsidRDefault="00931F2B">
            <w:pPr>
              <w:jc w:val="center"/>
              <w:rPr>
                <w:rFonts w:ascii="Calibri" w:hAnsi="Calibri"/>
                <w:color w:val="000000"/>
                <w:sz w:val="22"/>
                <w:szCs w:val="22"/>
              </w:rPr>
            </w:pPr>
            <w:r w:rsidRPr="00931F2B">
              <w:rPr>
                <w:rFonts w:ascii="Calibri" w:hAnsi="Calibri"/>
                <w:color w:val="000000"/>
                <w:sz w:val="22"/>
                <w:szCs w:val="22"/>
              </w:rPr>
              <w:t>I&amp;M</w:t>
            </w:r>
          </w:p>
        </w:tc>
        <w:tc>
          <w:tcPr>
            <w:tcW w:w="1254"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931F2B" w:rsidR="00931F2B" w:rsidP="00931F2B" w:rsidRDefault="00931F2B">
            <w:pPr>
              <w:jc w:val="center"/>
              <w:rPr>
                <w:rFonts w:ascii="Calibri" w:hAnsi="Calibri"/>
                <w:color w:val="000000"/>
                <w:sz w:val="22"/>
                <w:szCs w:val="22"/>
              </w:rPr>
            </w:pPr>
            <w:r w:rsidRPr="00931F2B">
              <w:rPr>
                <w:rFonts w:ascii="Calibri" w:hAnsi="Calibri"/>
                <w:color w:val="000000"/>
                <w:sz w:val="22"/>
                <w:szCs w:val="22"/>
              </w:rPr>
              <w:t>verordening</w:t>
            </w:r>
          </w:p>
        </w:tc>
        <w:tc>
          <w:tcPr>
            <w:tcW w:w="4890" w:type="dxa"/>
            <w:tcBorders>
              <w:top w:val="single" w:color="auto" w:sz="4" w:space="0"/>
              <w:left w:val="single" w:color="auto" w:sz="4" w:space="0"/>
              <w:bottom w:val="single" w:color="auto" w:sz="4" w:space="0"/>
              <w:right w:val="single" w:color="auto" w:sz="4" w:space="0"/>
            </w:tcBorders>
            <w:shd w:val="clear" w:color="auto" w:fill="FFFFFF" w:themeFill="background1"/>
          </w:tcPr>
          <w:p w:rsidRPr="00931F2B" w:rsidR="00931F2B" w:rsidP="00931F2B" w:rsidRDefault="00931F2B">
            <w:pPr>
              <w:rPr>
                <w:rFonts w:ascii="Calibri" w:hAnsi="Calibri"/>
                <w:color w:val="000000"/>
                <w:sz w:val="22"/>
                <w:szCs w:val="22"/>
              </w:rPr>
            </w:pPr>
            <w:r w:rsidRPr="00931F2B">
              <w:rPr>
                <w:rFonts w:ascii="Calibri" w:hAnsi="Calibri"/>
                <w:color w:val="000000"/>
                <w:sz w:val="22"/>
                <w:szCs w:val="22"/>
              </w:rPr>
              <w:t xml:space="preserve">Voorstel voor een VERORDENING VAN HET EUROPEES PARLEMENT EN DE RAAD betreffende de statistieken van het spoorvervoer (herschikking) </w:t>
            </w:r>
          </w:p>
        </w:tc>
        <w:tc>
          <w:tcPr>
            <w:tcW w:w="720"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931F2B" w:rsidR="00931F2B" w:rsidP="00931F2B" w:rsidRDefault="006A32F6">
            <w:pPr>
              <w:jc w:val="center"/>
              <w:rPr>
                <w:rFonts w:ascii="Calibri" w:hAnsi="Calibri"/>
                <w:color w:val="0000FF"/>
                <w:sz w:val="22"/>
                <w:szCs w:val="22"/>
                <w:u w:val="single"/>
              </w:rPr>
            </w:pPr>
            <w:hyperlink w:history="1" r:id="rId9">
              <w:r w:rsidRPr="00931F2B" w:rsidR="00931F2B">
                <w:rPr>
                  <w:rStyle w:val="Hyperlink"/>
                  <w:rFonts w:ascii="Calibri" w:hAnsi="Calibri"/>
                  <w:sz w:val="22"/>
                  <w:szCs w:val="22"/>
                </w:rPr>
                <w:t>353</w:t>
              </w:r>
            </w:hyperlink>
          </w:p>
        </w:tc>
        <w:tc>
          <w:tcPr>
            <w:tcW w:w="1033" w:type="dxa"/>
            <w:tcBorders>
              <w:top w:val="single" w:color="auto" w:sz="4" w:space="0"/>
              <w:left w:val="single" w:color="auto" w:sz="4" w:space="0"/>
              <w:bottom w:val="single" w:color="auto" w:sz="4" w:space="0"/>
              <w:right w:val="single" w:color="auto" w:sz="4" w:space="0"/>
            </w:tcBorders>
            <w:shd w:val="clear" w:color="auto" w:fill="FFFFFF" w:themeFill="background1"/>
          </w:tcPr>
          <w:p w:rsidRPr="00931F2B" w:rsidR="00931F2B" w:rsidP="00931F2B" w:rsidRDefault="00931F2B">
            <w:pPr>
              <w:jc w:val="center"/>
              <w:rPr>
                <w:rFonts w:ascii="Calibri" w:hAnsi="Calibri"/>
                <w:color w:val="000000"/>
                <w:sz w:val="22"/>
                <w:szCs w:val="22"/>
                <w:highlight w:val="yellow"/>
              </w:rPr>
            </w:pPr>
            <w:r>
              <w:rPr>
                <w:rFonts w:ascii="Calibri" w:hAnsi="Calibri"/>
                <w:color w:val="000000"/>
                <w:sz w:val="22"/>
                <w:szCs w:val="22"/>
              </w:rPr>
              <w:t>22-sept-17</w:t>
            </w:r>
            <w:r w:rsidRPr="00931F2B">
              <w:rPr>
                <w:rFonts w:ascii="Calibri" w:hAnsi="Calibri"/>
                <w:color w:val="000000"/>
                <w:sz w:val="22"/>
                <w:szCs w:val="22"/>
              </w:rPr>
              <w:t> </w:t>
            </w:r>
          </w:p>
        </w:tc>
        <w:tc>
          <w:tcPr>
            <w:tcW w:w="4575" w:type="dxa"/>
            <w:tcBorders>
              <w:top w:val="single" w:color="auto" w:sz="4" w:space="0"/>
              <w:left w:val="single" w:color="auto" w:sz="4" w:space="0"/>
              <w:bottom w:val="single" w:color="auto" w:sz="4" w:space="0"/>
              <w:right w:val="single" w:color="auto" w:sz="4" w:space="0"/>
            </w:tcBorders>
            <w:shd w:val="clear" w:color="auto" w:fill="FFFFFF" w:themeFill="background1"/>
          </w:tcPr>
          <w:p w:rsidR="00931F2B" w:rsidP="00931F2B" w:rsidRDefault="00931F2B">
            <w:pPr>
              <w:rPr>
                <w:rFonts w:asciiTheme="minorHAnsi" w:hAnsiTheme="minorHAnsi"/>
                <w:color w:val="000000"/>
                <w:sz w:val="22"/>
                <w:szCs w:val="22"/>
              </w:rPr>
            </w:pPr>
            <w:r w:rsidRPr="00AD4E0E">
              <w:rPr>
                <w:rFonts w:asciiTheme="minorHAnsi" w:hAnsiTheme="minorHAnsi"/>
                <w:color w:val="000000"/>
                <w:sz w:val="22"/>
                <w:szCs w:val="22"/>
                <w:u w:val="single"/>
              </w:rPr>
              <w:t>Behandelvoorstel</w:t>
            </w:r>
            <w:r w:rsidRPr="00AD4E0E">
              <w:rPr>
                <w:rFonts w:asciiTheme="minorHAnsi" w:hAnsiTheme="minorHAnsi"/>
                <w:color w:val="000000"/>
                <w:sz w:val="22"/>
                <w:szCs w:val="22"/>
              </w:rPr>
              <w:t>:</w:t>
            </w:r>
            <w:r>
              <w:rPr>
                <w:rFonts w:asciiTheme="minorHAnsi" w:hAnsiTheme="minorHAnsi"/>
                <w:color w:val="000000"/>
                <w:sz w:val="22"/>
                <w:szCs w:val="22"/>
              </w:rPr>
              <w:t xml:space="preserve"> BNC-fiche afwachten.</w:t>
            </w:r>
          </w:p>
          <w:p w:rsidR="00931F2B" w:rsidP="00931F2B" w:rsidRDefault="00931F2B">
            <w:pPr>
              <w:rPr>
                <w:rFonts w:asciiTheme="minorHAnsi" w:hAnsiTheme="minorHAnsi"/>
                <w:color w:val="000000"/>
                <w:sz w:val="22"/>
                <w:szCs w:val="22"/>
              </w:rPr>
            </w:pPr>
          </w:p>
          <w:p w:rsidRPr="00931F2B" w:rsidR="00931F2B" w:rsidP="00931F2B" w:rsidRDefault="00931F2B">
            <w:pPr>
              <w:rPr>
                <w:rFonts w:asciiTheme="minorHAnsi" w:hAnsiTheme="minorHAnsi"/>
                <w:color w:val="000000"/>
                <w:sz w:val="22"/>
                <w:szCs w:val="22"/>
                <w:u w:val="single"/>
              </w:rPr>
            </w:pPr>
          </w:p>
        </w:tc>
      </w:tr>
      <w:tr w:rsidRPr="000947B3" w:rsidR="00931F2B" w:rsidTr="00931F2B">
        <w:trPr>
          <w:trHeight w:val="1509"/>
        </w:trPr>
        <w:tc>
          <w:tcPr>
            <w:tcW w:w="980" w:type="dxa"/>
            <w:tcBorders>
              <w:top w:val="single" w:color="auto" w:sz="4" w:space="0"/>
              <w:left w:val="single" w:color="auto" w:sz="4" w:space="0"/>
              <w:bottom w:val="single" w:color="auto" w:sz="4" w:space="0"/>
              <w:right w:val="single" w:color="auto" w:sz="4" w:space="0"/>
            </w:tcBorders>
            <w:shd w:val="clear" w:color="auto" w:fill="auto"/>
            <w:noWrap/>
          </w:tcPr>
          <w:p w:rsidR="00931F2B" w:rsidP="00931F2B" w:rsidRDefault="00931F2B">
            <w:pPr>
              <w:jc w:val="center"/>
              <w:rPr>
                <w:rFonts w:ascii="Calibri" w:hAnsi="Calibri"/>
                <w:color w:val="000000"/>
                <w:sz w:val="22"/>
                <w:szCs w:val="22"/>
              </w:rPr>
            </w:pPr>
            <w:r>
              <w:rPr>
                <w:rFonts w:ascii="Calibri" w:hAnsi="Calibri"/>
                <w:color w:val="000000"/>
                <w:sz w:val="22"/>
                <w:szCs w:val="22"/>
              </w:rPr>
              <w:t>29-jun-17</w:t>
            </w:r>
          </w:p>
        </w:tc>
        <w:tc>
          <w:tcPr>
            <w:tcW w:w="1203" w:type="dxa"/>
            <w:tcBorders>
              <w:top w:val="single" w:color="auto" w:sz="4" w:space="0"/>
              <w:left w:val="single" w:color="auto" w:sz="4" w:space="0"/>
              <w:bottom w:val="single" w:color="auto" w:sz="4" w:space="0"/>
              <w:right w:val="single" w:color="auto" w:sz="4" w:space="0"/>
            </w:tcBorders>
            <w:shd w:val="clear" w:color="auto" w:fill="auto"/>
            <w:noWrap/>
          </w:tcPr>
          <w:p w:rsidR="00931F2B" w:rsidP="00931F2B" w:rsidRDefault="00931F2B">
            <w:pPr>
              <w:jc w:val="center"/>
              <w:rPr>
                <w:rFonts w:ascii="Calibri" w:hAnsi="Calibri"/>
                <w:color w:val="000000"/>
                <w:sz w:val="22"/>
                <w:szCs w:val="22"/>
              </w:rPr>
            </w:pPr>
            <w:r>
              <w:rPr>
                <w:rFonts w:ascii="Calibri" w:hAnsi="Calibri"/>
                <w:color w:val="000000"/>
                <w:sz w:val="22"/>
                <w:szCs w:val="22"/>
              </w:rPr>
              <w:t>I&amp;M</w:t>
            </w:r>
          </w:p>
        </w:tc>
        <w:tc>
          <w:tcPr>
            <w:tcW w:w="1254" w:type="dxa"/>
            <w:tcBorders>
              <w:top w:val="single" w:color="auto" w:sz="4" w:space="0"/>
              <w:left w:val="single" w:color="auto" w:sz="4" w:space="0"/>
              <w:bottom w:val="single" w:color="auto" w:sz="4" w:space="0"/>
              <w:right w:val="single" w:color="auto" w:sz="4" w:space="0"/>
            </w:tcBorders>
            <w:shd w:val="clear" w:color="auto" w:fill="auto"/>
            <w:noWrap/>
          </w:tcPr>
          <w:p w:rsidR="00931F2B" w:rsidP="00931F2B" w:rsidRDefault="00931F2B">
            <w:pPr>
              <w:jc w:val="center"/>
              <w:rPr>
                <w:rFonts w:ascii="Calibri" w:hAnsi="Calibri"/>
                <w:color w:val="000000"/>
                <w:sz w:val="22"/>
                <w:szCs w:val="22"/>
              </w:rPr>
            </w:pPr>
            <w:r>
              <w:rPr>
                <w:rFonts w:ascii="Calibri" w:hAnsi="Calibri"/>
                <w:color w:val="000000"/>
                <w:sz w:val="22"/>
                <w:szCs w:val="22"/>
              </w:rPr>
              <w:t>raadpleging</w:t>
            </w:r>
          </w:p>
        </w:tc>
        <w:tc>
          <w:tcPr>
            <w:tcW w:w="4890" w:type="dxa"/>
            <w:tcBorders>
              <w:top w:val="single" w:color="auto" w:sz="4" w:space="0"/>
              <w:left w:val="single" w:color="auto" w:sz="4" w:space="0"/>
              <w:bottom w:val="single" w:color="auto" w:sz="4" w:space="0"/>
              <w:right w:val="single" w:color="auto" w:sz="4" w:space="0"/>
            </w:tcBorders>
            <w:shd w:val="clear" w:color="auto" w:fill="auto"/>
          </w:tcPr>
          <w:p w:rsidR="00931F2B" w:rsidRDefault="00931F2B">
            <w:pPr>
              <w:rPr>
                <w:rFonts w:ascii="Calibri" w:hAnsi="Calibri"/>
                <w:color w:val="000000"/>
                <w:sz w:val="22"/>
                <w:szCs w:val="22"/>
              </w:rPr>
            </w:pPr>
            <w:r>
              <w:rPr>
                <w:rFonts w:ascii="Calibri" w:hAnsi="Calibri"/>
                <w:color w:val="000000"/>
                <w:sz w:val="22"/>
                <w:szCs w:val="22"/>
              </w:rPr>
              <w:t>Openbare raadpleging over de uitvoering van het Atlantisch actieplan</w:t>
            </w:r>
          </w:p>
        </w:tc>
        <w:tc>
          <w:tcPr>
            <w:tcW w:w="720" w:type="dxa"/>
            <w:tcBorders>
              <w:top w:val="single" w:color="auto" w:sz="4" w:space="0"/>
              <w:left w:val="single" w:color="auto" w:sz="4" w:space="0"/>
              <w:bottom w:val="single" w:color="auto" w:sz="4" w:space="0"/>
              <w:right w:val="single" w:color="auto" w:sz="4" w:space="0"/>
            </w:tcBorders>
            <w:shd w:val="clear" w:color="auto" w:fill="auto"/>
            <w:noWrap/>
          </w:tcPr>
          <w:p w:rsidR="00931F2B" w:rsidRDefault="006A32F6">
            <w:pPr>
              <w:jc w:val="center"/>
              <w:rPr>
                <w:rFonts w:ascii="Calibri" w:hAnsi="Calibri"/>
                <w:color w:val="0000FF"/>
                <w:sz w:val="22"/>
                <w:szCs w:val="22"/>
                <w:u w:val="single"/>
              </w:rPr>
            </w:pPr>
            <w:hyperlink w:history="1" r:id="rId10">
              <w:r w:rsidR="00931F2B">
                <w:rPr>
                  <w:rStyle w:val="Hyperlink"/>
                  <w:rFonts w:ascii="Calibri" w:hAnsi="Calibri"/>
                  <w:sz w:val="22"/>
                  <w:szCs w:val="22"/>
                </w:rPr>
                <w:t>OR</w:t>
              </w:r>
            </w:hyperlink>
          </w:p>
        </w:tc>
        <w:tc>
          <w:tcPr>
            <w:tcW w:w="1033" w:type="dxa"/>
            <w:tcBorders>
              <w:top w:val="single" w:color="auto" w:sz="4" w:space="0"/>
              <w:left w:val="single" w:color="auto" w:sz="4" w:space="0"/>
              <w:bottom w:val="single" w:color="auto" w:sz="4" w:space="0"/>
              <w:right w:val="single" w:color="auto" w:sz="4" w:space="0"/>
            </w:tcBorders>
            <w:shd w:val="clear" w:color="auto" w:fill="auto"/>
          </w:tcPr>
          <w:p w:rsidR="00931F2B" w:rsidP="00931F2B" w:rsidRDefault="00931F2B">
            <w:pPr>
              <w:jc w:val="center"/>
              <w:rPr>
                <w:rFonts w:ascii="Calibri" w:hAnsi="Calibri"/>
                <w:color w:val="000000"/>
                <w:sz w:val="22"/>
                <w:szCs w:val="22"/>
              </w:rPr>
            </w:pPr>
            <w:r>
              <w:rPr>
                <w:rFonts w:ascii="Calibri" w:hAnsi="Calibri"/>
                <w:color w:val="000000"/>
                <w:sz w:val="22"/>
                <w:szCs w:val="22"/>
              </w:rPr>
              <w:t>n.v.t.</w:t>
            </w:r>
          </w:p>
        </w:tc>
        <w:tc>
          <w:tcPr>
            <w:tcW w:w="4575" w:type="dxa"/>
            <w:tcBorders>
              <w:top w:val="single" w:color="auto" w:sz="4" w:space="0"/>
              <w:left w:val="single" w:color="auto" w:sz="4" w:space="0"/>
              <w:bottom w:val="single" w:color="auto" w:sz="4" w:space="0"/>
              <w:right w:val="single" w:color="auto" w:sz="4" w:space="0"/>
            </w:tcBorders>
            <w:shd w:val="clear" w:color="auto" w:fill="auto"/>
          </w:tcPr>
          <w:p w:rsidR="00931F2B" w:rsidP="00E72B18" w:rsidRDefault="00931F2B">
            <w:pPr>
              <w:rPr>
                <w:rFonts w:asciiTheme="minorHAnsi" w:hAnsiTheme="minorHAnsi"/>
                <w:color w:val="000000"/>
                <w:sz w:val="22"/>
                <w:szCs w:val="22"/>
              </w:rPr>
            </w:pPr>
            <w:r w:rsidRPr="00AD4E0E">
              <w:rPr>
                <w:rFonts w:asciiTheme="minorHAnsi" w:hAnsiTheme="minorHAnsi"/>
                <w:color w:val="000000"/>
                <w:sz w:val="22"/>
                <w:szCs w:val="22"/>
                <w:u w:val="single"/>
              </w:rPr>
              <w:t>Behandelvoorstel</w:t>
            </w:r>
            <w:r w:rsidRPr="00AD4E0E">
              <w:rPr>
                <w:rFonts w:asciiTheme="minorHAnsi" w:hAnsiTheme="minorHAnsi"/>
                <w:color w:val="000000"/>
                <w:sz w:val="22"/>
                <w:szCs w:val="22"/>
              </w:rPr>
              <w:t>:</w:t>
            </w:r>
            <w:r>
              <w:rPr>
                <w:rFonts w:asciiTheme="minorHAnsi" w:hAnsiTheme="minorHAnsi"/>
                <w:color w:val="000000"/>
                <w:sz w:val="22"/>
                <w:szCs w:val="22"/>
              </w:rPr>
              <w:t xml:space="preserve"> Ter informatie.</w:t>
            </w:r>
          </w:p>
          <w:p w:rsidR="00931F2B" w:rsidP="00E72B18" w:rsidRDefault="00931F2B">
            <w:pPr>
              <w:rPr>
                <w:rFonts w:asciiTheme="minorHAnsi" w:hAnsiTheme="minorHAnsi"/>
                <w:color w:val="000000"/>
                <w:sz w:val="22"/>
                <w:szCs w:val="22"/>
              </w:rPr>
            </w:pPr>
          </w:p>
          <w:p w:rsidR="00931F2B" w:rsidP="00E52F23" w:rsidRDefault="00931F2B">
            <w:pPr>
              <w:rPr>
                <w:rFonts w:ascii="Calibri" w:hAnsi="Calibri"/>
                <w:color w:val="000000"/>
                <w:sz w:val="22"/>
                <w:szCs w:val="22"/>
              </w:rPr>
            </w:pPr>
            <w:r>
              <w:rPr>
                <w:rFonts w:asciiTheme="minorHAnsi" w:hAnsiTheme="minorHAnsi"/>
                <w:color w:val="000000"/>
                <w:sz w:val="22"/>
                <w:szCs w:val="22"/>
              </w:rPr>
              <w:t>Noot: de deadline voor inbreng op deze consultatie loopt af op</w:t>
            </w:r>
            <w:r w:rsidR="00E52F23">
              <w:rPr>
                <w:rFonts w:asciiTheme="minorHAnsi" w:hAnsiTheme="minorHAnsi"/>
                <w:color w:val="000000"/>
                <w:sz w:val="22"/>
                <w:szCs w:val="22"/>
              </w:rPr>
              <w:t xml:space="preserve"> </w:t>
            </w:r>
            <w:r w:rsidR="00E52F23">
              <w:rPr>
                <w:rFonts w:ascii="Calibri" w:hAnsi="Calibri"/>
                <w:color w:val="000000"/>
                <w:sz w:val="22"/>
                <w:szCs w:val="22"/>
              </w:rPr>
              <w:t>22 september 2017</w:t>
            </w:r>
            <w:r>
              <w:rPr>
                <w:rFonts w:asciiTheme="minorHAnsi" w:hAnsiTheme="minorHAnsi"/>
                <w:color w:val="000000"/>
                <w:sz w:val="22"/>
                <w:szCs w:val="22"/>
              </w:rPr>
              <w:t>.</w:t>
            </w:r>
          </w:p>
        </w:tc>
      </w:tr>
      <w:tr w:rsidRPr="000947B3" w:rsidR="00E52F23" w:rsidTr="00E52F23">
        <w:trPr>
          <w:trHeight w:val="1509"/>
        </w:trPr>
        <w:tc>
          <w:tcPr>
            <w:tcW w:w="980" w:type="dxa"/>
            <w:tcBorders>
              <w:top w:val="single" w:color="auto" w:sz="4" w:space="0"/>
              <w:left w:val="single" w:color="auto" w:sz="4" w:space="0"/>
              <w:bottom w:val="single" w:color="auto" w:sz="4" w:space="0"/>
              <w:right w:val="single" w:color="auto" w:sz="4" w:space="0"/>
            </w:tcBorders>
            <w:shd w:val="clear" w:color="auto" w:fill="auto"/>
            <w:noWrap/>
          </w:tcPr>
          <w:p w:rsidR="00E52F23" w:rsidP="00E52F23" w:rsidRDefault="00E52F23">
            <w:pPr>
              <w:jc w:val="center"/>
              <w:rPr>
                <w:rFonts w:ascii="Calibri" w:hAnsi="Calibri"/>
                <w:color w:val="000000"/>
                <w:sz w:val="22"/>
                <w:szCs w:val="22"/>
              </w:rPr>
            </w:pPr>
            <w:r>
              <w:rPr>
                <w:rFonts w:ascii="Calibri" w:hAnsi="Calibri"/>
                <w:color w:val="000000"/>
                <w:sz w:val="22"/>
                <w:szCs w:val="22"/>
              </w:rPr>
              <w:t>5-jul-17</w:t>
            </w:r>
          </w:p>
        </w:tc>
        <w:tc>
          <w:tcPr>
            <w:tcW w:w="1203" w:type="dxa"/>
            <w:tcBorders>
              <w:top w:val="single" w:color="auto" w:sz="4" w:space="0"/>
              <w:left w:val="single" w:color="auto" w:sz="4" w:space="0"/>
              <w:bottom w:val="single" w:color="auto" w:sz="4" w:space="0"/>
              <w:right w:val="single" w:color="auto" w:sz="4" w:space="0"/>
            </w:tcBorders>
            <w:shd w:val="clear" w:color="auto" w:fill="auto"/>
            <w:noWrap/>
          </w:tcPr>
          <w:p w:rsidR="00E52F23" w:rsidP="00E52F23" w:rsidRDefault="00E52F23">
            <w:pPr>
              <w:jc w:val="center"/>
              <w:rPr>
                <w:rFonts w:ascii="Calibri" w:hAnsi="Calibri"/>
                <w:color w:val="000000"/>
                <w:sz w:val="22"/>
                <w:szCs w:val="22"/>
              </w:rPr>
            </w:pPr>
            <w:r>
              <w:rPr>
                <w:rFonts w:ascii="Calibri" w:hAnsi="Calibri"/>
                <w:color w:val="000000"/>
                <w:sz w:val="22"/>
                <w:szCs w:val="22"/>
              </w:rPr>
              <w:t>I&amp;M</w:t>
            </w:r>
          </w:p>
        </w:tc>
        <w:tc>
          <w:tcPr>
            <w:tcW w:w="1254" w:type="dxa"/>
            <w:tcBorders>
              <w:top w:val="single" w:color="auto" w:sz="4" w:space="0"/>
              <w:left w:val="single" w:color="auto" w:sz="4" w:space="0"/>
              <w:bottom w:val="single" w:color="auto" w:sz="4" w:space="0"/>
              <w:right w:val="single" w:color="auto" w:sz="4" w:space="0"/>
            </w:tcBorders>
            <w:shd w:val="clear" w:color="auto" w:fill="auto"/>
            <w:noWrap/>
          </w:tcPr>
          <w:p w:rsidR="00E52F23" w:rsidP="00E52F23" w:rsidRDefault="00E52F23">
            <w:pPr>
              <w:jc w:val="center"/>
              <w:rPr>
                <w:rFonts w:ascii="Calibri" w:hAnsi="Calibri"/>
                <w:color w:val="000000"/>
                <w:sz w:val="22"/>
                <w:szCs w:val="22"/>
              </w:rPr>
            </w:pPr>
            <w:r>
              <w:rPr>
                <w:rFonts w:ascii="Calibri" w:hAnsi="Calibri"/>
                <w:color w:val="000000"/>
                <w:sz w:val="22"/>
                <w:szCs w:val="22"/>
              </w:rPr>
              <w:t>raadpleging</w:t>
            </w:r>
          </w:p>
        </w:tc>
        <w:tc>
          <w:tcPr>
            <w:tcW w:w="4890" w:type="dxa"/>
            <w:tcBorders>
              <w:top w:val="single" w:color="auto" w:sz="4" w:space="0"/>
              <w:left w:val="single" w:color="auto" w:sz="4" w:space="0"/>
              <w:bottom w:val="single" w:color="auto" w:sz="4" w:space="0"/>
              <w:right w:val="single" w:color="auto" w:sz="4" w:space="0"/>
            </w:tcBorders>
            <w:shd w:val="clear" w:color="auto" w:fill="auto"/>
          </w:tcPr>
          <w:p w:rsidRPr="00E52F23" w:rsidR="00E52F23" w:rsidRDefault="00E52F23">
            <w:pPr>
              <w:rPr>
                <w:rFonts w:ascii="Calibri" w:hAnsi="Calibri"/>
                <w:color w:val="000000"/>
                <w:sz w:val="22"/>
                <w:szCs w:val="22"/>
                <w:lang w:val="en-GB"/>
              </w:rPr>
            </w:pPr>
            <w:r w:rsidRPr="00E52F23">
              <w:rPr>
                <w:rFonts w:ascii="Calibri" w:hAnsi="Calibri"/>
                <w:color w:val="000000"/>
                <w:sz w:val="22"/>
                <w:szCs w:val="22"/>
                <w:lang w:val="en-GB"/>
              </w:rPr>
              <w:t xml:space="preserve">Evaluation of Regulation 996/2010 on investigating aviation accidents in the EU </w:t>
            </w:r>
          </w:p>
        </w:tc>
        <w:tc>
          <w:tcPr>
            <w:tcW w:w="720" w:type="dxa"/>
            <w:tcBorders>
              <w:top w:val="single" w:color="auto" w:sz="4" w:space="0"/>
              <w:left w:val="single" w:color="auto" w:sz="4" w:space="0"/>
              <w:bottom w:val="single" w:color="auto" w:sz="4" w:space="0"/>
              <w:right w:val="single" w:color="auto" w:sz="4" w:space="0"/>
            </w:tcBorders>
            <w:shd w:val="clear" w:color="auto" w:fill="auto"/>
            <w:noWrap/>
          </w:tcPr>
          <w:p w:rsidR="00E52F23" w:rsidRDefault="006A32F6">
            <w:pPr>
              <w:jc w:val="center"/>
              <w:rPr>
                <w:rFonts w:ascii="Calibri" w:hAnsi="Calibri"/>
                <w:color w:val="0000FF"/>
                <w:sz w:val="22"/>
                <w:szCs w:val="22"/>
                <w:u w:val="single"/>
              </w:rPr>
            </w:pPr>
            <w:hyperlink w:history="1" r:id="rId11">
              <w:r w:rsidR="00E52F23">
                <w:rPr>
                  <w:rStyle w:val="Hyperlink"/>
                  <w:rFonts w:ascii="Calibri" w:hAnsi="Calibri"/>
                  <w:sz w:val="22"/>
                  <w:szCs w:val="22"/>
                </w:rPr>
                <w:t>OR</w:t>
              </w:r>
            </w:hyperlink>
          </w:p>
        </w:tc>
        <w:tc>
          <w:tcPr>
            <w:tcW w:w="1033" w:type="dxa"/>
            <w:tcBorders>
              <w:top w:val="single" w:color="auto" w:sz="4" w:space="0"/>
              <w:left w:val="single" w:color="auto" w:sz="4" w:space="0"/>
              <w:bottom w:val="single" w:color="auto" w:sz="4" w:space="0"/>
              <w:right w:val="single" w:color="auto" w:sz="4" w:space="0"/>
            </w:tcBorders>
            <w:shd w:val="clear" w:color="auto" w:fill="auto"/>
          </w:tcPr>
          <w:p w:rsidR="00E52F23" w:rsidP="00E52F23" w:rsidRDefault="00E52F23">
            <w:pPr>
              <w:jc w:val="center"/>
              <w:rPr>
                <w:rFonts w:ascii="Calibri" w:hAnsi="Calibri"/>
                <w:color w:val="000000"/>
                <w:sz w:val="22"/>
                <w:szCs w:val="22"/>
              </w:rPr>
            </w:pPr>
            <w:r>
              <w:rPr>
                <w:rFonts w:ascii="Calibri" w:hAnsi="Calibri"/>
                <w:color w:val="000000"/>
                <w:sz w:val="22"/>
                <w:szCs w:val="22"/>
              </w:rPr>
              <w:t>n.v.t.</w:t>
            </w:r>
          </w:p>
        </w:tc>
        <w:tc>
          <w:tcPr>
            <w:tcW w:w="4575" w:type="dxa"/>
            <w:tcBorders>
              <w:top w:val="single" w:color="auto" w:sz="4" w:space="0"/>
              <w:left w:val="single" w:color="auto" w:sz="4" w:space="0"/>
              <w:bottom w:val="single" w:color="auto" w:sz="4" w:space="0"/>
              <w:right w:val="single" w:color="auto" w:sz="4" w:space="0"/>
            </w:tcBorders>
            <w:shd w:val="clear" w:color="auto" w:fill="auto"/>
          </w:tcPr>
          <w:p w:rsidR="00E52F23" w:rsidP="00AD4E0E" w:rsidRDefault="00E52F23">
            <w:pPr>
              <w:rPr>
                <w:rFonts w:asciiTheme="minorHAnsi" w:hAnsiTheme="minorHAnsi"/>
                <w:color w:val="000000"/>
                <w:sz w:val="22"/>
                <w:szCs w:val="22"/>
              </w:rPr>
            </w:pPr>
            <w:r w:rsidRPr="00AD4E0E">
              <w:rPr>
                <w:rFonts w:asciiTheme="minorHAnsi" w:hAnsiTheme="minorHAnsi"/>
                <w:color w:val="000000"/>
                <w:sz w:val="22"/>
                <w:szCs w:val="22"/>
                <w:u w:val="single"/>
              </w:rPr>
              <w:t>Behandelvoorstel</w:t>
            </w:r>
            <w:r w:rsidRPr="00AD4E0E">
              <w:rPr>
                <w:rFonts w:asciiTheme="minorHAnsi" w:hAnsiTheme="minorHAnsi"/>
                <w:color w:val="000000"/>
                <w:sz w:val="22"/>
                <w:szCs w:val="22"/>
              </w:rPr>
              <w:t>:</w:t>
            </w:r>
            <w:r>
              <w:rPr>
                <w:rFonts w:asciiTheme="minorHAnsi" w:hAnsiTheme="minorHAnsi"/>
                <w:color w:val="000000"/>
                <w:sz w:val="22"/>
                <w:szCs w:val="22"/>
              </w:rPr>
              <w:t xml:space="preserve"> Ter informatie.</w:t>
            </w:r>
          </w:p>
          <w:p w:rsidR="00E52F23" w:rsidP="00AD4E0E" w:rsidRDefault="00E52F23">
            <w:pPr>
              <w:rPr>
                <w:rFonts w:asciiTheme="minorHAnsi" w:hAnsiTheme="minorHAnsi"/>
                <w:color w:val="000000"/>
                <w:sz w:val="22"/>
                <w:szCs w:val="22"/>
              </w:rPr>
            </w:pPr>
          </w:p>
          <w:p w:rsidR="00E52F23" w:rsidP="00E52F23" w:rsidRDefault="00E52F23">
            <w:pPr>
              <w:rPr>
                <w:rFonts w:ascii="Calibri" w:hAnsi="Calibri"/>
                <w:color w:val="000000"/>
                <w:sz w:val="22"/>
                <w:szCs w:val="22"/>
              </w:rPr>
            </w:pPr>
            <w:r>
              <w:rPr>
                <w:rFonts w:asciiTheme="minorHAnsi" w:hAnsiTheme="minorHAnsi"/>
                <w:color w:val="000000"/>
                <w:sz w:val="22"/>
                <w:szCs w:val="22"/>
              </w:rPr>
              <w:t xml:space="preserve">Noot: de deadline voor inbreng op deze consultatie loopt af op 4 oktober 2017. </w:t>
            </w:r>
          </w:p>
        </w:tc>
      </w:tr>
      <w:tr w:rsidRPr="000947B3" w:rsidR="00E52F23" w:rsidTr="00E52F23">
        <w:trPr>
          <w:trHeight w:val="1509"/>
        </w:trPr>
        <w:tc>
          <w:tcPr>
            <w:tcW w:w="980"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E52F23" w:rsidP="00E52F23" w:rsidRDefault="00E52F23">
            <w:pPr>
              <w:jc w:val="center"/>
              <w:rPr>
                <w:rFonts w:ascii="Calibri" w:hAnsi="Calibri"/>
                <w:color w:val="000000"/>
                <w:sz w:val="22"/>
                <w:szCs w:val="22"/>
              </w:rPr>
            </w:pPr>
            <w:r>
              <w:rPr>
                <w:rFonts w:ascii="Calibri" w:hAnsi="Calibri"/>
                <w:color w:val="000000"/>
                <w:sz w:val="22"/>
                <w:szCs w:val="22"/>
              </w:rPr>
              <w:lastRenderedPageBreak/>
              <w:t>10-jul-17</w:t>
            </w:r>
          </w:p>
        </w:tc>
        <w:tc>
          <w:tcPr>
            <w:tcW w:w="120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E52F23" w:rsidP="00E52F23" w:rsidRDefault="00E52F23">
            <w:pPr>
              <w:jc w:val="center"/>
              <w:rPr>
                <w:rFonts w:ascii="Calibri" w:hAnsi="Calibri"/>
                <w:color w:val="000000"/>
                <w:sz w:val="22"/>
                <w:szCs w:val="22"/>
              </w:rPr>
            </w:pPr>
            <w:r>
              <w:rPr>
                <w:rFonts w:ascii="Calibri" w:hAnsi="Calibri"/>
                <w:color w:val="000000"/>
                <w:sz w:val="22"/>
                <w:szCs w:val="22"/>
              </w:rPr>
              <w:t>I&amp;M</w:t>
            </w:r>
          </w:p>
        </w:tc>
        <w:tc>
          <w:tcPr>
            <w:tcW w:w="1254"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E52F23" w:rsidP="00E52F23" w:rsidRDefault="00E52F23">
            <w:pPr>
              <w:jc w:val="center"/>
              <w:rPr>
                <w:rFonts w:ascii="Calibri" w:hAnsi="Calibri"/>
                <w:color w:val="000000"/>
                <w:sz w:val="22"/>
                <w:szCs w:val="22"/>
              </w:rPr>
            </w:pPr>
            <w:r>
              <w:rPr>
                <w:rFonts w:ascii="Calibri" w:hAnsi="Calibri"/>
                <w:color w:val="000000"/>
                <w:sz w:val="22"/>
                <w:szCs w:val="22"/>
              </w:rPr>
              <w:t>raadpleging</w:t>
            </w:r>
          </w:p>
        </w:tc>
        <w:tc>
          <w:tcPr>
            <w:tcW w:w="4890" w:type="dxa"/>
            <w:tcBorders>
              <w:top w:val="single" w:color="auto" w:sz="4" w:space="0"/>
              <w:left w:val="single" w:color="auto" w:sz="4" w:space="0"/>
              <w:bottom w:val="single" w:color="auto" w:sz="4" w:space="0"/>
              <w:right w:val="single" w:color="auto" w:sz="4" w:space="0"/>
            </w:tcBorders>
            <w:shd w:val="clear" w:color="auto" w:fill="FFFFFF" w:themeFill="background1"/>
          </w:tcPr>
          <w:p w:rsidR="00E52F23" w:rsidP="00E52F23" w:rsidRDefault="00E52F23">
            <w:pPr>
              <w:rPr>
                <w:rFonts w:ascii="Calibri" w:hAnsi="Calibri"/>
                <w:color w:val="000000"/>
                <w:sz w:val="22"/>
                <w:szCs w:val="22"/>
              </w:rPr>
            </w:pPr>
            <w:r>
              <w:rPr>
                <w:rFonts w:ascii="Calibri" w:hAnsi="Calibri"/>
                <w:color w:val="000000"/>
                <w:sz w:val="22"/>
                <w:szCs w:val="22"/>
              </w:rPr>
              <w:t>Openbare raadpleging over eventuele reguleringsmaatregelen voor de milieubelasting van bedrijfsservers en producten voor dataopslag</w:t>
            </w:r>
          </w:p>
        </w:tc>
        <w:tc>
          <w:tcPr>
            <w:tcW w:w="720"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E52F23" w:rsidP="00E52F23" w:rsidRDefault="00E52F23">
            <w:pPr>
              <w:jc w:val="center"/>
              <w:rPr>
                <w:rFonts w:ascii="Calibri" w:hAnsi="Calibri"/>
                <w:color w:val="0000FF"/>
                <w:sz w:val="22"/>
                <w:szCs w:val="22"/>
                <w:u w:val="single"/>
              </w:rPr>
            </w:pPr>
            <w:r>
              <w:rPr>
                <w:rFonts w:ascii="Calibri" w:hAnsi="Calibri"/>
                <w:color w:val="0000FF"/>
                <w:sz w:val="22"/>
                <w:szCs w:val="22"/>
                <w:u w:val="single"/>
              </w:rPr>
              <w:t>OR</w:t>
            </w:r>
          </w:p>
        </w:tc>
        <w:tc>
          <w:tcPr>
            <w:tcW w:w="1033" w:type="dxa"/>
            <w:tcBorders>
              <w:top w:val="single" w:color="auto" w:sz="4" w:space="0"/>
              <w:left w:val="single" w:color="auto" w:sz="4" w:space="0"/>
              <w:bottom w:val="single" w:color="auto" w:sz="4" w:space="0"/>
              <w:right w:val="single" w:color="auto" w:sz="4" w:space="0"/>
            </w:tcBorders>
            <w:shd w:val="clear" w:color="auto" w:fill="FFFFFF" w:themeFill="background1"/>
          </w:tcPr>
          <w:p w:rsidR="00E52F23" w:rsidP="00E52F23" w:rsidRDefault="00E52F23">
            <w:pPr>
              <w:jc w:val="center"/>
              <w:rPr>
                <w:rFonts w:ascii="Calibri" w:hAnsi="Calibri"/>
                <w:color w:val="000000"/>
                <w:sz w:val="22"/>
                <w:szCs w:val="22"/>
              </w:rPr>
            </w:pPr>
            <w:r>
              <w:rPr>
                <w:rFonts w:ascii="Calibri" w:hAnsi="Calibri"/>
                <w:color w:val="000000"/>
                <w:sz w:val="22"/>
                <w:szCs w:val="22"/>
              </w:rPr>
              <w:t>n.v.t.</w:t>
            </w:r>
          </w:p>
        </w:tc>
        <w:tc>
          <w:tcPr>
            <w:tcW w:w="4575" w:type="dxa"/>
            <w:tcBorders>
              <w:top w:val="single" w:color="auto" w:sz="4" w:space="0"/>
              <w:left w:val="single" w:color="auto" w:sz="4" w:space="0"/>
              <w:bottom w:val="single" w:color="auto" w:sz="4" w:space="0"/>
              <w:right w:val="single" w:color="auto" w:sz="4" w:space="0"/>
            </w:tcBorders>
            <w:shd w:val="clear" w:color="auto" w:fill="FFFFFF" w:themeFill="background1"/>
          </w:tcPr>
          <w:p w:rsidR="00E52F23" w:rsidP="00AD4E0E" w:rsidRDefault="00E52F23">
            <w:pPr>
              <w:rPr>
                <w:rFonts w:asciiTheme="minorHAnsi" w:hAnsiTheme="minorHAnsi"/>
                <w:color w:val="000000"/>
                <w:sz w:val="22"/>
                <w:szCs w:val="22"/>
              </w:rPr>
            </w:pPr>
            <w:r w:rsidRPr="00AD4E0E">
              <w:rPr>
                <w:rFonts w:asciiTheme="minorHAnsi" w:hAnsiTheme="minorHAnsi"/>
                <w:color w:val="000000"/>
                <w:sz w:val="22"/>
                <w:szCs w:val="22"/>
                <w:u w:val="single"/>
              </w:rPr>
              <w:t>Behandelvoorstel</w:t>
            </w:r>
            <w:r w:rsidRPr="00AD4E0E">
              <w:rPr>
                <w:rFonts w:asciiTheme="minorHAnsi" w:hAnsiTheme="minorHAnsi"/>
                <w:color w:val="000000"/>
                <w:sz w:val="22"/>
                <w:szCs w:val="22"/>
              </w:rPr>
              <w:t>:</w:t>
            </w:r>
            <w:r>
              <w:rPr>
                <w:rFonts w:asciiTheme="minorHAnsi" w:hAnsiTheme="minorHAnsi"/>
                <w:color w:val="000000"/>
                <w:sz w:val="22"/>
                <w:szCs w:val="22"/>
              </w:rPr>
              <w:t xml:space="preserve"> Ter informatie.</w:t>
            </w:r>
          </w:p>
          <w:p w:rsidR="00E52F23" w:rsidP="00AD4E0E" w:rsidRDefault="00E52F23">
            <w:pPr>
              <w:rPr>
                <w:rFonts w:asciiTheme="minorHAnsi" w:hAnsiTheme="minorHAnsi"/>
                <w:color w:val="000000"/>
                <w:sz w:val="22"/>
                <w:szCs w:val="22"/>
              </w:rPr>
            </w:pPr>
          </w:p>
          <w:p w:rsidRPr="00F552B9" w:rsidR="00E52F23" w:rsidP="00E52F23" w:rsidRDefault="00E52F23">
            <w:pPr>
              <w:rPr>
                <w:rFonts w:asciiTheme="minorHAnsi" w:hAnsiTheme="minorHAnsi"/>
                <w:color w:val="000000"/>
                <w:sz w:val="22"/>
                <w:szCs w:val="22"/>
                <w:highlight w:val="yellow"/>
                <w:u w:val="single"/>
              </w:rPr>
            </w:pPr>
            <w:r>
              <w:rPr>
                <w:rFonts w:asciiTheme="minorHAnsi" w:hAnsiTheme="minorHAnsi"/>
                <w:color w:val="000000"/>
                <w:sz w:val="22"/>
                <w:szCs w:val="22"/>
              </w:rPr>
              <w:t>Noot: de deadline voor inbreng op deze consultatie loopt af op 23 oktober 2017.</w:t>
            </w:r>
          </w:p>
        </w:tc>
      </w:tr>
      <w:tr w:rsidRPr="000947B3" w:rsidR="00D51C73" w:rsidTr="00D51C73">
        <w:trPr>
          <w:trHeight w:val="1509"/>
        </w:trPr>
        <w:tc>
          <w:tcPr>
            <w:tcW w:w="980"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D51C73" w:rsidP="00D51C73" w:rsidRDefault="00D51C73">
            <w:pPr>
              <w:jc w:val="center"/>
              <w:rPr>
                <w:rFonts w:ascii="Calibri" w:hAnsi="Calibri"/>
                <w:color w:val="000000"/>
                <w:sz w:val="22"/>
                <w:szCs w:val="22"/>
              </w:rPr>
            </w:pPr>
            <w:r>
              <w:rPr>
                <w:rFonts w:ascii="Calibri" w:hAnsi="Calibri"/>
                <w:color w:val="000000"/>
                <w:sz w:val="22"/>
                <w:szCs w:val="22"/>
              </w:rPr>
              <w:t>17-jul-17</w:t>
            </w:r>
          </w:p>
        </w:tc>
        <w:tc>
          <w:tcPr>
            <w:tcW w:w="120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D51C73" w:rsidP="00D51C73" w:rsidRDefault="00D51C73">
            <w:pPr>
              <w:jc w:val="center"/>
              <w:rPr>
                <w:rFonts w:ascii="Calibri" w:hAnsi="Calibri"/>
                <w:color w:val="000000"/>
                <w:sz w:val="22"/>
                <w:szCs w:val="22"/>
              </w:rPr>
            </w:pPr>
            <w:r>
              <w:rPr>
                <w:rFonts w:ascii="Calibri" w:hAnsi="Calibri"/>
                <w:color w:val="000000"/>
                <w:sz w:val="22"/>
                <w:szCs w:val="22"/>
              </w:rPr>
              <w:t>I&amp;M</w:t>
            </w:r>
          </w:p>
        </w:tc>
        <w:tc>
          <w:tcPr>
            <w:tcW w:w="1254"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D51C73" w:rsidP="00D51C73" w:rsidRDefault="00D51C73">
            <w:pPr>
              <w:jc w:val="center"/>
              <w:rPr>
                <w:rFonts w:ascii="Calibri" w:hAnsi="Calibri"/>
                <w:color w:val="000000"/>
                <w:sz w:val="22"/>
                <w:szCs w:val="22"/>
              </w:rPr>
            </w:pPr>
            <w:r>
              <w:rPr>
                <w:rFonts w:ascii="Calibri" w:hAnsi="Calibri"/>
                <w:color w:val="000000"/>
                <w:sz w:val="22"/>
                <w:szCs w:val="22"/>
              </w:rPr>
              <w:t>raadpleging</w:t>
            </w:r>
          </w:p>
        </w:tc>
        <w:tc>
          <w:tcPr>
            <w:tcW w:w="4890" w:type="dxa"/>
            <w:tcBorders>
              <w:top w:val="single" w:color="auto" w:sz="4" w:space="0"/>
              <w:left w:val="single" w:color="auto" w:sz="4" w:space="0"/>
              <w:bottom w:val="single" w:color="auto" w:sz="4" w:space="0"/>
              <w:right w:val="single" w:color="auto" w:sz="4" w:space="0"/>
            </w:tcBorders>
            <w:shd w:val="clear" w:color="auto" w:fill="FFFFFF" w:themeFill="background1"/>
          </w:tcPr>
          <w:p w:rsidRPr="00D51C73" w:rsidR="00D51C73" w:rsidRDefault="00D51C73">
            <w:pPr>
              <w:rPr>
                <w:rFonts w:ascii="Calibri" w:hAnsi="Calibri"/>
                <w:color w:val="000000"/>
                <w:sz w:val="22"/>
                <w:szCs w:val="22"/>
                <w:lang w:val="en-GB"/>
              </w:rPr>
            </w:pPr>
            <w:r w:rsidRPr="00D51C73">
              <w:rPr>
                <w:rFonts w:ascii="Calibri" w:hAnsi="Calibri"/>
                <w:color w:val="000000"/>
                <w:sz w:val="22"/>
                <w:szCs w:val="22"/>
                <w:lang w:val="en-GB"/>
              </w:rPr>
              <w:t>Public consultation to support the evaluation of the European Environment Agency and its European Environment Information and Observation Network</w:t>
            </w:r>
          </w:p>
        </w:tc>
        <w:tc>
          <w:tcPr>
            <w:tcW w:w="720"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D51C73" w:rsidRDefault="006A32F6">
            <w:pPr>
              <w:jc w:val="center"/>
              <w:rPr>
                <w:rFonts w:ascii="Calibri" w:hAnsi="Calibri"/>
                <w:color w:val="0000FF"/>
                <w:sz w:val="22"/>
                <w:szCs w:val="22"/>
                <w:u w:val="single"/>
              </w:rPr>
            </w:pPr>
            <w:hyperlink w:history="1" r:id="rId12">
              <w:r w:rsidR="00D51C73">
                <w:rPr>
                  <w:rStyle w:val="Hyperlink"/>
                  <w:rFonts w:ascii="Calibri" w:hAnsi="Calibri"/>
                  <w:sz w:val="22"/>
                  <w:szCs w:val="22"/>
                </w:rPr>
                <w:t>OR</w:t>
              </w:r>
            </w:hyperlink>
          </w:p>
        </w:tc>
        <w:tc>
          <w:tcPr>
            <w:tcW w:w="1033" w:type="dxa"/>
            <w:tcBorders>
              <w:top w:val="single" w:color="auto" w:sz="4" w:space="0"/>
              <w:left w:val="single" w:color="auto" w:sz="4" w:space="0"/>
              <w:bottom w:val="single" w:color="auto" w:sz="4" w:space="0"/>
              <w:right w:val="single" w:color="auto" w:sz="4" w:space="0"/>
            </w:tcBorders>
            <w:shd w:val="clear" w:color="auto" w:fill="FFFFFF" w:themeFill="background1"/>
          </w:tcPr>
          <w:p w:rsidR="00D51C73" w:rsidP="00D51C73" w:rsidRDefault="00D51C73">
            <w:pPr>
              <w:jc w:val="center"/>
              <w:rPr>
                <w:rFonts w:ascii="Calibri" w:hAnsi="Calibri"/>
                <w:color w:val="000000"/>
                <w:sz w:val="22"/>
                <w:szCs w:val="22"/>
              </w:rPr>
            </w:pPr>
            <w:r>
              <w:rPr>
                <w:rFonts w:ascii="Calibri" w:hAnsi="Calibri"/>
                <w:color w:val="000000"/>
                <w:sz w:val="22"/>
                <w:szCs w:val="22"/>
              </w:rPr>
              <w:t>n.v.t.</w:t>
            </w:r>
          </w:p>
        </w:tc>
        <w:tc>
          <w:tcPr>
            <w:tcW w:w="4575" w:type="dxa"/>
            <w:tcBorders>
              <w:top w:val="single" w:color="auto" w:sz="4" w:space="0"/>
              <w:left w:val="single" w:color="auto" w:sz="4" w:space="0"/>
              <w:bottom w:val="single" w:color="auto" w:sz="4" w:space="0"/>
              <w:right w:val="single" w:color="auto" w:sz="4" w:space="0"/>
            </w:tcBorders>
            <w:shd w:val="clear" w:color="auto" w:fill="FFFFFF" w:themeFill="background1"/>
          </w:tcPr>
          <w:p w:rsidR="00D51C73" w:rsidP="00D51C73" w:rsidRDefault="00D51C73">
            <w:pPr>
              <w:rPr>
                <w:rFonts w:asciiTheme="minorHAnsi" w:hAnsiTheme="minorHAnsi"/>
                <w:color w:val="000000"/>
                <w:sz w:val="22"/>
                <w:szCs w:val="22"/>
              </w:rPr>
            </w:pPr>
            <w:r w:rsidRPr="00AD4E0E">
              <w:rPr>
                <w:rFonts w:asciiTheme="minorHAnsi" w:hAnsiTheme="minorHAnsi"/>
                <w:color w:val="000000"/>
                <w:sz w:val="22"/>
                <w:szCs w:val="22"/>
                <w:u w:val="single"/>
              </w:rPr>
              <w:t>Behandelvoorstel</w:t>
            </w:r>
            <w:r w:rsidRPr="00AD4E0E">
              <w:rPr>
                <w:rFonts w:asciiTheme="minorHAnsi" w:hAnsiTheme="minorHAnsi"/>
                <w:color w:val="000000"/>
                <w:sz w:val="22"/>
                <w:szCs w:val="22"/>
              </w:rPr>
              <w:t>:</w:t>
            </w:r>
            <w:r>
              <w:rPr>
                <w:rFonts w:asciiTheme="minorHAnsi" w:hAnsiTheme="minorHAnsi"/>
                <w:color w:val="000000"/>
                <w:sz w:val="22"/>
                <w:szCs w:val="22"/>
              </w:rPr>
              <w:t xml:space="preserve"> Ter informatie.</w:t>
            </w:r>
          </w:p>
          <w:p w:rsidR="00D51C73" w:rsidP="00D51C73" w:rsidRDefault="00D51C73">
            <w:pPr>
              <w:rPr>
                <w:rFonts w:asciiTheme="minorHAnsi" w:hAnsiTheme="minorHAnsi"/>
                <w:color w:val="000000"/>
                <w:sz w:val="22"/>
                <w:szCs w:val="22"/>
              </w:rPr>
            </w:pPr>
          </w:p>
          <w:p w:rsidRPr="00AD4E0E" w:rsidR="00D51C73" w:rsidP="00D51C73" w:rsidRDefault="00D51C73">
            <w:pPr>
              <w:rPr>
                <w:rFonts w:asciiTheme="minorHAnsi" w:hAnsiTheme="minorHAnsi"/>
                <w:color w:val="000000"/>
                <w:sz w:val="22"/>
                <w:szCs w:val="22"/>
                <w:u w:val="single"/>
              </w:rPr>
            </w:pPr>
            <w:r>
              <w:rPr>
                <w:rFonts w:asciiTheme="minorHAnsi" w:hAnsiTheme="minorHAnsi"/>
                <w:color w:val="000000"/>
                <w:sz w:val="22"/>
                <w:szCs w:val="22"/>
              </w:rPr>
              <w:t>Noot: de deadline voor inbreng op deze consultatie loopt af op 23 oktober 2017.</w:t>
            </w:r>
          </w:p>
        </w:tc>
      </w:tr>
      <w:tr w:rsidRPr="000947B3" w:rsidR="008E0742" w:rsidTr="008E0742">
        <w:trPr>
          <w:trHeight w:val="1509"/>
        </w:trPr>
        <w:tc>
          <w:tcPr>
            <w:tcW w:w="980"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8E0742" w:rsidP="008E0742" w:rsidRDefault="008E0742">
            <w:pPr>
              <w:jc w:val="center"/>
              <w:rPr>
                <w:rFonts w:ascii="Calibri" w:hAnsi="Calibri"/>
                <w:color w:val="000000"/>
                <w:sz w:val="22"/>
                <w:szCs w:val="22"/>
              </w:rPr>
            </w:pPr>
            <w:r>
              <w:rPr>
                <w:rFonts w:ascii="Calibri" w:hAnsi="Calibri"/>
                <w:color w:val="000000"/>
                <w:sz w:val="22"/>
                <w:szCs w:val="22"/>
              </w:rPr>
              <w:t>27-jul-17</w:t>
            </w:r>
          </w:p>
        </w:tc>
        <w:tc>
          <w:tcPr>
            <w:tcW w:w="120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8E0742" w:rsidP="008E0742" w:rsidRDefault="008E0742">
            <w:pPr>
              <w:jc w:val="center"/>
              <w:rPr>
                <w:rFonts w:ascii="Calibri" w:hAnsi="Calibri"/>
                <w:color w:val="000000"/>
                <w:sz w:val="22"/>
                <w:szCs w:val="22"/>
              </w:rPr>
            </w:pPr>
            <w:r>
              <w:rPr>
                <w:rFonts w:ascii="Calibri" w:hAnsi="Calibri"/>
                <w:color w:val="000000"/>
                <w:sz w:val="22"/>
                <w:szCs w:val="22"/>
              </w:rPr>
              <w:t>I&amp;M</w:t>
            </w:r>
          </w:p>
        </w:tc>
        <w:tc>
          <w:tcPr>
            <w:tcW w:w="1254"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8E0742" w:rsidP="008E0742" w:rsidRDefault="008E0742">
            <w:pPr>
              <w:jc w:val="center"/>
              <w:rPr>
                <w:rFonts w:ascii="Calibri" w:hAnsi="Calibri"/>
                <w:color w:val="000000"/>
                <w:sz w:val="22"/>
                <w:szCs w:val="22"/>
              </w:rPr>
            </w:pPr>
            <w:r>
              <w:rPr>
                <w:rFonts w:ascii="Calibri" w:hAnsi="Calibri"/>
                <w:color w:val="000000"/>
                <w:sz w:val="22"/>
                <w:szCs w:val="22"/>
              </w:rPr>
              <w:t>raadpleging</w:t>
            </w:r>
          </w:p>
        </w:tc>
        <w:tc>
          <w:tcPr>
            <w:tcW w:w="4890" w:type="dxa"/>
            <w:tcBorders>
              <w:top w:val="single" w:color="auto" w:sz="4" w:space="0"/>
              <w:left w:val="single" w:color="auto" w:sz="4" w:space="0"/>
              <w:bottom w:val="single" w:color="auto" w:sz="4" w:space="0"/>
              <w:right w:val="single" w:color="auto" w:sz="4" w:space="0"/>
            </w:tcBorders>
            <w:shd w:val="clear" w:color="auto" w:fill="FFFFFF" w:themeFill="background1"/>
          </w:tcPr>
          <w:p w:rsidRPr="008E0742" w:rsidR="008E0742" w:rsidRDefault="008E0742">
            <w:pPr>
              <w:rPr>
                <w:rFonts w:ascii="Calibri" w:hAnsi="Calibri"/>
                <w:color w:val="000000"/>
                <w:sz w:val="22"/>
                <w:szCs w:val="22"/>
                <w:lang w:val="en-GB"/>
              </w:rPr>
            </w:pPr>
            <w:r w:rsidRPr="008E0742">
              <w:rPr>
                <w:rFonts w:ascii="Calibri" w:hAnsi="Calibri"/>
                <w:color w:val="000000"/>
                <w:sz w:val="22"/>
                <w:szCs w:val="22"/>
                <w:lang w:val="en-GB"/>
              </w:rPr>
              <w:t xml:space="preserve">Public consultation on the evaluation of the European Maritime Safety Agency including its pollution response services </w:t>
            </w:r>
          </w:p>
        </w:tc>
        <w:tc>
          <w:tcPr>
            <w:tcW w:w="720"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8E0742" w:rsidRDefault="006A32F6">
            <w:pPr>
              <w:jc w:val="center"/>
              <w:rPr>
                <w:rFonts w:ascii="Calibri" w:hAnsi="Calibri"/>
                <w:color w:val="0000FF"/>
                <w:sz w:val="22"/>
                <w:szCs w:val="22"/>
                <w:u w:val="single"/>
              </w:rPr>
            </w:pPr>
            <w:hyperlink w:history="1" r:id="rId13">
              <w:r w:rsidR="008E0742">
                <w:rPr>
                  <w:rStyle w:val="Hyperlink"/>
                  <w:rFonts w:ascii="Calibri" w:hAnsi="Calibri"/>
                  <w:sz w:val="22"/>
                  <w:szCs w:val="22"/>
                </w:rPr>
                <w:t>OR</w:t>
              </w:r>
            </w:hyperlink>
          </w:p>
        </w:tc>
        <w:tc>
          <w:tcPr>
            <w:tcW w:w="1033" w:type="dxa"/>
            <w:tcBorders>
              <w:top w:val="single" w:color="auto" w:sz="4" w:space="0"/>
              <w:left w:val="single" w:color="auto" w:sz="4" w:space="0"/>
              <w:bottom w:val="single" w:color="auto" w:sz="4" w:space="0"/>
              <w:right w:val="single" w:color="auto" w:sz="4" w:space="0"/>
            </w:tcBorders>
            <w:shd w:val="clear" w:color="auto" w:fill="FFFFFF" w:themeFill="background1"/>
          </w:tcPr>
          <w:p w:rsidR="008E0742" w:rsidP="008E0742" w:rsidRDefault="008E0742">
            <w:pPr>
              <w:jc w:val="center"/>
              <w:rPr>
                <w:rFonts w:ascii="Calibri" w:hAnsi="Calibri"/>
                <w:color w:val="000000"/>
                <w:sz w:val="22"/>
                <w:szCs w:val="22"/>
              </w:rPr>
            </w:pPr>
            <w:r>
              <w:rPr>
                <w:rFonts w:ascii="Calibri" w:hAnsi="Calibri"/>
                <w:color w:val="000000"/>
                <w:sz w:val="22"/>
                <w:szCs w:val="22"/>
              </w:rPr>
              <w:t>n.v.t.</w:t>
            </w:r>
          </w:p>
        </w:tc>
        <w:tc>
          <w:tcPr>
            <w:tcW w:w="4575" w:type="dxa"/>
            <w:tcBorders>
              <w:top w:val="single" w:color="auto" w:sz="4" w:space="0"/>
              <w:left w:val="single" w:color="auto" w:sz="4" w:space="0"/>
              <w:bottom w:val="single" w:color="auto" w:sz="4" w:space="0"/>
              <w:right w:val="single" w:color="auto" w:sz="4" w:space="0"/>
            </w:tcBorders>
            <w:shd w:val="clear" w:color="auto" w:fill="FFFFFF" w:themeFill="background1"/>
          </w:tcPr>
          <w:p w:rsidR="008E0742" w:rsidP="008E0742" w:rsidRDefault="008E0742">
            <w:pPr>
              <w:rPr>
                <w:rFonts w:asciiTheme="minorHAnsi" w:hAnsiTheme="minorHAnsi"/>
                <w:color w:val="000000"/>
                <w:sz w:val="22"/>
                <w:szCs w:val="22"/>
              </w:rPr>
            </w:pPr>
            <w:r w:rsidRPr="00AD4E0E">
              <w:rPr>
                <w:rFonts w:asciiTheme="minorHAnsi" w:hAnsiTheme="minorHAnsi"/>
                <w:color w:val="000000"/>
                <w:sz w:val="22"/>
                <w:szCs w:val="22"/>
                <w:u w:val="single"/>
              </w:rPr>
              <w:t>Behandelvoorstel</w:t>
            </w:r>
            <w:r w:rsidRPr="00AD4E0E">
              <w:rPr>
                <w:rFonts w:asciiTheme="minorHAnsi" w:hAnsiTheme="minorHAnsi"/>
                <w:color w:val="000000"/>
                <w:sz w:val="22"/>
                <w:szCs w:val="22"/>
              </w:rPr>
              <w:t>:</w:t>
            </w:r>
            <w:r>
              <w:rPr>
                <w:rFonts w:asciiTheme="minorHAnsi" w:hAnsiTheme="minorHAnsi"/>
                <w:color w:val="000000"/>
                <w:sz w:val="22"/>
                <w:szCs w:val="22"/>
              </w:rPr>
              <w:t xml:space="preserve"> Ter informatie.</w:t>
            </w:r>
          </w:p>
          <w:p w:rsidR="008E0742" w:rsidP="008E0742" w:rsidRDefault="008E0742">
            <w:pPr>
              <w:rPr>
                <w:rFonts w:asciiTheme="minorHAnsi" w:hAnsiTheme="minorHAnsi"/>
                <w:color w:val="000000"/>
                <w:sz w:val="22"/>
                <w:szCs w:val="22"/>
              </w:rPr>
            </w:pPr>
          </w:p>
          <w:p w:rsidRPr="00AD4E0E" w:rsidR="008E0742" w:rsidP="008E0742" w:rsidRDefault="008E0742">
            <w:pPr>
              <w:rPr>
                <w:rFonts w:asciiTheme="minorHAnsi" w:hAnsiTheme="minorHAnsi"/>
                <w:color w:val="000000"/>
                <w:sz w:val="22"/>
                <w:szCs w:val="22"/>
                <w:u w:val="single"/>
              </w:rPr>
            </w:pPr>
            <w:r>
              <w:rPr>
                <w:rFonts w:asciiTheme="minorHAnsi" w:hAnsiTheme="minorHAnsi"/>
                <w:color w:val="000000"/>
                <w:sz w:val="22"/>
                <w:szCs w:val="22"/>
              </w:rPr>
              <w:t>Noot: de deadline voor inbreng op deze consultatie loopt af op 2 november 2017.</w:t>
            </w:r>
          </w:p>
        </w:tc>
      </w:tr>
      <w:tr w:rsidRPr="000947B3" w:rsidR="003510B5" w:rsidTr="003510B5">
        <w:trPr>
          <w:trHeight w:val="1509"/>
        </w:trPr>
        <w:tc>
          <w:tcPr>
            <w:tcW w:w="980"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3510B5" w:rsidP="003510B5" w:rsidRDefault="003510B5">
            <w:pPr>
              <w:jc w:val="center"/>
              <w:rPr>
                <w:rFonts w:ascii="Calibri" w:hAnsi="Calibri"/>
                <w:color w:val="000000"/>
                <w:sz w:val="22"/>
                <w:szCs w:val="22"/>
              </w:rPr>
            </w:pPr>
            <w:r>
              <w:rPr>
                <w:rFonts w:ascii="Calibri" w:hAnsi="Calibri"/>
                <w:color w:val="000000"/>
                <w:sz w:val="22"/>
                <w:szCs w:val="22"/>
              </w:rPr>
              <w:t>31-jul-17</w:t>
            </w:r>
          </w:p>
        </w:tc>
        <w:tc>
          <w:tcPr>
            <w:tcW w:w="120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3510B5" w:rsidP="003510B5" w:rsidRDefault="003510B5">
            <w:pPr>
              <w:jc w:val="center"/>
              <w:rPr>
                <w:rFonts w:ascii="Calibri" w:hAnsi="Calibri"/>
                <w:color w:val="000000"/>
                <w:sz w:val="22"/>
                <w:szCs w:val="22"/>
              </w:rPr>
            </w:pPr>
            <w:r>
              <w:rPr>
                <w:rFonts w:ascii="Calibri" w:hAnsi="Calibri"/>
                <w:color w:val="000000"/>
                <w:sz w:val="22"/>
                <w:szCs w:val="22"/>
              </w:rPr>
              <w:t>I&amp;M</w:t>
            </w:r>
          </w:p>
        </w:tc>
        <w:tc>
          <w:tcPr>
            <w:tcW w:w="1254"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3510B5" w:rsidP="003510B5" w:rsidRDefault="003510B5">
            <w:pPr>
              <w:jc w:val="center"/>
              <w:rPr>
                <w:rFonts w:ascii="Calibri" w:hAnsi="Calibri"/>
                <w:color w:val="000000"/>
                <w:sz w:val="22"/>
                <w:szCs w:val="22"/>
              </w:rPr>
            </w:pPr>
            <w:r>
              <w:rPr>
                <w:rFonts w:ascii="Calibri" w:hAnsi="Calibri"/>
                <w:color w:val="000000"/>
                <w:sz w:val="22"/>
                <w:szCs w:val="22"/>
              </w:rPr>
              <w:t>raadpleging</w:t>
            </w:r>
          </w:p>
        </w:tc>
        <w:tc>
          <w:tcPr>
            <w:tcW w:w="4890" w:type="dxa"/>
            <w:tcBorders>
              <w:top w:val="single" w:color="auto" w:sz="4" w:space="0"/>
              <w:left w:val="single" w:color="auto" w:sz="4" w:space="0"/>
              <w:bottom w:val="single" w:color="auto" w:sz="4" w:space="0"/>
              <w:right w:val="single" w:color="auto" w:sz="4" w:space="0"/>
            </w:tcBorders>
            <w:shd w:val="clear" w:color="auto" w:fill="FFFFFF" w:themeFill="background1"/>
          </w:tcPr>
          <w:p w:rsidR="003510B5" w:rsidRDefault="003510B5">
            <w:pPr>
              <w:rPr>
                <w:rFonts w:ascii="Calibri" w:hAnsi="Calibri"/>
                <w:color w:val="000000"/>
                <w:sz w:val="22"/>
                <w:szCs w:val="22"/>
              </w:rPr>
            </w:pPr>
            <w:r>
              <w:rPr>
                <w:rFonts w:ascii="Calibri" w:hAnsi="Calibri"/>
                <w:color w:val="000000"/>
                <w:sz w:val="22"/>
                <w:szCs w:val="22"/>
              </w:rPr>
              <w:t>Evaluation of the Environmental Technologies Verification Pilot Programme</w:t>
            </w:r>
          </w:p>
        </w:tc>
        <w:tc>
          <w:tcPr>
            <w:tcW w:w="720"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3510B5" w:rsidRDefault="006A32F6">
            <w:pPr>
              <w:jc w:val="center"/>
              <w:rPr>
                <w:rFonts w:ascii="Calibri" w:hAnsi="Calibri"/>
                <w:color w:val="0000FF"/>
                <w:sz w:val="22"/>
                <w:szCs w:val="22"/>
                <w:u w:val="single"/>
              </w:rPr>
            </w:pPr>
            <w:hyperlink w:history="1" r:id="rId14">
              <w:r w:rsidR="003510B5">
                <w:rPr>
                  <w:rStyle w:val="Hyperlink"/>
                  <w:rFonts w:ascii="Calibri" w:hAnsi="Calibri"/>
                  <w:sz w:val="22"/>
                  <w:szCs w:val="22"/>
                </w:rPr>
                <w:t>OR</w:t>
              </w:r>
            </w:hyperlink>
          </w:p>
        </w:tc>
        <w:tc>
          <w:tcPr>
            <w:tcW w:w="1033" w:type="dxa"/>
            <w:tcBorders>
              <w:top w:val="single" w:color="auto" w:sz="4" w:space="0"/>
              <w:left w:val="single" w:color="auto" w:sz="4" w:space="0"/>
              <w:bottom w:val="single" w:color="auto" w:sz="4" w:space="0"/>
              <w:right w:val="single" w:color="auto" w:sz="4" w:space="0"/>
            </w:tcBorders>
            <w:shd w:val="clear" w:color="auto" w:fill="FFFFFF" w:themeFill="background1"/>
          </w:tcPr>
          <w:p w:rsidR="003510B5" w:rsidP="003510B5" w:rsidRDefault="003510B5">
            <w:pPr>
              <w:jc w:val="center"/>
              <w:rPr>
                <w:rFonts w:ascii="Calibri" w:hAnsi="Calibri"/>
                <w:color w:val="000000"/>
                <w:sz w:val="22"/>
                <w:szCs w:val="22"/>
              </w:rPr>
            </w:pPr>
            <w:r>
              <w:rPr>
                <w:rFonts w:ascii="Calibri" w:hAnsi="Calibri"/>
                <w:color w:val="000000"/>
                <w:sz w:val="22"/>
                <w:szCs w:val="22"/>
              </w:rPr>
              <w:t>n.v.t.</w:t>
            </w:r>
          </w:p>
        </w:tc>
        <w:tc>
          <w:tcPr>
            <w:tcW w:w="4575" w:type="dxa"/>
            <w:tcBorders>
              <w:top w:val="single" w:color="auto" w:sz="4" w:space="0"/>
              <w:left w:val="single" w:color="auto" w:sz="4" w:space="0"/>
              <w:bottom w:val="single" w:color="auto" w:sz="4" w:space="0"/>
              <w:right w:val="single" w:color="auto" w:sz="4" w:space="0"/>
            </w:tcBorders>
            <w:shd w:val="clear" w:color="auto" w:fill="FFFFFF" w:themeFill="background1"/>
          </w:tcPr>
          <w:p w:rsidR="003510B5" w:rsidP="003510B5" w:rsidRDefault="003510B5">
            <w:pPr>
              <w:rPr>
                <w:rFonts w:asciiTheme="minorHAnsi" w:hAnsiTheme="minorHAnsi"/>
                <w:color w:val="000000"/>
                <w:sz w:val="22"/>
                <w:szCs w:val="22"/>
              </w:rPr>
            </w:pPr>
            <w:r w:rsidRPr="00AD4E0E">
              <w:rPr>
                <w:rFonts w:asciiTheme="minorHAnsi" w:hAnsiTheme="minorHAnsi"/>
                <w:color w:val="000000"/>
                <w:sz w:val="22"/>
                <w:szCs w:val="22"/>
                <w:u w:val="single"/>
              </w:rPr>
              <w:t>Behandelvoorstel</w:t>
            </w:r>
            <w:r w:rsidRPr="00AD4E0E">
              <w:rPr>
                <w:rFonts w:asciiTheme="minorHAnsi" w:hAnsiTheme="minorHAnsi"/>
                <w:color w:val="000000"/>
                <w:sz w:val="22"/>
                <w:szCs w:val="22"/>
              </w:rPr>
              <w:t>:</w:t>
            </w:r>
            <w:r>
              <w:rPr>
                <w:rFonts w:asciiTheme="minorHAnsi" w:hAnsiTheme="minorHAnsi"/>
                <w:color w:val="000000"/>
                <w:sz w:val="22"/>
                <w:szCs w:val="22"/>
              </w:rPr>
              <w:t xml:space="preserve"> Ter informatie.</w:t>
            </w:r>
          </w:p>
          <w:p w:rsidR="003510B5" w:rsidP="003510B5" w:rsidRDefault="003510B5">
            <w:pPr>
              <w:rPr>
                <w:rFonts w:asciiTheme="minorHAnsi" w:hAnsiTheme="minorHAnsi"/>
                <w:color w:val="000000"/>
                <w:sz w:val="22"/>
                <w:szCs w:val="22"/>
              </w:rPr>
            </w:pPr>
          </w:p>
          <w:p w:rsidRPr="00AD4E0E" w:rsidR="003510B5" w:rsidP="003510B5" w:rsidRDefault="003510B5">
            <w:pPr>
              <w:rPr>
                <w:rFonts w:asciiTheme="minorHAnsi" w:hAnsiTheme="minorHAnsi"/>
                <w:color w:val="000000"/>
                <w:sz w:val="22"/>
                <w:szCs w:val="22"/>
                <w:u w:val="single"/>
              </w:rPr>
            </w:pPr>
            <w:r>
              <w:rPr>
                <w:rFonts w:asciiTheme="minorHAnsi" w:hAnsiTheme="minorHAnsi"/>
                <w:color w:val="000000"/>
                <w:sz w:val="22"/>
                <w:szCs w:val="22"/>
              </w:rPr>
              <w:t>Noot: de deadline voor inbreng op deze consultatie loopt af op 10 november 2017.</w:t>
            </w:r>
          </w:p>
        </w:tc>
      </w:tr>
      <w:tr w:rsidRPr="000947B3" w:rsidR="003B762C" w:rsidTr="003B762C">
        <w:trPr>
          <w:trHeight w:val="1509"/>
        </w:trPr>
        <w:tc>
          <w:tcPr>
            <w:tcW w:w="980"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3B762C" w:rsidP="003B762C" w:rsidRDefault="003B762C">
            <w:pPr>
              <w:jc w:val="center"/>
              <w:rPr>
                <w:rFonts w:ascii="Calibri" w:hAnsi="Calibri"/>
                <w:color w:val="000000"/>
                <w:sz w:val="22"/>
                <w:szCs w:val="22"/>
              </w:rPr>
            </w:pPr>
            <w:r>
              <w:rPr>
                <w:rFonts w:ascii="Calibri" w:hAnsi="Calibri"/>
                <w:color w:val="000000"/>
                <w:sz w:val="22"/>
                <w:szCs w:val="22"/>
              </w:rPr>
              <w:t>31-jul-17</w:t>
            </w:r>
          </w:p>
        </w:tc>
        <w:tc>
          <w:tcPr>
            <w:tcW w:w="1203"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3B762C" w:rsidP="003B762C" w:rsidRDefault="003B762C">
            <w:pPr>
              <w:jc w:val="center"/>
              <w:rPr>
                <w:rFonts w:ascii="Calibri" w:hAnsi="Calibri"/>
                <w:color w:val="000000"/>
                <w:sz w:val="22"/>
                <w:szCs w:val="22"/>
              </w:rPr>
            </w:pPr>
            <w:r>
              <w:rPr>
                <w:rFonts w:ascii="Calibri" w:hAnsi="Calibri"/>
                <w:color w:val="000000"/>
                <w:sz w:val="22"/>
                <w:szCs w:val="22"/>
              </w:rPr>
              <w:t>I&amp;M</w:t>
            </w:r>
          </w:p>
        </w:tc>
        <w:tc>
          <w:tcPr>
            <w:tcW w:w="1254"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3B762C" w:rsidP="003B762C" w:rsidRDefault="003B762C">
            <w:pPr>
              <w:jc w:val="center"/>
              <w:rPr>
                <w:rFonts w:ascii="Calibri" w:hAnsi="Calibri"/>
                <w:color w:val="000000"/>
                <w:sz w:val="22"/>
                <w:szCs w:val="22"/>
              </w:rPr>
            </w:pPr>
            <w:r>
              <w:rPr>
                <w:rFonts w:ascii="Calibri" w:hAnsi="Calibri"/>
                <w:color w:val="000000"/>
                <w:sz w:val="22"/>
                <w:szCs w:val="22"/>
              </w:rPr>
              <w:t>raadpleging</w:t>
            </w:r>
          </w:p>
        </w:tc>
        <w:tc>
          <w:tcPr>
            <w:tcW w:w="4890" w:type="dxa"/>
            <w:tcBorders>
              <w:top w:val="single" w:color="auto" w:sz="4" w:space="0"/>
              <w:left w:val="single" w:color="auto" w:sz="4" w:space="0"/>
              <w:bottom w:val="single" w:color="auto" w:sz="4" w:space="0"/>
              <w:right w:val="single" w:color="auto" w:sz="4" w:space="0"/>
            </w:tcBorders>
            <w:shd w:val="clear" w:color="auto" w:fill="FFFFFF" w:themeFill="background1"/>
          </w:tcPr>
          <w:p w:rsidR="003B762C" w:rsidRDefault="003B762C">
            <w:pPr>
              <w:rPr>
                <w:rFonts w:ascii="Calibri" w:hAnsi="Calibri"/>
                <w:color w:val="000000"/>
                <w:sz w:val="22"/>
                <w:szCs w:val="22"/>
              </w:rPr>
            </w:pPr>
            <w:r>
              <w:rPr>
                <w:rFonts w:ascii="Calibri" w:hAnsi="Calibri"/>
                <w:color w:val="000000"/>
                <w:sz w:val="22"/>
                <w:szCs w:val="22"/>
              </w:rPr>
              <w:t>Openbare raadpleging over de herziening van de Verordening betreffende de algemene veiligheid van motorvoertuigen en de Verordening betreffende de bescherming van voetgangers</w:t>
            </w:r>
          </w:p>
        </w:tc>
        <w:tc>
          <w:tcPr>
            <w:tcW w:w="720"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3B762C" w:rsidRDefault="006A32F6">
            <w:pPr>
              <w:jc w:val="center"/>
              <w:rPr>
                <w:rFonts w:ascii="Calibri" w:hAnsi="Calibri"/>
                <w:color w:val="0000FF"/>
                <w:sz w:val="22"/>
                <w:szCs w:val="22"/>
                <w:u w:val="single"/>
              </w:rPr>
            </w:pPr>
            <w:hyperlink w:history="1" r:id="rId15">
              <w:r w:rsidR="003B762C">
                <w:rPr>
                  <w:rStyle w:val="Hyperlink"/>
                  <w:rFonts w:ascii="Calibri" w:hAnsi="Calibri"/>
                  <w:sz w:val="22"/>
                  <w:szCs w:val="22"/>
                </w:rPr>
                <w:t>OR</w:t>
              </w:r>
            </w:hyperlink>
          </w:p>
        </w:tc>
        <w:tc>
          <w:tcPr>
            <w:tcW w:w="1033" w:type="dxa"/>
            <w:tcBorders>
              <w:top w:val="single" w:color="auto" w:sz="4" w:space="0"/>
              <w:left w:val="single" w:color="auto" w:sz="4" w:space="0"/>
              <w:bottom w:val="single" w:color="auto" w:sz="4" w:space="0"/>
              <w:right w:val="single" w:color="auto" w:sz="4" w:space="0"/>
            </w:tcBorders>
            <w:shd w:val="clear" w:color="auto" w:fill="FFFFFF" w:themeFill="background1"/>
          </w:tcPr>
          <w:p w:rsidR="003B762C" w:rsidP="003B762C" w:rsidRDefault="003B762C">
            <w:pPr>
              <w:jc w:val="center"/>
              <w:rPr>
                <w:rFonts w:ascii="Calibri" w:hAnsi="Calibri"/>
                <w:color w:val="000000"/>
                <w:sz w:val="22"/>
                <w:szCs w:val="22"/>
              </w:rPr>
            </w:pPr>
            <w:r>
              <w:rPr>
                <w:rFonts w:ascii="Calibri" w:hAnsi="Calibri"/>
                <w:color w:val="000000"/>
                <w:sz w:val="22"/>
                <w:szCs w:val="22"/>
              </w:rPr>
              <w:t>n.v.t.</w:t>
            </w:r>
          </w:p>
        </w:tc>
        <w:tc>
          <w:tcPr>
            <w:tcW w:w="4575" w:type="dxa"/>
            <w:tcBorders>
              <w:top w:val="single" w:color="auto" w:sz="4" w:space="0"/>
              <w:left w:val="single" w:color="auto" w:sz="4" w:space="0"/>
              <w:bottom w:val="single" w:color="auto" w:sz="4" w:space="0"/>
              <w:right w:val="single" w:color="auto" w:sz="4" w:space="0"/>
            </w:tcBorders>
            <w:shd w:val="clear" w:color="auto" w:fill="FFFFFF" w:themeFill="background1"/>
          </w:tcPr>
          <w:p w:rsidR="003B762C" w:rsidP="003B762C" w:rsidRDefault="003B762C">
            <w:pPr>
              <w:rPr>
                <w:rFonts w:asciiTheme="minorHAnsi" w:hAnsiTheme="minorHAnsi"/>
                <w:color w:val="000000"/>
                <w:sz w:val="22"/>
                <w:szCs w:val="22"/>
              </w:rPr>
            </w:pPr>
            <w:r w:rsidRPr="00AD4E0E">
              <w:rPr>
                <w:rFonts w:asciiTheme="minorHAnsi" w:hAnsiTheme="minorHAnsi"/>
                <w:color w:val="000000"/>
                <w:sz w:val="22"/>
                <w:szCs w:val="22"/>
                <w:u w:val="single"/>
              </w:rPr>
              <w:t>Behandelvoorstel</w:t>
            </w:r>
            <w:r w:rsidRPr="00AD4E0E">
              <w:rPr>
                <w:rFonts w:asciiTheme="minorHAnsi" w:hAnsiTheme="minorHAnsi"/>
                <w:color w:val="000000"/>
                <w:sz w:val="22"/>
                <w:szCs w:val="22"/>
              </w:rPr>
              <w:t>:</w:t>
            </w:r>
            <w:r>
              <w:rPr>
                <w:rFonts w:asciiTheme="minorHAnsi" w:hAnsiTheme="minorHAnsi"/>
                <w:color w:val="000000"/>
                <w:sz w:val="22"/>
                <w:szCs w:val="22"/>
              </w:rPr>
              <w:t xml:space="preserve"> Ter informatie.</w:t>
            </w:r>
          </w:p>
          <w:p w:rsidR="003B762C" w:rsidP="003B762C" w:rsidRDefault="003B762C">
            <w:pPr>
              <w:rPr>
                <w:rFonts w:asciiTheme="minorHAnsi" w:hAnsiTheme="minorHAnsi"/>
                <w:color w:val="000000"/>
                <w:sz w:val="22"/>
                <w:szCs w:val="22"/>
              </w:rPr>
            </w:pPr>
          </w:p>
          <w:p w:rsidRPr="00AD4E0E" w:rsidR="003B762C" w:rsidP="003B762C" w:rsidRDefault="003B762C">
            <w:pPr>
              <w:rPr>
                <w:rFonts w:asciiTheme="minorHAnsi" w:hAnsiTheme="minorHAnsi"/>
                <w:color w:val="000000"/>
                <w:sz w:val="22"/>
                <w:szCs w:val="22"/>
                <w:u w:val="single"/>
              </w:rPr>
            </w:pPr>
            <w:r>
              <w:rPr>
                <w:rFonts w:asciiTheme="minorHAnsi" w:hAnsiTheme="minorHAnsi"/>
                <w:color w:val="000000"/>
                <w:sz w:val="22"/>
                <w:szCs w:val="22"/>
              </w:rPr>
              <w:t>Noot: de deadline voor inbreng op deze consultatie loopt af op 22 oktober 2017.</w:t>
            </w:r>
          </w:p>
        </w:tc>
      </w:tr>
    </w:tbl>
    <w:p w:rsidRPr="006605C6" w:rsidR="00F74ED7" w:rsidP="00E34A2D" w:rsidRDefault="00F74ED7">
      <w:pPr>
        <w:pStyle w:val="Voetnoottekst"/>
        <w:rPr>
          <w:rFonts w:ascii="Verdana" w:hAnsi="Verdana"/>
          <w:b/>
        </w:rPr>
      </w:pPr>
    </w:p>
    <w:p w:rsidRPr="006605C6" w:rsidR="00F74ED7" w:rsidRDefault="00F74ED7">
      <w:pPr>
        <w:rPr>
          <w:rFonts w:ascii="Verdana" w:hAnsi="Verdana"/>
          <w:b/>
          <w:sz w:val="20"/>
          <w:szCs w:val="20"/>
        </w:rPr>
      </w:pPr>
      <w:r w:rsidRPr="006605C6">
        <w:rPr>
          <w:rFonts w:ascii="Verdana" w:hAnsi="Verdana"/>
          <w:b/>
        </w:rPr>
        <w:br w:type="page"/>
      </w:r>
    </w:p>
    <w:p w:rsidRPr="00A32873" w:rsidR="00E34A2D" w:rsidP="00E34A2D" w:rsidRDefault="00E34A2D">
      <w:pPr>
        <w:pStyle w:val="Voetnoottekst"/>
        <w:rPr>
          <w:rFonts w:ascii="Verdana" w:hAnsi="Verdana"/>
          <w:b/>
        </w:rPr>
      </w:pPr>
      <w:r>
        <w:rPr>
          <w:rFonts w:ascii="Verdana" w:hAnsi="Verdana"/>
          <w:b/>
        </w:rPr>
        <w:lastRenderedPageBreak/>
        <w:t>Bijlage: b</w:t>
      </w:r>
      <w:r w:rsidRPr="00A32873">
        <w:rPr>
          <w:rFonts w:ascii="Verdana" w:hAnsi="Verdana"/>
          <w:b/>
        </w:rPr>
        <w:t>ehandelmogelijkheden EU-voorstellen</w:t>
      </w:r>
    </w:p>
    <w:p w:rsidRPr="00A32873" w:rsidR="00E34A2D" w:rsidP="00E34A2D" w:rsidRDefault="00E34A2D">
      <w:pPr>
        <w:pStyle w:val="Voetnoottekst"/>
        <w:rPr>
          <w:rFonts w:ascii="Verdana" w:hAnsi="Verdana"/>
          <w:sz w:val="18"/>
          <w:szCs w:val="18"/>
        </w:rPr>
      </w:pPr>
    </w:p>
    <w:p w:rsidRPr="00A32873" w:rsidR="00E34A2D" w:rsidP="00E34A2D" w:rsidRDefault="00E34A2D">
      <w:pPr>
        <w:rPr>
          <w:rFonts w:ascii="Verdana" w:hAnsi="Verdana"/>
          <w:sz w:val="18"/>
          <w:szCs w:val="18"/>
        </w:rPr>
      </w:pPr>
      <w:r w:rsidRPr="00A32873">
        <w:rPr>
          <w:rFonts w:ascii="Verdana" w:hAnsi="Verdana"/>
          <w:sz w:val="18"/>
          <w:szCs w:val="18"/>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
    <w:p w:rsidRPr="00A32873" w:rsidR="00E34A2D" w:rsidP="00E34A2D" w:rsidRDefault="00E34A2D">
      <w:pPr>
        <w:rPr>
          <w:rFonts w:ascii="Verdana" w:hAnsi="Verdana"/>
          <w:sz w:val="18"/>
          <w:szCs w:val="18"/>
        </w:rPr>
      </w:pPr>
      <w:r w:rsidRPr="00A32873">
        <w:rPr>
          <w:rFonts w:ascii="Verdana" w:hAnsi="Verdana"/>
          <w:sz w:val="18"/>
          <w:szCs w:val="18"/>
        </w:rPr>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A32873" w:rsidR="00E34A2D" w:rsidP="00E34A2D" w:rsidRDefault="00E34A2D">
      <w:pPr>
        <w:pStyle w:val="Voetnoottekst"/>
        <w:rPr>
          <w:rFonts w:ascii="Verdana" w:hAnsi="Verdana"/>
          <w:sz w:val="18"/>
          <w:szCs w:val="18"/>
        </w:rPr>
      </w:pPr>
    </w:p>
    <w:tbl>
      <w:tblPr>
        <w:tblStyle w:val="Tabelraster"/>
        <w:tblW w:w="14142" w:type="dxa"/>
        <w:tblLayout w:type="fixed"/>
        <w:tblLook w:val="04A0" w:firstRow="1" w:lastRow="0" w:firstColumn="1" w:lastColumn="0" w:noHBand="0" w:noVBand="1"/>
      </w:tblPr>
      <w:tblGrid>
        <w:gridCol w:w="2093"/>
        <w:gridCol w:w="6946"/>
        <w:gridCol w:w="5103"/>
      </w:tblGrid>
      <w:tr w:rsidRPr="002F662A" w:rsidR="00E34A2D" w:rsidTr="0034235C">
        <w:tc>
          <w:tcPr>
            <w:tcW w:w="2093" w:type="dxa"/>
          </w:tcPr>
          <w:p w:rsidRPr="002F662A" w:rsidR="00E34A2D" w:rsidP="0034235C" w:rsidRDefault="00E34A2D">
            <w:pPr>
              <w:pStyle w:val="Voetnoottekst"/>
              <w:rPr>
                <w:rFonts w:ascii="Verdana" w:hAnsi="Verdana"/>
                <w:b/>
                <w:sz w:val="18"/>
                <w:szCs w:val="18"/>
              </w:rPr>
            </w:pPr>
            <w:r w:rsidRPr="002F662A">
              <w:rPr>
                <w:rFonts w:ascii="Verdana" w:hAnsi="Verdana"/>
                <w:b/>
                <w:sz w:val="18"/>
                <w:szCs w:val="18"/>
              </w:rPr>
              <w:t xml:space="preserve">Soort </w:t>
            </w:r>
            <w:r>
              <w:rPr>
                <w:rFonts w:ascii="Verdana" w:hAnsi="Verdana"/>
                <w:b/>
                <w:sz w:val="18"/>
                <w:szCs w:val="18"/>
              </w:rPr>
              <w:t>I</w:t>
            </w:r>
            <w:r w:rsidRPr="002F662A">
              <w:rPr>
                <w:rFonts w:ascii="Verdana" w:hAnsi="Verdana"/>
                <w:b/>
                <w:sz w:val="18"/>
                <w:szCs w:val="18"/>
              </w:rPr>
              <w:t>nstrument</w:t>
            </w:r>
          </w:p>
        </w:tc>
        <w:tc>
          <w:tcPr>
            <w:tcW w:w="6946" w:type="dxa"/>
          </w:tcPr>
          <w:p w:rsidRPr="002F662A" w:rsidR="00E34A2D" w:rsidP="0034235C" w:rsidRDefault="00E34A2D">
            <w:pPr>
              <w:pStyle w:val="Voetnoottekst"/>
              <w:rPr>
                <w:rFonts w:ascii="Verdana" w:hAnsi="Verdana"/>
                <w:b/>
                <w:sz w:val="18"/>
                <w:szCs w:val="18"/>
              </w:rPr>
            </w:pPr>
            <w:r w:rsidRPr="002F662A">
              <w:rPr>
                <w:rFonts w:ascii="Verdana" w:hAnsi="Verdana"/>
                <w:b/>
                <w:sz w:val="18"/>
                <w:szCs w:val="18"/>
              </w:rPr>
              <w:t>Toelichting</w:t>
            </w:r>
          </w:p>
        </w:tc>
        <w:tc>
          <w:tcPr>
            <w:tcW w:w="5103" w:type="dxa"/>
          </w:tcPr>
          <w:p w:rsidRPr="002F662A" w:rsidR="00E34A2D" w:rsidP="0034235C" w:rsidRDefault="00E34A2D">
            <w:pPr>
              <w:pStyle w:val="Voetnoottekst"/>
              <w:rPr>
                <w:rFonts w:ascii="Verdana" w:hAnsi="Verdana"/>
                <w:b/>
                <w:sz w:val="18"/>
                <w:szCs w:val="18"/>
              </w:rPr>
            </w:pPr>
            <w:r w:rsidRPr="002F662A">
              <w:rPr>
                <w:rFonts w:ascii="Verdana" w:hAnsi="Verdana"/>
                <w:b/>
                <w:sz w:val="18"/>
                <w:szCs w:val="18"/>
              </w:rPr>
              <w:t xml:space="preserve">Mogelijke beïnvloedingsmomenten </w:t>
            </w:r>
          </w:p>
        </w:tc>
      </w:tr>
      <w:tr w:rsidRPr="002F662A" w:rsidR="00E34A2D" w:rsidTr="0034235C">
        <w:tc>
          <w:tcPr>
            <w:tcW w:w="14142" w:type="dxa"/>
            <w:gridSpan w:val="3"/>
          </w:tcPr>
          <w:p w:rsidR="00E34A2D" w:rsidP="0034235C" w:rsidRDefault="00E34A2D">
            <w:pPr>
              <w:pStyle w:val="Voetnoottekst"/>
              <w:rPr>
                <w:rFonts w:ascii="Verdana" w:hAnsi="Verdana"/>
                <w:i/>
                <w:sz w:val="18"/>
                <w:szCs w:val="18"/>
              </w:rPr>
            </w:pPr>
          </w:p>
          <w:p w:rsidRPr="002F662A" w:rsidR="00E34A2D" w:rsidP="0034235C" w:rsidRDefault="00E34A2D">
            <w:pPr>
              <w:pStyle w:val="Voetnoottekst"/>
              <w:rPr>
                <w:rFonts w:ascii="Verdana" w:hAnsi="Verdana"/>
                <w:i/>
                <w:sz w:val="18"/>
                <w:szCs w:val="18"/>
              </w:rPr>
            </w:pPr>
            <w:r w:rsidRPr="002F662A">
              <w:rPr>
                <w:rFonts w:ascii="Verdana" w:hAnsi="Verdana"/>
                <w:i/>
                <w:sz w:val="18"/>
                <w:szCs w:val="18"/>
              </w:rPr>
              <w:t>Wetgevende, bindende rechtshandelingen</w:t>
            </w:r>
            <w:r>
              <w:rPr>
                <w:rStyle w:val="Voetnootmarkering"/>
                <w:rFonts w:ascii="Verdana" w:hAnsi="Verdana"/>
                <w:i/>
                <w:sz w:val="18"/>
                <w:szCs w:val="18"/>
              </w:rPr>
              <w:footnoteReference w:id="1"/>
            </w:r>
            <w:r>
              <w:rPr>
                <w:rFonts w:ascii="Verdana" w:hAnsi="Verdana"/>
                <w:i/>
                <w:sz w:val="18"/>
                <w:szCs w:val="18"/>
              </w:rPr>
              <w:t xml:space="preserve"> </w:t>
            </w:r>
          </w:p>
        </w:tc>
      </w:tr>
      <w:tr w:rsidRPr="00A32873" w:rsidR="00E34A2D" w:rsidTr="0034235C">
        <w:tc>
          <w:tcPr>
            <w:tcW w:w="2093"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Verordening</w:t>
            </w:r>
          </w:p>
        </w:tc>
        <w:tc>
          <w:tcPr>
            <w:tcW w:w="6946"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w:t>
            </w:r>
            <w:r>
              <w:rPr>
                <w:rFonts w:ascii="Verdana" w:hAnsi="Verdana"/>
                <w:sz w:val="18"/>
                <w:szCs w:val="18"/>
              </w:rPr>
              <w:t xml:space="preserve"> </w:t>
            </w:r>
            <w:r w:rsidRPr="00A32873">
              <w:rPr>
                <w:rFonts w:ascii="Verdana" w:hAnsi="Verdana"/>
                <w:sz w:val="18"/>
                <w:szCs w:val="18"/>
              </w:rPr>
              <w:t>aanvullende wetgeving nodig om de verordening volledig te operationaliseren</w:t>
            </w:r>
            <w:r>
              <w:rPr>
                <w:rFonts w:ascii="Verdana" w:hAnsi="Verdana"/>
                <w:sz w:val="18"/>
                <w:szCs w:val="18"/>
              </w:rPr>
              <w:t xml:space="preserve"> (bijvoorbeeld bij het aanwijzen van een nationale toezichthouder)</w:t>
            </w:r>
            <w:r w:rsidRPr="00A32873">
              <w:rPr>
                <w:rFonts w:ascii="Verdana" w:hAnsi="Verdana"/>
                <w:sz w:val="18"/>
                <w:szCs w:val="18"/>
              </w:rPr>
              <w:t xml:space="preserve">. Een door de EU wetgever (Raad en/of Europees Parlement) aangenomen verordening komt niet terug in de Kamer voor behandeling. </w:t>
            </w:r>
          </w:p>
        </w:tc>
        <w:tc>
          <w:tcPr>
            <w:tcW w:w="5103" w:type="dxa"/>
            <w:vMerge w:val="restart"/>
          </w:tcPr>
          <w:p w:rsidRPr="00A32873" w:rsidR="00E34A2D" w:rsidP="0034235C" w:rsidRDefault="00E34A2D">
            <w:pPr>
              <w:pStyle w:val="Voetnoottekst"/>
              <w:numPr>
                <w:ilvl w:val="0"/>
                <w:numId w:val="1"/>
              </w:numPr>
              <w:rPr>
                <w:rFonts w:ascii="Verdana" w:hAnsi="Verdana"/>
                <w:sz w:val="18"/>
                <w:szCs w:val="18"/>
              </w:rPr>
            </w:pPr>
            <w:r w:rsidRPr="00A32873">
              <w:rPr>
                <w:rFonts w:ascii="Verdana" w:hAnsi="Verdana"/>
                <w:sz w:val="18"/>
                <w:szCs w:val="18"/>
              </w:rPr>
              <w:t>ambtenaren of Commissaris</w:t>
            </w:r>
            <w:r>
              <w:rPr>
                <w:rFonts w:ascii="Verdana" w:hAnsi="Verdana"/>
                <w:sz w:val="18"/>
                <w:szCs w:val="18"/>
              </w:rPr>
              <w:t xml:space="preserve"> Europese Commissie</w:t>
            </w:r>
            <w:r w:rsidRPr="00A32873">
              <w:rPr>
                <w:rFonts w:ascii="Verdana" w:hAnsi="Verdana"/>
                <w:sz w:val="18"/>
                <w:szCs w:val="18"/>
              </w:rPr>
              <w:t xml:space="preserve"> (de ‘auteurs’) uitnodigen voor briefing/gesprek, evt. via videoconferentie</w:t>
            </w:r>
            <w:r>
              <w:rPr>
                <w:rFonts w:ascii="Verdana" w:hAnsi="Verdana"/>
                <w:sz w:val="18"/>
                <w:szCs w:val="18"/>
              </w:rPr>
              <w:t>.</w:t>
            </w:r>
          </w:p>
          <w:p w:rsidRPr="00A32873" w:rsidR="00E34A2D" w:rsidP="0034235C" w:rsidRDefault="00E34A2D">
            <w:pPr>
              <w:pStyle w:val="Voetnoottekst"/>
              <w:numPr>
                <w:ilvl w:val="0"/>
                <w:numId w:val="1"/>
              </w:numPr>
              <w:rPr>
                <w:rFonts w:ascii="Verdana" w:hAnsi="Verdana"/>
                <w:sz w:val="18"/>
                <w:szCs w:val="18"/>
              </w:rPr>
            </w:pPr>
            <w:r w:rsidRPr="00A32873">
              <w:rPr>
                <w:rFonts w:ascii="Verdana" w:hAnsi="Verdana"/>
                <w:sz w:val="18"/>
                <w:szCs w:val="18"/>
              </w:rPr>
              <w:t>subsidiariteitstoets overwegen: let op termijn (zie hieronder)</w:t>
            </w:r>
            <w:r>
              <w:rPr>
                <w:rFonts w:ascii="Verdana" w:hAnsi="Verdana"/>
                <w:sz w:val="18"/>
                <w:szCs w:val="18"/>
              </w:rPr>
              <w:t>.</w:t>
            </w:r>
          </w:p>
          <w:p w:rsidRPr="00A32873" w:rsidR="00E34A2D" w:rsidP="0034235C" w:rsidRDefault="00E34A2D">
            <w:pPr>
              <w:pStyle w:val="Voetnoottekst"/>
              <w:numPr>
                <w:ilvl w:val="0"/>
                <w:numId w:val="1"/>
              </w:numPr>
              <w:rPr>
                <w:rFonts w:ascii="Verdana" w:hAnsi="Verdana"/>
                <w:sz w:val="18"/>
                <w:szCs w:val="18"/>
              </w:rPr>
            </w:pPr>
            <w:r w:rsidRPr="00A32873">
              <w:rPr>
                <w:rFonts w:ascii="Verdana" w:hAnsi="Verdana"/>
                <w:sz w:val="18"/>
                <w:szCs w:val="18"/>
              </w:rPr>
              <w:t>behandelvoorbehoud overwegen: let op termijn (zie hieronder)</w:t>
            </w:r>
            <w:r>
              <w:rPr>
                <w:rFonts w:ascii="Verdana" w:hAnsi="Verdana"/>
                <w:sz w:val="18"/>
                <w:szCs w:val="18"/>
              </w:rPr>
              <w:t>.</w:t>
            </w:r>
          </w:p>
          <w:p w:rsidRPr="00A32873" w:rsidR="00E34A2D" w:rsidP="0034235C" w:rsidRDefault="00E34A2D">
            <w:pPr>
              <w:pStyle w:val="Voetnoottekst"/>
              <w:numPr>
                <w:ilvl w:val="0"/>
                <w:numId w:val="1"/>
              </w:numPr>
              <w:rPr>
                <w:rFonts w:ascii="Verdana" w:hAnsi="Verdana"/>
                <w:sz w:val="18"/>
                <w:szCs w:val="18"/>
              </w:rPr>
            </w:pPr>
            <w:r w:rsidRPr="00A32873">
              <w:rPr>
                <w:rFonts w:ascii="Verdana" w:hAnsi="Verdana"/>
                <w:sz w:val="18"/>
                <w:szCs w:val="18"/>
              </w:rPr>
              <w:t>ad-hoc rapporteur</w:t>
            </w:r>
            <w:r>
              <w:rPr>
                <w:rFonts w:ascii="Verdana" w:hAnsi="Verdana"/>
                <w:sz w:val="18"/>
                <w:szCs w:val="18"/>
              </w:rPr>
              <w:t>(s)</w:t>
            </w:r>
            <w:r w:rsidRPr="00A32873">
              <w:rPr>
                <w:rFonts w:ascii="Verdana" w:hAnsi="Verdana"/>
                <w:sz w:val="18"/>
                <w:szCs w:val="18"/>
              </w:rPr>
              <w:t xml:space="preserve"> binnen de commissie</w:t>
            </w:r>
            <w:r>
              <w:rPr>
                <w:rFonts w:ascii="Verdana" w:hAnsi="Verdana"/>
                <w:sz w:val="18"/>
                <w:szCs w:val="18"/>
              </w:rPr>
              <w:t>(s)</w:t>
            </w:r>
            <w:r w:rsidRPr="00A32873">
              <w:rPr>
                <w:rFonts w:ascii="Verdana" w:hAnsi="Verdana"/>
                <w:sz w:val="18"/>
                <w:szCs w:val="18"/>
              </w:rPr>
              <w:t xml:space="preserve"> benoemen</w:t>
            </w:r>
            <w:r>
              <w:rPr>
                <w:rFonts w:ascii="Verdana" w:hAnsi="Verdana"/>
                <w:sz w:val="18"/>
                <w:szCs w:val="18"/>
              </w:rPr>
              <w:t>.</w:t>
            </w:r>
          </w:p>
          <w:p w:rsidRPr="00A32873" w:rsidR="00E34A2D" w:rsidP="0034235C" w:rsidRDefault="00E34A2D">
            <w:pPr>
              <w:pStyle w:val="Voetnoottekst"/>
              <w:numPr>
                <w:ilvl w:val="0"/>
                <w:numId w:val="1"/>
              </w:numPr>
              <w:rPr>
                <w:rFonts w:ascii="Verdana" w:hAnsi="Verdana"/>
                <w:sz w:val="18"/>
                <w:szCs w:val="18"/>
              </w:rPr>
            </w:pPr>
            <w:r w:rsidRPr="00A32873">
              <w:rPr>
                <w:rFonts w:ascii="Verdana" w:hAnsi="Verdana"/>
                <w:sz w:val="18"/>
                <w:szCs w:val="18"/>
              </w:rPr>
              <w:t xml:space="preserve">tijdens overleg met </w:t>
            </w:r>
            <w:r>
              <w:rPr>
                <w:rFonts w:ascii="Verdana" w:hAnsi="Verdana"/>
                <w:sz w:val="18"/>
                <w:szCs w:val="18"/>
              </w:rPr>
              <w:t>kabinet</w:t>
            </w:r>
            <w:r w:rsidRPr="00A32873">
              <w:rPr>
                <w:rFonts w:ascii="Verdana" w:hAnsi="Verdana"/>
                <w:sz w:val="18"/>
                <w:szCs w:val="18"/>
              </w:rPr>
              <w:t xml:space="preserve"> NL onderhandelingsinzet aan de orde stellen, evt. aan de hand van het “BNC-fiche”.</w:t>
            </w:r>
            <w:r w:rsidRPr="00A32873">
              <w:rPr>
                <w:rStyle w:val="Voetnootmarkering"/>
                <w:rFonts w:ascii="Verdana" w:hAnsi="Verdana"/>
                <w:sz w:val="18"/>
                <w:szCs w:val="18"/>
              </w:rPr>
              <w:footnoteReference w:id="2"/>
            </w:r>
            <w:r w:rsidRPr="00A32873">
              <w:rPr>
                <w:rFonts w:ascii="Verdana" w:hAnsi="Verdana"/>
                <w:sz w:val="18"/>
                <w:szCs w:val="18"/>
              </w:rPr>
              <w:t xml:space="preserve"> </w:t>
            </w:r>
          </w:p>
          <w:p w:rsidRPr="00A32873" w:rsidR="00E34A2D" w:rsidP="0034235C" w:rsidRDefault="00E34A2D">
            <w:pPr>
              <w:pStyle w:val="Voetnoottekst"/>
              <w:numPr>
                <w:ilvl w:val="0"/>
                <w:numId w:val="1"/>
              </w:numPr>
              <w:rPr>
                <w:rFonts w:ascii="Verdana" w:hAnsi="Verdana"/>
                <w:sz w:val="18"/>
                <w:szCs w:val="18"/>
              </w:rPr>
            </w:pPr>
            <w:r w:rsidRPr="00A32873">
              <w:rPr>
                <w:rFonts w:ascii="Verdana" w:hAnsi="Verdana"/>
                <w:sz w:val="18"/>
                <w:szCs w:val="18"/>
              </w:rPr>
              <w:t>EP-rapporteur uitnodigen, evt. via videoconferentie</w:t>
            </w:r>
            <w:r>
              <w:rPr>
                <w:rFonts w:ascii="Verdana" w:hAnsi="Verdana"/>
                <w:sz w:val="18"/>
                <w:szCs w:val="18"/>
              </w:rPr>
              <w:t>.</w:t>
            </w:r>
            <w:r w:rsidRPr="00A32873">
              <w:rPr>
                <w:rFonts w:ascii="Verdana" w:hAnsi="Verdana"/>
                <w:sz w:val="18"/>
                <w:szCs w:val="18"/>
              </w:rPr>
              <w:br/>
            </w:r>
            <w:r w:rsidRPr="00A32873">
              <w:rPr>
                <w:rFonts w:ascii="Verdana" w:hAnsi="Verdana"/>
                <w:sz w:val="18"/>
                <w:szCs w:val="18"/>
              </w:rPr>
              <w:br/>
            </w:r>
          </w:p>
          <w:p w:rsidRPr="00A32873" w:rsidR="00E34A2D" w:rsidP="0034235C" w:rsidRDefault="00E34A2D">
            <w:pPr>
              <w:pStyle w:val="Voetnoottekst"/>
              <w:numPr>
                <w:ilvl w:val="0"/>
                <w:numId w:val="1"/>
              </w:numPr>
              <w:rPr>
                <w:rFonts w:ascii="Verdana" w:hAnsi="Verdana"/>
                <w:sz w:val="18"/>
                <w:szCs w:val="18"/>
              </w:rPr>
            </w:pPr>
            <w:r w:rsidRPr="00A32873">
              <w:rPr>
                <w:rFonts w:ascii="Verdana" w:hAnsi="Verdana"/>
                <w:sz w:val="18"/>
                <w:szCs w:val="18"/>
              </w:rPr>
              <w:t>NB</w:t>
            </w:r>
            <w:r>
              <w:rPr>
                <w:rFonts w:ascii="Verdana" w:hAnsi="Verdana"/>
                <w:sz w:val="18"/>
                <w:szCs w:val="18"/>
              </w:rPr>
              <w:t>:</w:t>
            </w:r>
            <w:r w:rsidRPr="00A32873">
              <w:rPr>
                <w:rFonts w:ascii="Verdana" w:hAnsi="Verdana"/>
                <w:sz w:val="18"/>
                <w:szCs w:val="18"/>
              </w:rPr>
              <w:t xml:space="preserve"> Pas na afronding van het onderhandelingstraject: nationale wetgevingstraject monitoren (i</w:t>
            </w:r>
            <w:r>
              <w:rPr>
                <w:rFonts w:ascii="Verdana" w:hAnsi="Verdana"/>
                <w:sz w:val="18"/>
                <w:szCs w:val="18"/>
              </w:rPr>
              <w:t>.</w:t>
            </w:r>
            <w:r w:rsidRPr="00A32873">
              <w:rPr>
                <w:rFonts w:ascii="Verdana" w:hAnsi="Verdana"/>
                <w:sz w:val="18"/>
                <w:szCs w:val="18"/>
              </w:rPr>
              <w:t>h</w:t>
            </w:r>
            <w:r>
              <w:rPr>
                <w:rFonts w:ascii="Verdana" w:hAnsi="Verdana"/>
                <w:sz w:val="18"/>
                <w:szCs w:val="18"/>
              </w:rPr>
              <w:t>.</w:t>
            </w:r>
            <w:r w:rsidRPr="00A32873">
              <w:rPr>
                <w:rFonts w:ascii="Verdana" w:hAnsi="Verdana"/>
                <w:sz w:val="18"/>
                <w:szCs w:val="18"/>
              </w:rPr>
              <w:t>k</w:t>
            </w:r>
            <w:r>
              <w:rPr>
                <w:rFonts w:ascii="Verdana" w:hAnsi="Verdana"/>
                <w:sz w:val="18"/>
                <w:szCs w:val="18"/>
              </w:rPr>
              <w:t>.</w:t>
            </w:r>
            <w:r w:rsidRPr="00A32873">
              <w:rPr>
                <w:rFonts w:ascii="Verdana" w:hAnsi="Verdana"/>
                <w:sz w:val="18"/>
                <w:szCs w:val="18"/>
              </w:rPr>
              <w:t>v</w:t>
            </w:r>
            <w:r>
              <w:rPr>
                <w:rFonts w:ascii="Verdana" w:hAnsi="Verdana"/>
                <w:sz w:val="18"/>
                <w:szCs w:val="18"/>
              </w:rPr>
              <w:t>.</w:t>
            </w:r>
            <w:r w:rsidRPr="00A32873">
              <w:rPr>
                <w:rFonts w:ascii="Verdana" w:hAnsi="Verdana"/>
                <w:sz w:val="18"/>
                <w:szCs w:val="18"/>
              </w:rPr>
              <w:t xml:space="preserve"> omzetting naar nationale wetgeving)</w:t>
            </w:r>
            <w:r>
              <w:rPr>
                <w:rFonts w:ascii="Verdana" w:hAnsi="Verdana"/>
                <w:sz w:val="18"/>
                <w:szCs w:val="18"/>
              </w:rPr>
              <w:t>.</w:t>
            </w:r>
          </w:p>
        </w:tc>
      </w:tr>
      <w:tr w:rsidRPr="00A32873" w:rsidR="00E34A2D" w:rsidTr="0034235C">
        <w:tc>
          <w:tcPr>
            <w:tcW w:w="2093"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 xml:space="preserve">Richtlijn </w:t>
            </w:r>
          </w:p>
        </w:tc>
        <w:tc>
          <w:tcPr>
            <w:tcW w:w="6946"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A32873" w:rsidR="00E34A2D" w:rsidP="0034235C" w:rsidRDefault="00E34A2D">
            <w:pPr>
              <w:pStyle w:val="Voetnoottekst"/>
              <w:numPr>
                <w:ilvl w:val="0"/>
                <w:numId w:val="2"/>
              </w:numPr>
              <w:ind w:left="317" w:hanging="283"/>
              <w:rPr>
                <w:rFonts w:ascii="Verdana" w:hAnsi="Verdana"/>
                <w:sz w:val="18"/>
                <w:szCs w:val="18"/>
              </w:rPr>
            </w:pPr>
          </w:p>
        </w:tc>
      </w:tr>
      <w:tr w:rsidRPr="00A32873" w:rsidR="00E34A2D" w:rsidTr="0034235C">
        <w:tc>
          <w:tcPr>
            <w:tcW w:w="2093"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(Besluit)</w:t>
            </w:r>
          </w:p>
        </w:tc>
        <w:tc>
          <w:tcPr>
            <w:tcW w:w="6946"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 xml:space="preserve">Een besluit is verbindend in al </w:t>
            </w:r>
            <w:r>
              <w:rPr>
                <w:rFonts w:ascii="Verdana" w:hAnsi="Verdana"/>
                <w:sz w:val="18"/>
                <w:szCs w:val="18"/>
              </w:rPr>
              <w:t>zijn</w:t>
            </w:r>
            <w:r w:rsidRPr="00A32873">
              <w:rPr>
                <w:rFonts w:ascii="Verdana" w:hAnsi="Verdana"/>
                <w:sz w:val="18"/>
                <w:szCs w:val="18"/>
              </w:rPr>
              <w:t xml:space="preserve"> onderdelen. Indien de adressanten worden vermeld, is zij alleen voor hen verbindend. Met besluiten kunnen algemeen verbindende voorschriften worden toegepast op een concreet </w:t>
            </w:r>
            <w:r w:rsidRPr="00A32873">
              <w:rPr>
                <w:rFonts w:ascii="Verdana" w:hAnsi="Verdana"/>
                <w:sz w:val="18"/>
                <w:szCs w:val="18"/>
              </w:rPr>
              <w:lastRenderedPageBreak/>
              <w:t>geval. Daarnaast kunnen besluiten</w:t>
            </w:r>
            <w:r>
              <w:rPr>
                <w:rFonts w:ascii="Verdana" w:hAnsi="Verdana"/>
                <w:sz w:val="18"/>
                <w:szCs w:val="18"/>
              </w:rPr>
              <w:t xml:space="preserve"> </w:t>
            </w:r>
            <w:r w:rsidRPr="00A32873">
              <w:rPr>
                <w:rFonts w:ascii="Verdana" w:hAnsi="Verdana"/>
                <w:sz w:val="18"/>
                <w:szCs w:val="18"/>
              </w:rPr>
              <w:t xml:space="preserve">ook algemeen verbindende voorschriften bevatten. In dat laatste geval is sprake van een wetgevende handeling, in dat eerste geval niet. </w:t>
            </w:r>
            <w:r w:rsidRPr="00A32873">
              <w:rPr>
                <w:rFonts w:ascii="Verdana" w:hAnsi="Verdana"/>
                <w:sz w:val="18"/>
                <w:szCs w:val="18"/>
              </w:rPr>
              <w:br/>
              <w:t>Voor wetgevende besluiten kan gekozen worden als richtlijnen en verordeningen niet geschikt zijn als instrument. Niet-wetgevende besluiten kunnen gericht zijn tot individuele of alle lidstaten (bv</w:t>
            </w:r>
            <w:r>
              <w:rPr>
                <w:rFonts w:ascii="Verdana" w:hAnsi="Verdana"/>
                <w:sz w:val="18"/>
                <w:szCs w:val="18"/>
              </w:rPr>
              <w:t>.</w:t>
            </w:r>
            <w:r w:rsidRPr="00A32873">
              <w:rPr>
                <w:rFonts w:ascii="Verdana" w:hAnsi="Verdana"/>
                <w:sz w:val="18"/>
                <w:szCs w:val="18"/>
              </w:rPr>
              <w:t xml:space="preserve"> maatregelen tegen onrechtmatige staatssteun) of individuen (natuurlijke personen en rechtspersonen) (bv in mededingingszaken). Verder is</w:t>
            </w:r>
            <w:r>
              <w:rPr>
                <w:rFonts w:ascii="Verdana" w:hAnsi="Verdana"/>
                <w:sz w:val="18"/>
                <w:szCs w:val="18"/>
              </w:rPr>
              <w:t xml:space="preserve"> </w:t>
            </w:r>
            <w:r w:rsidRPr="00A32873">
              <w:rPr>
                <w:rFonts w:ascii="Verdana" w:hAnsi="Verdana"/>
                <w:sz w:val="18"/>
                <w:szCs w:val="18"/>
              </w:rPr>
              <w:t xml:space="preserve">er nog een aantal bijzondere besluiten, zoals direct op de Verdragen gebaseerde uitvoeringsbepalingen; besluiten van de Europese Raad (bv het meerjarenplan op JBZ-gebied); en besluiten op het terrein van het Gemeenschappelijk Buitenlands- en Veiligheidsbeleid </w:t>
            </w:r>
            <w:r>
              <w:rPr>
                <w:rFonts w:ascii="Verdana" w:hAnsi="Verdana"/>
                <w:sz w:val="18"/>
                <w:szCs w:val="18"/>
              </w:rPr>
              <w:t xml:space="preserve"> en</w:t>
            </w:r>
            <w:r w:rsidRPr="00A32873">
              <w:rPr>
                <w:rFonts w:ascii="Verdana" w:hAnsi="Verdana"/>
                <w:sz w:val="18"/>
                <w:szCs w:val="18"/>
              </w:rPr>
              <w:t xml:space="preserve"> besluiten tot het sluiten van internationale verdragen. Deze zijn in de regel niet wetgevend. Indien een besluit alleen door de Commissie wordt genomen,</w:t>
            </w:r>
            <w:r>
              <w:rPr>
                <w:rFonts w:ascii="Verdana" w:hAnsi="Verdana"/>
                <w:sz w:val="18"/>
                <w:szCs w:val="18"/>
              </w:rPr>
              <w:t xml:space="preserve"> </w:t>
            </w:r>
            <w:r w:rsidRPr="00A32873">
              <w:rPr>
                <w:rFonts w:ascii="Verdana" w:hAnsi="Verdana"/>
                <w:sz w:val="18"/>
                <w:szCs w:val="18"/>
              </w:rPr>
              <w:t xml:space="preserve">is het een niet-wetgevend besluit. Besluiten op voorstel van de </w:t>
            </w:r>
            <w:r>
              <w:rPr>
                <w:rFonts w:ascii="Verdana" w:hAnsi="Verdana"/>
                <w:sz w:val="18"/>
                <w:szCs w:val="18"/>
              </w:rPr>
              <w:t xml:space="preserve">Europese </w:t>
            </w:r>
            <w:r w:rsidRPr="00A32873">
              <w:rPr>
                <w:rFonts w:ascii="Verdana" w:hAnsi="Verdana"/>
                <w:sz w:val="18"/>
                <w:szCs w:val="18"/>
              </w:rPr>
              <w:t>Commissie, genomen door de Raad en het Parlement zullen in de regel wetgevend zijn. Dit zal van geval tot geval moeten worden beoordeeld.</w:t>
            </w:r>
            <w:r>
              <w:rPr>
                <w:rFonts w:ascii="Verdana" w:hAnsi="Verdana"/>
                <w:sz w:val="18"/>
                <w:szCs w:val="18"/>
              </w:rPr>
              <w:t xml:space="preserve"> </w:t>
            </w:r>
          </w:p>
        </w:tc>
        <w:tc>
          <w:tcPr>
            <w:tcW w:w="5103" w:type="dxa"/>
            <w:vMerge/>
          </w:tcPr>
          <w:p w:rsidRPr="00A32873" w:rsidR="00E34A2D" w:rsidP="0034235C" w:rsidRDefault="00E34A2D">
            <w:pPr>
              <w:pStyle w:val="Voetnoottekst"/>
              <w:numPr>
                <w:ilvl w:val="0"/>
                <w:numId w:val="2"/>
              </w:numPr>
              <w:ind w:left="317" w:hanging="283"/>
              <w:rPr>
                <w:rFonts w:ascii="Verdana" w:hAnsi="Verdana"/>
                <w:sz w:val="18"/>
                <w:szCs w:val="18"/>
              </w:rPr>
            </w:pPr>
          </w:p>
        </w:tc>
      </w:tr>
      <w:tr w:rsidRPr="00A32873" w:rsidR="00E34A2D" w:rsidTr="0034235C">
        <w:tc>
          <w:tcPr>
            <w:tcW w:w="14142" w:type="dxa"/>
            <w:gridSpan w:val="3"/>
          </w:tcPr>
          <w:p w:rsidRPr="002F662A" w:rsidR="00E34A2D" w:rsidP="0034235C" w:rsidRDefault="00E34A2D">
            <w:pPr>
              <w:pStyle w:val="Voetnoottekst"/>
              <w:rPr>
                <w:rFonts w:ascii="Verdana" w:hAnsi="Verdana"/>
                <w:i/>
                <w:sz w:val="18"/>
                <w:szCs w:val="18"/>
              </w:rPr>
            </w:pPr>
            <w:r w:rsidRPr="002F662A">
              <w:rPr>
                <w:rFonts w:ascii="Verdana" w:hAnsi="Verdana"/>
                <w:i/>
                <w:sz w:val="18"/>
                <w:szCs w:val="18"/>
              </w:rPr>
              <w:lastRenderedPageBreak/>
              <w:t>Niet-wetgevende bindende rechtshandelingen</w:t>
            </w:r>
          </w:p>
        </w:tc>
      </w:tr>
      <w:tr w:rsidRPr="00A32873" w:rsidR="00E34A2D" w:rsidTr="0034235C">
        <w:tc>
          <w:tcPr>
            <w:tcW w:w="2093"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Gedelegeerde handeling</w:t>
            </w:r>
          </w:p>
        </w:tc>
        <w:tc>
          <w:tcPr>
            <w:tcW w:w="6946"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derhalve niet het voorwerp zijn van bevoegdheidsdelegatie. </w:t>
            </w:r>
            <w:r>
              <w:rPr>
                <w:rFonts w:ascii="Verdana" w:hAnsi="Verdana"/>
                <w:sz w:val="18"/>
                <w:szCs w:val="18"/>
              </w:rPr>
              <w:t xml:space="preserve">Experts, o.a. uit nationale lidstaten geven in een expertgroep advies over een voorstel tot gedelegeerde handeling. De Commissie stelt de handeling vast. Raad en Europees Parlement kunnen bezwaar maken of de bevoegdheid van de Commissie om de gedelegeerde handeling vast te stellen intrekken. </w:t>
            </w:r>
          </w:p>
        </w:tc>
        <w:tc>
          <w:tcPr>
            <w:tcW w:w="5103" w:type="dxa"/>
          </w:tcPr>
          <w:p w:rsidRPr="00A32873" w:rsidR="00E34A2D" w:rsidP="0034235C" w:rsidRDefault="00E34A2D">
            <w:pPr>
              <w:pStyle w:val="Voetnoottekst"/>
              <w:numPr>
                <w:ilvl w:val="0"/>
                <w:numId w:val="1"/>
              </w:numPr>
              <w:rPr>
                <w:rFonts w:ascii="Verdana" w:hAnsi="Verdana"/>
                <w:sz w:val="18"/>
                <w:szCs w:val="18"/>
              </w:rPr>
            </w:pPr>
            <w:r>
              <w:rPr>
                <w:rFonts w:ascii="Verdana" w:hAnsi="Verdana"/>
                <w:sz w:val="18"/>
                <w:szCs w:val="18"/>
              </w:rPr>
              <w:t>kabinet</w:t>
            </w:r>
            <w:r w:rsidRPr="00A32873">
              <w:rPr>
                <w:rFonts w:ascii="Verdana" w:hAnsi="Verdana"/>
                <w:sz w:val="18"/>
                <w:szCs w:val="18"/>
              </w:rPr>
              <w:t xml:space="preserve"> per brief of tijdens overleg bevragen over stand van zaken en appreciatie EU onderhandelingen en NL inzet</w:t>
            </w:r>
            <w:r>
              <w:rPr>
                <w:rFonts w:ascii="Verdana" w:hAnsi="Verdana"/>
                <w:sz w:val="18"/>
                <w:szCs w:val="18"/>
              </w:rPr>
              <w:t>, inclusief het voornemen van NL of andere lidstaten om binnen de Raad een bezwaarprocedure te initiëren of een procedure tot intrekking van de delegatie.</w:t>
            </w:r>
          </w:p>
          <w:p w:rsidRPr="00A32873" w:rsidR="00E34A2D" w:rsidP="0034235C" w:rsidRDefault="00E34A2D">
            <w:pPr>
              <w:pStyle w:val="Voetnoottekst"/>
              <w:ind w:left="360"/>
              <w:rPr>
                <w:rFonts w:ascii="Verdana" w:hAnsi="Verdana"/>
                <w:sz w:val="18"/>
                <w:szCs w:val="18"/>
              </w:rPr>
            </w:pPr>
          </w:p>
        </w:tc>
      </w:tr>
      <w:tr w:rsidRPr="00A32873" w:rsidR="00E34A2D" w:rsidTr="0034235C">
        <w:tc>
          <w:tcPr>
            <w:tcW w:w="2093"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Uitvoerings</w:t>
            </w:r>
            <w:r>
              <w:rPr>
                <w:rFonts w:ascii="Verdana" w:hAnsi="Verdana"/>
                <w:sz w:val="18"/>
                <w:szCs w:val="18"/>
              </w:rPr>
              <w:t>-</w:t>
            </w:r>
            <w:r w:rsidRPr="00A32873">
              <w:rPr>
                <w:rFonts w:ascii="Verdana" w:hAnsi="Verdana"/>
                <w:sz w:val="18"/>
                <w:szCs w:val="18"/>
              </w:rPr>
              <w:t>handeling</w:t>
            </w:r>
          </w:p>
        </w:tc>
        <w:tc>
          <w:tcPr>
            <w:tcW w:w="6946"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 xml:space="preserve">Indien de implementatie van Unierecht volgens uniforme standaarden van procedurele aard moeten plaatsvinden, kan de </w:t>
            </w:r>
            <w:r>
              <w:rPr>
                <w:rFonts w:ascii="Verdana" w:hAnsi="Verdana"/>
                <w:sz w:val="18"/>
                <w:szCs w:val="18"/>
              </w:rPr>
              <w:t xml:space="preserve">Europese </w:t>
            </w:r>
            <w:r w:rsidRPr="00A32873">
              <w:rPr>
                <w:rFonts w:ascii="Verdana" w:hAnsi="Verdana"/>
                <w:sz w:val="18"/>
                <w:szCs w:val="18"/>
              </w:rPr>
              <w:t>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w:t>
            </w:r>
            <w:r>
              <w:rPr>
                <w:rFonts w:ascii="Verdana" w:hAnsi="Verdana"/>
                <w:sz w:val="18"/>
                <w:szCs w:val="18"/>
              </w:rPr>
              <w:t>, voorgezeten door</w:t>
            </w:r>
            <w:r w:rsidRPr="00A32873">
              <w:rPr>
                <w:rFonts w:ascii="Verdana" w:hAnsi="Verdana"/>
                <w:sz w:val="18"/>
                <w:szCs w:val="18"/>
              </w:rPr>
              <w:t xml:space="preserve"> de Europese Commissie.</w:t>
            </w:r>
            <w:r>
              <w:rPr>
                <w:rFonts w:ascii="Verdana" w:hAnsi="Verdana"/>
                <w:sz w:val="18"/>
                <w:szCs w:val="18"/>
              </w:rPr>
              <w:t xml:space="preserve"> De Commissie stelt de uitvoeringshandeling vast.</w:t>
            </w:r>
          </w:p>
        </w:tc>
        <w:tc>
          <w:tcPr>
            <w:tcW w:w="5103" w:type="dxa"/>
          </w:tcPr>
          <w:p w:rsidRPr="00A32873" w:rsidR="00E34A2D" w:rsidP="0034235C" w:rsidRDefault="00E34A2D">
            <w:pPr>
              <w:pStyle w:val="Voetnoottekst"/>
              <w:numPr>
                <w:ilvl w:val="0"/>
                <w:numId w:val="1"/>
              </w:numPr>
              <w:rPr>
                <w:rFonts w:ascii="Verdana" w:hAnsi="Verdana"/>
                <w:sz w:val="18"/>
                <w:szCs w:val="18"/>
              </w:rPr>
            </w:pPr>
            <w:r>
              <w:rPr>
                <w:rFonts w:ascii="Verdana" w:hAnsi="Verdana"/>
                <w:sz w:val="18"/>
                <w:szCs w:val="18"/>
              </w:rPr>
              <w:t>kabinet</w:t>
            </w:r>
            <w:r w:rsidRPr="00A32873">
              <w:rPr>
                <w:rFonts w:ascii="Verdana" w:hAnsi="Verdana"/>
                <w:sz w:val="18"/>
                <w:szCs w:val="18"/>
              </w:rPr>
              <w:t xml:space="preserve"> per brief of tijdens </w:t>
            </w:r>
            <w:r>
              <w:rPr>
                <w:rFonts w:ascii="Verdana" w:hAnsi="Verdana"/>
                <w:sz w:val="18"/>
                <w:szCs w:val="18"/>
              </w:rPr>
              <w:t xml:space="preserve">algemeen </w:t>
            </w:r>
            <w:r w:rsidRPr="00A32873">
              <w:rPr>
                <w:rFonts w:ascii="Verdana" w:hAnsi="Verdana"/>
                <w:sz w:val="18"/>
                <w:szCs w:val="18"/>
              </w:rPr>
              <w:t>overleg</w:t>
            </w:r>
            <w:r>
              <w:rPr>
                <w:rFonts w:ascii="Verdana" w:hAnsi="Verdana"/>
                <w:sz w:val="18"/>
                <w:szCs w:val="18"/>
              </w:rPr>
              <w:t>/debat</w:t>
            </w:r>
            <w:r w:rsidRPr="00A32873">
              <w:rPr>
                <w:rFonts w:ascii="Verdana" w:hAnsi="Verdana"/>
                <w:sz w:val="18"/>
                <w:szCs w:val="18"/>
              </w:rPr>
              <w:t xml:space="preserve"> bevragen over stand van zaken en appreciatie EU onderhandelingen en NL inzet.</w:t>
            </w:r>
          </w:p>
          <w:p w:rsidRPr="00A32873" w:rsidR="00E34A2D" w:rsidP="0034235C" w:rsidRDefault="00E34A2D">
            <w:pPr>
              <w:numPr>
                <w:ilvl w:val="0"/>
                <w:numId w:val="1"/>
              </w:numPr>
              <w:rPr>
                <w:rFonts w:ascii="Verdana" w:hAnsi="Verdana"/>
                <w:sz w:val="18"/>
                <w:szCs w:val="18"/>
              </w:rPr>
            </w:pPr>
            <w:r>
              <w:rPr>
                <w:rFonts w:ascii="Verdana" w:hAnsi="Verdana"/>
                <w:color w:val="000000"/>
                <w:sz w:val="18"/>
                <w:szCs w:val="18"/>
              </w:rPr>
              <w:t>o</w:t>
            </w:r>
            <w:r w:rsidRPr="00A32873">
              <w:rPr>
                <w:rFonts w:ascii="Verdana" w:hAnsi="Verdana"/>
                <w:color w:val="000000"/>
                <w:sz w:val="18"/>
                <w:szCs w:val="18"/>
              </w:rPr>
              <w:t xml:space="preserve">p basis van </w:t>
            </w:r>
            <w:r w:rsidRPr="00614461">
              <w:rPr>
                <w:rFonts w:ascii="Verdana" w:hAnsi="Verdana"/>
                <w:sz w:val="18"/>
                <w:szCs w:val="18"/>
              </w:rPr>
              <w:t xml:space="preserve">de </w:t>
            </w:r>
            <w:hyperlink w:history="1" r:id="rId16">
              <w:r w:rsidRPr="00614461">
                <w:rPr>
                  <w:rFonts w:ascii="Verdana" w:hAnsi="Verdana"/>
                  <w:sz w:val="18"/>
                  <w:szCs w:val="18"/>
                  <w:u w:val="single"/>
                </w:rPr>
                <w:t>(gewijzigde) motie Van Gent</w:t>
              </w:r>
            </w:hyperlink>
            <w:r w:rsidRPr="00A32873">
              <w:rPr>
                <w:rFonts w:ascii="Verdana" w:hAnsi="Verdana"/>
                <w:color w:val="000000"/>
                <w:sz w:val="18"/>
                <w:szCs w:val="18"/>
              </w:rPr>
              <w:t xml:space="preserve"> dient het kabinet de Kamer afschriften te sturen van </w:t>
            </w:r>
            <w:r>
              <w:rPr>
                <w:rFonts w:ascii="Verdana" w:hAnsi="Verdana"/>
                <w:color w:val="000000"/>
                <w:sz w:val="18"/>
                <w:szCs w:val="18"/>
              </w:rPr>
              <w:t>zijn</w:t>
            </w:r>
            <w:r w:rsidRPr="00A32873">
              <w:rPr>
                <w:rFonts w:ascii="Verdana" w:hAnsi="Verdana"/>
                <w:color w:val="000000"/>
                <w:sz w:val="18"/>
                <w:szCs w:val="18"/>
              </w:rPr>
              <w:t xml:space="preserve"> correspondentie met de Europese Commissie over de uitvoering van Europese regelgeving</w:t>
            </w:r>
            <w:r>
              <w:rPr>
                <w:rFonts w:ascii="Verdana" w:hAnsi="Verdana"/>
                <w:color w:val="000000"/>
                <w:sz w:val="18"/>
                <w:szCs w:val="18"/>
              </w:rPr>
              <w:t>.</w:t>
            </w:r>
          </w:p>
        </w:tc>
      </w:tr>
      <w:tr w:rsidRPr="00A32873" w:rsidR="00E34A2D" w:rsidTr="0034235C">
        <w:tc>
          <w:tcPr>
            <w:tcW w:w="2093" w:type="dxa"/>
          </w:tcPr>
          <w:p w:rsidRPr="00EF0FC5" w:rsidR="00E34A2D" w:rsidP="0034235C" w:rsidRDefault="00E34A2D">
            <w:pPr>
              <w:pStyle w:val="Voetnoottekst"/>
              <w:rPr>
                <w:rFonts w:ascii="Verdana" w:hAnsi="Verdana"/>
                <w:sz w:val="18"/>
                <w:szCs w:val="18"/>
              </w:rPr>
            </w:pPr>
            <w:r w:rsidRPr="00EF0FC5">
              <w:rPr>
                <w:rFonts w:ascii="Verdana" w:hAnsi="Verdana"/>
                <w:sz w:val="18"/>
                <w:szCs w:val="18"/>
              </w:rPr>
              <w:t>Handelingen vastgesteld volgens de regelgevingsprocedu</w:t>
            </w:r>
            <w:r w:rsidRPr="00EF0FC5">
              <w:rPr>
                <w:rFonts w:ascii="Verdana" w:hAnsi="Verdana"/>
                <w:sz w:val="18"/>
                <w:szCs w:val="18"/>
              </w:rPr>
              <w:lastRenderedPageBreak/>
              <w:t>re met toetsing</w:t>
            </w:r>
          </w:p>
        </w:tc>
        <w:tc>
          <w:tcPr>
            <w:tcW w:w="6946" w:type="dxa"/>
          </w:tcPr>
          <w:p w:rsidRPr="00EF0FC5" w:rsidR="00E34A2D" w:rsidP="0034235C" w:rsidRDefault="00E34A2D">
            <w:pPr>
              <w:rPr>
                <w:rFonts w:ascii="Verdana" w:hAnsi="Verdana"/>
                <w:sz w:val="18"/>
                <w:szCs w:val="18"/>
              </w:rPr>
            </w:pPr>
            <w:r w:rsidRPr="0015137B">
              <w:rPr>
                <w:rFonts w:ascii="Verdana" w:hAnsi="Verdana"/>
                <w:sz w:val="18"/>
                <w:szCs w:val="18"/>
              </w:rPr>
              <w:lastRenderedPageBreak/>
              <w:t xml:space="preserve">Deze procedure komt nog voor in Europese wetgeving van voor 2009. Bij deze procedure wordt de Europese Commissie geadviseerd  door een zogeheten regelgevend comité met toetsing met  vertegenwoordigers van lidstaten. Dit comité spreekt zich met gekwalificeerde meerderheid van </w:t>
            </w:r>
            <w:r w:rsidRPr="0015137B">
              <w:rPr>
                <w:rFonts w:ascii="Verdana" w:hAnsi="Verdana"/>
                <w:sz w:val="18"/>
                <w:szCs w:val="18"/>
              </w:rPr>
              <w:lastRenderedPageBreak/>
              <w:t>stemmen uit over het voorstel. EP en Raad kunnen bezwaar maken.</w:t>
            </w:r>
          </w:p>
        </w:tc>
        <w:tc>
          <w:tcPr>
            <w:tcW w:w="5103" w:type="dxa"/>
          </w:tcPr>
          <w:p w:rsidRPr="00EF0FC5" w:rsidR="00E34A2D" w:rsidP="0034235C" w:rsidRDefault="00E34A2D">
            <w:pPr>
              <w:pStyle w:val="Voetnoottekst"/>
              <w:numPr>
                <w:ilvl w:val="0"/>
                <w:numId w:val="1"/>
              </w:numPr>
              <w:rPr>
                <w:rFonts w:ascii="Verdana" w:hAnsi="Verdana"/>
                <w:sz w:val="18"/>
                <w:szCs w:val="18"/>
              </w:rPr>
            </w:pPr>
            <w:r w:rsidRPr="00EF0FC5">
              <w:rPr>
                <w:rFonts w:ascii="Verdana" w:hAnsi="Verdana"/>
                <w:sz w:val="18"/>
                <w:szCs w:val="18"/>
              </w:rPr>
              <w:lastRenderedPageBreak/>
              <w:t xml:space="preserve">kabinet per brief of tijdens overleg bevragen over stand van zaken en appreciatie EU onderhandelingen en NL inzet, inclusief het voornemen van NL of andere lidstaten om binnen </w:t>
            </w:r>
            <w:r w:rsidRPr="00EF0FC5">
              <w:rPr>
                <w:rFonts w:ascii="Verdana" w:hAnsi="Verdana"/>
                <w:sz w:val="18"/>
                <w:szCs w:val="18"/>
              </w:rPr>
              <w:lastRenderedPageBreak/>
              <w:t>de Raad een bezwaarprocedure te initiëren.</w:t>
            </w:r>
          </w:p>
          <w:p w:rsidRPr="00EF0FC5" w:rsidR="00E34A2D" w:rsidP="0034235C" w:rsidRDefault="00E34A2D">
            <w:pPr>
              <w:pStyle w:val="Voetnoottekst"/>
              <w:numPr>
                <w:ilvl w:val="0"/>
                <w:numId w:val="1"/>
              </w:numPr>
              <w:rPr>
                <w:rFonts w:ascii="Verdana" w:hAnsi="Verdana"/>
                <w:sz w:val="18"/>
                <w:szCs w:val="18"/>
              </w:rPr>
            </w:pPr>
          </w:p>
        </w:tc>
      </w:tr>
      <w:tr w:rsidRPr="00A32873" w:rsidR="00E34A2D" w:rsidTr="0034235C">
        <w:tc>
          <w:tcPr>
            <w:tcW w:w="2093"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lastRenderedPageBreak/>
              <w:t>Bijzondere rechtshandelingen</w:t>
            </w:r>
          </w:p>
        </w:tc>
        <w:tc>
          <w:tcPr>
            <w:tcW w:w="6946"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Er bestaan nog andere typen niet-wetgevende rechtshandelingen waarvan op voorhand niet te zeggen zijn of zij bindend zijn of niet. Bijvoorbeeld meerjarige kaderprogramma’s</w:t>
            </w:r>
            <w:r>
              <w:rPr>
                <w:rFonts w:ascii="Verdana" w:hAnsi="Verdana"/>
                <w:sz w:val="18"/>
                <w:szCs w:val="18"/>
              </w:rPr>
              <w:t xml:space="preserve"> </w:t>
            </w:r>
            <w:r w:rsidRPr="00A32873">
              <w:rPr>
                <w:rFonts w:ascii="Verdana" w:hAnsi="Verdana"/>
                <w:sz w:val="18"/>
                <w:szCs w:val="18"/>
              </w:rPr>
              <w:t>of actieprogramma’s. Deze programma’s worden vastgesteld volgens dezelfde wetgevingsprocedures als richtlijnen en verordeningen. Het is zaak goed in de teksten te bezien wat de voorgestelde rechtskracht is.</w:t>
            </w:r>
          </w:p>
          <w:p w:rsidRPr="00A32873" w:rsidR="00E34A2D" w:rsidP="0034235C" w:rsidRDefault="00E34A2D">
            <w:pPr>
              <w:pStyle w:val="Voetnoottekst"/>
              <w:rPr>
                <w:rFonts w:ascii="Verdana" w:hAnsi="Verdana"/>
                <w:sz w:val="18"/>
                <w:szCs w:val="18"/>
              </w:rPr>
            </w:pPr>
          </w:p>
        </w:tc>
        <w:tc>
          <w:tcPr>
            <w:tcW w:w="5103" w:type="dxa"/>
          </w:tcPr>
          <w:p w:rsidRPr="00A32873" w:rsidR="00E34A2D" w:rsidP="0034235C" w:rsidRDefault="00E34A2D">
            <w:pPr>
              <w:pStyle w:val="Voetnoottekst"/>
              <w:numPr>
                <w:ilvl w:val="0"/>
                <w:numId w:val="1"/>
              </w:numPr>
              <w:rPr>
                <w:rFonts w:ascii="Verdana" w:hAnsi="Verdana"/>
                <w:sz w:val="18"/>
                <w:szCs w:val="18"/>
              </w:rPr>
            </w:pPr>
            <w:r>
              <w:rPr>
                <w:rFonts w:ascii="Verdana" w:hAnsi="Verdana"/>
                <w:sz w:val="18"/>
                <w:szCs w:val="18"/>
              </w:rPr>
              <w:t>k</w:t>
            </w:r>
            <w:r w:rsidRPr="00A32873">
              <w:rPr>
                <w:rFonts w:ascii="Verdana" w:hAnsi="Verdana"/>
                <w:sz w:val="18"/>
                <w:szCs w:val="18"/>
              </w:rPr>
              <w:t>abinetsappreciatie (‘BNC-fiche’) vragen, bespreken</w:t>
            </w:r>
            <w:r>
              <w:rPr>
                <w:rFonts w:ascii="Verdana" w:hAnsi="Verdana"/>
                <w:sz w:val="18"/>
                <w:szCs w:val="18"/>
              </w:rPr>
              <w:t>.</w:t>
            </w:r>
          </w:p>
          <w:p w:rsidRPr="00A32873" w:rsidR="00E34A2D" w:rsidP="0034235C" w:rsidRDefault="00E34A2D">
            <w:pPr>
              <w:pStyle w:val="Voetnoottekst"/>
              <w:numPr>
                <w:ilvl w:val="0"/>
                <w:numId w:val="1"/>
              </w:numPr>
              <w:rPr>
                <w:rFonts w:ascii="Verdana" w:hAnsi="Verdana"/>
                <w:sz w:val="18"/>
                <w:szCs w:val="18"/>
              </w:rPr>
            </w:pPr>
            <w:r w:rsidRPr="00A32873">
              <w:rPr>
                <w:rFonts w:ascii="Verdana" w:hAnsi="Verdana"/>
                <w:sz w:val="18"/>
                <w:szCs w:val="18"/>
              </w:rPr>
              <w:t xml:space="preserve">ambtenaren of Commissaris </w:t>
            </w:r>
            <w:r>
              <w:rPr>
                <w:rFonts w:ascii="Verdana" w:hAnsi="Verdana"/>
                <w:sz w:val="18"/>
                <w:szCs w:val="18"/>
              </w:rPr>
              <w:t xml:space="preserve">van </w:t>
            </w:r>
            <w:r w:rsidRPr="00A32873">
              <w:rPr>
                <w:rFonts w:ascii="Verdana" w:hAnsi="Verdana"/>
                <w:sz w:val="18"/>
                <w:szCs w:val="18"/>
              </w:rPr>
              <w:t>Europese Commissie (de ‘auteurs’) uitnodigen voor briefing/gesprek, evt. via videoconferentie</w:t>
            </w:r>
          </w:p>
          <w:p w:rsidRPr="00A32873" w:rsidR="00E34A2D" w:rsidP="0034235C" w:rsidRDefault="00E34A2D">
            <w:pPr>
              <w:pStyle w:val="Voetnoottekst"/>
              <w:numPr>
                <w:ilvl w:val="0"/>
                <w:numId w:val="1"/>
              </w:numPr>
              <w:rPr>
                <w:rFonts w:ascii="Verdana" w:hAnsi="Verdana"/>
                <w:sz w:val="18"/>
                <w:szCs w:val="18"/>
              </w:rPr>
            </w:pPr>
            <w:r>
              <w:rPr>
                <w:rFonts w:ascii="Verdana" w:hAnsi="Verdana"/>
                <w:sz w:val="18"/>
                <w:szCs w:val="18"/>
              </w:rPr>
              <w:t>i</w:t>
            </w:r>
            <w:r w:rsidRPr="00A32873">
              <w:rPr>
                <w:rFonts w:ascii="Verdana" w:hAnsi="Verdana"/>
                <w:sz w:val="18"/>
                <w:szCs w:val="18"/>
              </w:rPr>
              <w:t>ndien het Europees Parlement een rapporteur heeft aangesteld kan deze desgewenst worden uitgenodigd voor een gesprek</w:t>
            </w:r>
            <w:r>
              <w:rPr>
                <w:rFonts w:ascii="Verdana" w:hAnsi="Verdana"/>
                <w:sz w:val="18"/>
                <w:szCs w:val="18"/>
              </w:rPr>
              <w:t>.</w:t>
            </w:r>
          </w:p>
          <w:p w:rsidRPr="00A32873" w:rsidR="00E34A2D" w:rsidP="0034235C" w:rsidRDefault="00E34A2D">
            <w:pPr>
              <w:pStyle w:val="Voetnoottekst"/>
              <w:numPr>
                <w:ilvl w:val="0"/>
                <w:numId w:val="1"/>
              </w:numPr>
              <w:rPr>
                <w:rFonts w:ascii="Verdana" w:hAnsi="Verdana"/>
                <w:sz w:val="18"/>
                <w:szCs w:val="18"/>
              </w:rPr>
            </w:pPr>
            <w:r>
              <w:rPr>
                <w:rFonts w:ascii="Verdana" w:hAnsi="Verdana"/>
                <w:sz w:val="18"/>
                <w:szCs w:val="18"/>
              </w:rPr>
              <w:t>u</w:t>
            </w:r>
            <w:r w:rsidRPr="00A32873">
              <w:rPr>
                <w:rFonts w:ascii="Verdana" w:hAnsi="Verdana"/>
                <w:sz w:val="18"/>
                <w:szCs w:val="18"/>
              </w:rPr>
              <w:t>w commissie kan op dit onderwerp een ad-hoc rapporteur benoemen</w:t>
            </w:r>
          </w:p>
          <w:p w:rsidRPr="00A32873" w:rsidR="00E34A2D" w:rsidP="0034235C" w:rsidRDefault="00E34A2D">
            <w:pPr>
              <w:pStyle w:val="Voetnoottekst"/>
              <w:ind w:left="360"/>
              <w:rPr>
                <w:rFonts w:ascii="Verdana" w:hAnsi="Verdana"/>
                <w:sz w:val="18"/>
                <w:szCs w:val="18"/>
              </w:rPr>
            </w:pPr>
            <w:r>
              <w:rPr>
                <w:rFonts w:ascii="Verdana" w:hAnsi="Verdana"/>
                <w:sz w:val="18"/>
                <w:szCs w:val="18"/>
              </w:rPr>
              <w:t>n</w:t>
            </w:r>
            <w:r w:rsidRPr="00A32873">
              <w:rPr>
                <w:rFonts w:ascii="Verdana" w:hAnsi="Verdana"/>
                <w:sz w:val="18"/>
                <w:szCs w:val="18"/>
              </w:rPr>
              <w:t>ationale wetgevingstraject (i</w:t>
            </w:r>
            <w:r>
              <w:rPr>
                <w:rFonts w:ascii="Verdana" w:hAnsi="Verdana"/>
                <w:sz w:val="18"/>
                <w:szCs w:val="18"/>
              </w:rPr>
              <w:t>.</w:t>
            </w:r>
            <w:r w:rsidRPr="00A32873">
              <w:rPr>
                <w:rFonts w:ascii="Verdana" w:hAnsi="Verdana"/>
                <w:sz w:val="18"/>
                <w:szCs w:val="18"/>
              </w:rPr>
              <w:t>h</w:t>
            </w:r>
            <w:r>
              <w:rPr>
                <w:rFonts w:ascii="Verdana" w:hAnsi="Verdana"/>
                <w:sz w:val="18"/>
                <w:szCs w:val="18"/>
              </w:rPr>
              <w:t>.</w:t>
            </w:r>
            <w:r w:rsidRPr="00A32873">
              <w:rPr>
                <w:rFonts w:ascii="Verdana" w:hAnsi="Verdana"/>
                <w:sz w:val="18"/>
                <w:szCs w:val="18"/>
              </w:rPr>
              <w:t>k</w:t>
            </w:r>
            <w:r>
              <w:rPr>
                <w:rFonts w:ascii="Verdana" w:hAnsi="Verdana"/>
                <w:sz w:val="18"/>
                <w:szCs w:val="18"/>
              </w:rPr>
              <w:t>.</w:t>
            </w:r>
            <w:r w:rsidRPr="00A32873">
              <w:rPr>
                <w:rFonts w:ascii="Verdana" w:hAnsi="Verdana"/>
                <w:sz w:val="18"/>
                <w:szCs w:val="18"/>
              </w:rPr>
              <w:t>v</w:t>
            </w:r>
            <w:r>
              <w:rPr>
                <w:rFonts w:ascii="Verdana" w:hAnsi="Verdana"/>
                <w:sz w:val="18"/>
                <w:szCs w:val="18"/>
              </w:rPr>
              <w:t>.</w:t>
            </w:r>
            <w:r w:rsidRPr="00A32873">
              <w:rPr>
                <w:rFonts w:ascii="Verdana" w:hAnsi="Verdana"/>
                <w:sz w:val="18"/>
                <w:szCs w:val="18"/>
              </w:rPr>
              <w:t xml:space="preserve"> omzetting van richtlijn naar nationale wetgeving)</w:t>
            </w:r>
            <w:r>
              <w:rPr>
                <w:rFonts w:ascii="Verdana" w:hAnsi="Verdana"/>
                <w:sz w:val="18"/>
                <w:szCs w:val="18"/>
              </w:rPr>
              <w:t>.</w:t>
            </w:r>
          </w:p>
        </w:tc>
      </w:tr>
      <w:tr w:rsidRPr="00A32873" w:rsidR="00E34A2D" w:rsidTr="0034235C">
        <w:tc>
          <w:tcPr>
            <w:tcW w:w="14142" w:type="dxa"/>
            <w:gridSpan w:val="3"/>
          </w:tcPr>
          <w:p w:rsidRPr="002F662A" w:rsidR="00E34A2D" w:rsidP="0034235C" w:rsidRDefault="00E34A2D">
            <w:pPr>
              <w:pStyle w:val="Voetnoottekst"/>
              <w:rPr>
                <w:rFonts w:ascii="Verdana" w:hAnsi="Verdana"/>
                <w:i/>
                <w:sz w:val="18"/>
                <w:szCs w:val="18"/>
              </w:rPr>
            </w:pPr>
            <w:r w:rsidRPr="002F662A">
              <w:rPr>
                <w:rFonts w:ascii="Verdana" w:hAnsi="Verdana"/>
                <w:i/>
                <w:sz w:val="18"/>
                <w:szCs w:val="18"/>
              </w:rPr>
              <w:t>Niet-bindende handelingen (soft-law)</w:t>
            </w:r>
          </w:p>
        </w:tc>
      </w:tr>
      <w:tr w:rsidRPr="00A32873" w:rsidR="00E34A2D" w:rsidTr="0034235C">
        <w:tc>
          <w:tcPr>
            <w:tcW w:w="2093" w:type="dxa"/>
          </w:tcPr>
          <w:p w:rsidR="00E34A2D" w:rsidP="0034235C" w:rsidRDefault="00E34A2D">
            <w:pPr>
              <w:pStyle w:val="Voetnoottekst"/>
              <w:rPr>
                <w:rFonts w:ascii="Verdana" w:hAnsi="Verdana"/>
                <w:sz w:val="18"/>
                <w:szCs w:val="18"/>
              </w:rPr>
            </w:pPr>
            <w:r w:rsidRPr="00A32873">
              <w:rPr>
                <w:rFonts w:ascii="Verdana" w:hAnsi="Verdana"/>
                <w:sz w:val="18"/>
                <w:szCs w:val="18"/>
              </w:rPr>
              <w:t>Advies, aanbeveling, mededeling</w:t>
            </w:r>
          </w:p>
          <w:p w:rsidR="00E34A2D" w:rsidP="0034235C" w:rsidRDefault="00E34A2D">
            <w:pPr>
              <w:jc w:val="right"/>
            </w:pPr>
          </w:p>
          <w:p w:rsidR="00E34A2D" w:rsidP="0034235C" w:rsidRDefault="00E34A2D">
            <w:pPr>
              <w:jc w:val="right"/>
            </w:pPr>
          </w:p>
          <w:p w:rsidR="00E34A2D" w:rsidP="0034235C" w:rsidRDefault="00E34A2D">
            <w:pPr>
              <w:jc w:val="right"/>
            </w:pPr>
          </w:p>
          <w:p w:rsidR="00E34A2D" w:rsidP="0034235C" w:rsidRDefault="00E34A2D">
            <w:pPr>
              <w:jc w:val="right"/>
            </w:pPr>
          </w:p>
          <w:p w:rsidRPr="00B45904" w:rsidR="00E34A2D" w:rsidP="0034235C" w:rsidRDefault="00E34A2D">
            <w:pPr>
              <w:jc w:val="right"/>
            </w:pPr>
          </w:p>
        </w:tc>
        <w:tc>
          <w:tcPr>
            <w:tcW w:w="6946" w:type="dxa"/>
          </w:tcPr>
          <w:p w:rsidRPr="00A32873" w:rsidR="00E34A2D" w:rsidP="0034235C" w:rsidRDefault="00E34A2D">
            <w:pPr>
              <w:pStyle w:val="Voetnoottekst"/>
              <w:spacing w:before="100" w:beforeAutospacing="1" w:after="100" w:afterAutospacing="1"/>
              <w:rPr>
                <w:rFonts w:ascii="Verdana" w:hAnsi="Verdana"/>
                <w:sz w:val="18"/>
                <w:szCs w:val="18"/>
              </w:rPr>
            </w:pPr>
            <w:r w:rsidRPr="00A32873">
              <w:rPr>
                <w:rFonts w:ascii="Verdana" w:hAnsi="Verdana"/>
                <w:sz w:val="18"/>
                <w:szCs w:val="18"/>
              </w:rPr>
              <w:t>De EU kent een grote hoeveelheid uiteenlopende typen beleid (‘soft law’)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soft-law.</w:t>
            </w:r>
            <w:r>
              <w:rPr>
                <w:rFonts w:ascii="Verdana" w:hAnsi="Verdana"/>
                <w:sz w:val="18"/>
                <w:szCs w:val="18"/>
              </w:rPr>
              <w:t xml:space="preserve"> </w:t>
            </w:r>
          </w:p>
        </w:tc>
        <w:tc>
          <w:tcPr>
            <w:tcW w:w="5103" w:type="dxa"/>
          </w:tcPr>
          <w:p w:rsidRPr="002E058C" w:rsidR="00E34A2D" w:rsidP="0034235C" w:rsidRDefault="00E34A2D">
            <w:pPr>
              <w:pStyle w:val="Voetnoottekst"/>
              <w:numPr>
                <w:ilvl w:val="0"/>
                <w:numId w:val="1"/>
              </w:numPr>
              <w:rPr>
                <w:rFonts w:ascii="Verdana" w:hAnsi="Verdana"/>
                <w:sz w:val="18"/>
                <w:szCs w:val="18"/>
              </w:rPr>
            </w:pPr>
            <w:r>
              <w:rPr>
                <w:rFonts w:ascii="Verdana" w:hAnsi="Verdana"/>
                <w:sz w:val="18"/>
                <w:szCs w:val="18"/>
              </w:rPr>
              <w:t>k</w:t>
            </w:r>
            <w:r w:rsidRPr="002E058C">
              <w:rPr>
                <w:rFonts w:ascii="Verdana" w:hAnsi="Verdana"/>
                <w:sz w:val="18"/>
                <w:szCs w:val="18"/>
              </w:rPr>
              <w:t>abinet om appreciatie in de vorm van BNC-fiche verzoeken aangezien over deze categorie niet standaard een fiche wordt gemaakt.</w:t>
            </w:r>
          </w:p>
          <w:p w:rsidR="00E34A2D" w:rsidP="0034235C" w:rsidRDefault="00E34A2D">
            <w:pPr>
              <w:pStyle w:val="Voetnoottekst"/>
              <w:rPr>
                <w:rFonts w:ascii="Verdana" w:hAnsi="Verdana"/>
                <w:sz w:val="18"/>
                <w:szCs w:val="18"/>
              </w:rPr>
            </w:pPr>
          </w:p>
          <w:p w:rsidR="00E34A2D" w:rsidP="0034235C" w:rsidRDefault="00E34A2D">
            <w:pPr>
              <w:pStyle w:val="Voetnoottekst"/>
              <w:rPr>
                <w:rFonts w:ascii="Verdana" w:hAnsi="Verdana"/>
                <w:sz w:val="18"/>
                <w:szCs w:val="18"/>
              </w:rPr>
            </w:pPr>
          </w:p>
          <w:p w:rsidR="00E34A2D" w:rsidP="0034235C" w:rsidRDefault="00E34A2D">
            <w:pPr>
              <w:pStyle w:val="Voetnoottekst"/>
              <w:rPr>
                <w:rFonts w:ascii="Verdana" w:hAnsi="Verdana"/>
                <w:sz w:val="18"/>
                <w:szCs w:val="18"/>
              </w:rPr>
            </w:pPr>
          </w:p>
          <w:p w:rsidR="00E34A2D" w:rsidP="0034235C" w:rsidRDefault="00E34A2D">
            <w:pPr>
              <w:pStyle w:val="Voetnoottekst"/>
              <w:rPr>
                <w:rFonts w:ascii="Verdana" w:hAnsi="Verdana"/>
                <w:sz w:val="18"/>
                <w:szCs w:val="18"/>
              </w:rPr>
            </w:pPr>
          </w:p>
          <w:p w:rsidRPr="00A32873" w:rsidR="00E34A2D" w:rsidP="0034235C" w:rsidRDefault="00E34A2D">
            <w:pPr>
              <w:pStyle w:val="Voetnoottekst"/>
              <w:rPr>
                <w:rFonts w:ascii="Verdana" w:hAnsi="Verdana"/>
                <w:sz w:val="18"/>
                <w:szCs w:val="18"/>
              </w:rPr>
            </w:pPr>
          </w:p>
        </w:tc>
      </w:tr>
      <w:tr w:rsidRPr="00A32873" w:rsidR="00E34A2D" w:rsidTr="0034235C">
        <w:tc>
          <w:tcPr>
            <w:tcW w:w="14142" w:type="dxa"/>
            <w:gridSpan w:val="3"/>
          </w:tcPr>
          <w:p w:rsidRPr="002F662A" w:rsidR="00E34A2D" w:rsidP="0034235C" w:rsidRDefault="00E34A2D">
            <w:pPr>
              <w:pStyle w:val="Voetnoottekst"/>
              <w:rPr>
                <w:rFonts w:ascii="Verdana" w:hAnsi="Verdana"/>
                <w:i/>
                <w:sz w:val="18"/>
                <w:szCs w:val="18"/>
              </w:rPr>
            </w:pPr>
            <w:r w:rsidRPr="002F662A">
              <w:rPr>
                <w:rFonts w:ascii="Verdana" w:hAnsi="Verdana"/>
                <w:i/>
                <w:sz w:val="18"/>
                <w:szCs w:val="18"/>
              </w:rPr>
              <w:t xml:space="preserve">Overige handelingen en instrumenten </w:t>
            </w:r>
          </w:p>
        </w:tc>
      </w:tr>
      <w:tr w:rsidRPr="00A32873" w:rsidR="00E34A2D" w:rsidTr="0034235C">
        <w:tc>
          <w:tcPr>
            <w:tcW w:w="2093"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 xml:space="preserve">Routekaart, actieplannen, strategie, agenda </w:t>
            </w:r>
          </w:p>
        </w:tc>
        <w:tc>
          <w:tcPr>
            <w:tcW w:w="6946" w:type="dxa"/>
          </w:tcPr>
          <w:p w:rsidRPr="00A32873" w:rsidR="00E34A2D" w:rsidP="0034235C" w:rsidRDefault="00E34A2D">
            <w:pPr>
              <w:pStyle w:val="Voetnoottekst"/>
              <w:rPr>
                <w:rFonts w:ascii="Verdana" w:hAnsi="Verdana"/>
                <w:sz w:val="18"/>
                <w:szCs w:val="18"/>
              </w:rPr>
            </w:pPr>
            <w:r w:rsidRPr="00A32873">
              <w:rPr>
                <w:rFonts w:ascii="Verdana" w:hAnsi="Verdana" w:cs="Arial"/>
                <w:sz w:val="18"/>
                <w:szCs w:val="18"/>
              </w:rPr>
              <w:t>Via routekaarten, actieplannen, strategieën en agenda’s</w:t>
            </w:r>
            <w:r>
              <w:rPr>
                <w:rFonts w:ascii="Verdana" w:hAnsi="Verdana" w:cs="Arial"/>
                <w:sz w:val="18"/>
                <w:szCs w:val="18"/>
              </w:rPr>
              <w:t xml:space="preserve"> </w:t>
            </w:r>
            <w:r w:rsidRPr="00A32873">
              <w:rPr>
                <w:rFonts w:ascii="Verdana" w:hAnsi="Verdana" w:cs="Arial"/>
                <w:sz w:val="18"/>
                <w:szCs w:val="18"/>
              </w:rPr>
              <w:t xml:space="preserve">informeert de Europese Commissie belanghebbenden en burgers over nieuwe initiatieven, evaluaties en geschiktheidscontroles. In deze documenten </w:t>
            </w:r>
            <w:r w:rsidRPr="00A32873">
              <w:rPr>
                <w:rStyle w:val="Zwaar"/>
                <w:rFonts w:ascii="Verdana" w:hAnsi="Verdana" w:cs="Arial"/>
                <w:b w:val="0"/>
                <w:sz w:val="18"/>
                <w:szCs w:val="18"/>
              </w:rPr>
              <w:t>voor nieuwe initiatieven</w:t>
            </w:r>
            <w:r w:rsidRPr="00A32873">
              <w:rPr>
                <w:rFonts w:ascii="Verdana" w:hAnsi="Verdana" w:cs="Arial"/>
                <w:sz w:val="18"/>
                <w:szCs w:val="18"/>
              </w:rPr>
              <w:t xml:space="preserve"> wordt uitgelegd wat het probleem is, wat de Commissie wil bereiken, waarom juist de EU maatregelen moet nemen, wat de toegevoegde waarde is en welke alternatieven er zijn. In deze documenten</w:t>
            </w:r>
            <w:r w:rsidRPr="00A32873">
              <w:rPr>
                <w:rStyle w:val="Zwaar"/>
                <w:rFonts w:ascii="Verdana" w:hAnsi="Verdana" w:cs="Arial"/>
                <w:sz w:val="18"/>
                <w:szCs w:val="18"/>
              </w:rPr>
              <w:t xml:space="preserve"> </w:t>
            </w:r>
            <w:r w:rsidRPr="00A32873">
              <w:rPr>
                <w:rStyle w:val="Zwaar"/>
                <w:rFonts w:ascii="Verdana" w:hAnsi="Verdana" w:cs="Arial"/>
                <w:b w:val="0"/>
                <w:sz w:val="18"/>
                <w:szCs w:val="18"/>
              </w:rPr>
              <w:t>voor evaluaties en geschiktheidscontroles</w:t>
            </w:r>
            <w:r w:rsidRPr="00A32873">
              <w:rPr>
                <w:rFonts w:ascii="Verdana" w:hAnsi="Verdana" w:cs="Arial"/>
                <w:sz w:val="18"/>
                <w:szCs w:val="18"/>
              </w:rPr>
              <w:t xml:space="preserve"> wordt bepaald wat er geëvalueerd moet worden en welke aspecten moeten worden onderzocht. </w:t>
            </w:r>
          </w:p>
        </w:tc>
        <w:tc>
          <w:tcPr>
            <w:tcW w:w="5103" w:type="dxa"/>
          </w:tcPr>
          <w:p w:rsidR="00E34A2D" w:rsidP="0034235C" w:rsidRDefault="00E34A2D">
            <w:pPr>
              <w:pStyle w:val="Voetnoottekst"/>
              <w:numPr>
                <w:ilvl w:val="0"/>
                <w:numId w:val="1"/>
              </w:numPr>
              <w:rPr>
                <w:rFonts w:ascii="Verdana" w:hAnsi="Verdana"/>
                <w:sz w:val="18"/>
                <w:szCs w:val="18"/>
              </w:rPr>
            </w:pPr>
            <w:r>
              <w:rPr>
                <w:rFonts w:ascii="Verdana" w:hAnsi="Verdana"/>
                <w:sz w:val="18"/>
                <w:szCs w:val="18"/>
              </w:rPr>
              <w:t>k</w:t>
            </w:r>
            <w:r w:rsidRPr="002E058C">
              <w:rPr>
                <w:rFonts w:ascii="Verdana" w:hAnsi="Verdana"/>
                <w:sz w:val="18"/>
                <w:szCs w:val="18"/>
              </w:rPr>
              <w:t xml:space="preserve">abinet om appreciatie in de vorm van BNC-fiche verzoeken aangezien over deze categorie niet standaard een fiche wordt </w:t>
            </w:r>
            <w:r>
              <w:rPr>
                <w:rFonts w:ascii="Verdana" w:hAnsi="Verdana"/>
                <w:sz w:val="18"/>
                <w:szCs w:val="18"/>
              </w:rPr>
              <w:t>gemaakt</w:t>
            </w:r>
          </w:p>
          <w:p w:rsidRPr="00A32873" w:rsidR="00E34A2D" w:rsidP="0034235C" w:rsidRDefault="00E34A2D">
            <w:pPr>
              <w:pStyle w:val="Voetnoottekst"/>
              <w:numPr>
                <w:ilvl w:val="0"/>
                <w:numId w:val="1"/>
              </w:numPr>
              <w:rPr>
                <w:rFonts w:ascii="Verdana" w:hAnsi="Verdana"/>
                <w:sz w:val="18"/>
                <w:szCs w:val="18"/>
              </w:rPr>
            </w:pPr>
            <w:r w:rsidRPr="00A32873">
              <w:rPr>
                <w:rFonts w:ascii="Verdana" w:hAnsi="Verdana"/>
                <w:sz w:val="18"/>
                <w:szCs w:val="18"/>
              </w:rPr>
              <w:t xml:space="preserve">en/of </w:t>
            </w:r>
            <w:r>
              <w:rPr>
                <w:rFonts w:ascii="Verdana" w:hAnsi="Verdana"/>
                <w:sz w:val="18"/>
                <w:szCs w:val="18"/>
              </w:rPr>
              <w:t>kabinet</w:t>
            </w:r>
            <w:r w:rsidRPr="00A32873">
              <w:rPr>
                <w:rFonts w:ascii="Verdana" w:hAnsi="Verdana"/>
                <w:sz w:val="18"/>
                <w:szCs w:val="18"/>
              </w:rPr>
              <w:t xml:space="preserve"> vragen om NL inzet (per commissiebrief of tijdens algemeen overleg</w:t>
            </w:r>
            <w:r>
              <w:rPr>
                <w:rFonts w:ascii="Verdana" w:hAnsi="Verdana"/>
                <w:sz w:val="18"/>
                <w:szCs w:val="18"/>
              </w:rPr>
              <w:t>/debat</w:t>
            </w:r>
            <w:r w:rsidRPr="00A32873">
              <w:rPr>
                <w:rFonts w:ascii="Verdana" w:hAnsi="Verdana"/>
                <w:sz w:val="18"/>
                <w:szCs w:val="18"/>
              </w:rPr>
              <w:t>)</w:t>
            </w:r>
            <w:r>
              <w:rPr>
                <w:rFonts w:ascii="Verdana" w:hAnsi="Verdana"/>
                <w:sz w:val="18"/>
                <w:szCs w:val="18"/>
              </w:rPr>
              <w:t>.</w:t>
            </w:r>
          </w:p>
        </w:tc>
      </w:tr>
      <w:tr w:rsidRPr="00A32873" w:rsidR="00E34A2D" w:rsidTr="0034235C">
        <w:tc>
          <w:tcPr>
            <w:tcW w:w="2093"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Groen- en witboek</w:t>
            </w:r>
          </w:p>
        </w:tc>
        <w:tc>
          <w:tcPr>
            <w:tcW w:w="6946"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Groenboek: een discussiestuk, waarmee de Europese Commissie de stand van zaken inventariseert omtrent een onderwerp. Ook doet ze aanbevelingen voor nieuw</w:t>
            </w:r>
            <w:r>
              <w:rPr>
                <w:rFonts w:ascii="Verdana" w:hAnsi="Verdana"/>
                <w:sz w:val="18"/>
                <w:szCs w:val="18"/>
              </w:rPr>
              <w:t xml:space="preserve"> </w:t>
            </w:r>
            <w:r w:rsidRPr="00A32873">
              <w:rPr>
                <w:rFonts w:ascii="Verdana" w:hAnsi="Verdana"/>
                <w:sz w:val="18"/>
                <w:szCs w:val="18"/>
              </w:rPr>
              <w:t xml:space="preserve">beleid. </w:t>
            </w:r>
          </w:p>
          <w:p w:rsidRPr="00A32873" w:rsidR="00E34A2D" w:rsidP="0034235C" w:rsidRDefault="00E34A2D">
            <w:pPr>
              <w:pStyle w:val="Voetnoottekst"/>
              <w:rPr>
                <w:rFonts w:ascii="Verdana" w:hAnsi="Verdana"/>
                <w:sz w:val="18"/>
                <w:szCs w:val="18"/>
              </w:rPr>
            </w:pPr>
          </w:p>
          <w:p w:rsidRPr="00A32873" w:rsidR="00E34A2D" w:rsidP="0034235C" w:rsidRDefault="00E34A2D">
            <w:pPr>
              <w:pStyle w:val="Voetnoottekst"/>
              <w:rPr>
                <w:rFonts w:ascii="Verdana" w:hAnsi="Verdana"/>
                <w:sz w:val="18"/>
                <w:szCs w:val="18"/>
              </w:rPr>
            </w:pPr>
            <w:r w:rsidRPr="00A32873">
              <w:rPr>
                <w:rFonts w:ascii="Verdana" w:hAnsi="Verdana"/>
                <w:sz w:val="18"/>
                <w:szCs w:val="18"/>
              </w:rPr>
              <w:t>Witboek: hierin zet de Europese Commissie uiteen hoe zij bepaalde doelen wil bereiken. Vaak worden in een witboek al concrete voorstellen uitgewerkt en toegelicht.</w:t>
            </w:r>
          </w:p>
          <w:p w:rsidRPr="00A32873" w:rsidR="00E34A2D" w:rsidP="0034235C" w:rsidRDefault="00E34A2D">
            <w:pPr>
              <w:pStyle w:val="Voetnoottekst"/>
              <w:rPr>
                <w:rFonts w:ascii="Verdana" w:hAnsi="Verdana"/>
                <w:sz w:val="18"/>
                <w:szCs w:val="18"/>
              </w:rPr>
            </w:pPr>
            <w:r w:rsidRPr="00A32873">
              <w:rPr>
                <w:rFonts w:ascii="Verdana" w:hAnsi="Verdana"/>
                <w:sz w:val="18"/>
                <w:szCs w:val="18"/>
              </w:rPr>
              <w:lastRenderedPageBreak/>
              <w:t xml:space="preserve">De Europese Commissie nodigt overheden, nationale parlementen en andere organisaties uit om binnen een bepaalde termijn op een Groen- of Witboek te reageren. </w:t>
            </w:r>
          </w:p>
        </w:tc>
        <w:tc>
          <w:tcPr>
            <w:tcW w:w="5103" w:type="dxa"/>
          </w:tcPr>
          <w:p w:rsidR="00E34A2D" w:rsidP="0034235C" w:rsidRDefault="00E34A2D">
            <w:pPr>
              <w:pStyle w:val="Voetnoottekst"/>
              <w:numPr>
                <w:ilvl w:val="0"/>
                <w:numId w:val="1"/>
              </w:numPr>
              <w:rPr>
                <w:rFonts w:ascii="Verdana" w:hAnsi="Verdana"/>
                <w:sz w:val="18"/>
                <w:szCs w:val="18"/>
              </w:rPr>
            </w:pPr>
            <w:r w:rsidRPr="002E058C">
              <w:rPr>
                <w:rFonts w:ascii="Verdana" w:hAnsi="Verdana"/>
                <w:sz w:val="18"/>
                <w:szCs w:val="18"/>
              </w:rPr>
              <w:lastRenderedPageBreak/>
              <w:t>desgewenst ambtenaren EC of Europees Commissaris uitnodigen voor een toelichting.</w:t>
            </w:r>
          </w:p>
          <w:p w:rsidR="00E34A2D" w:rsidP="0034235C" w:rsidRDefault="00E34A2D">
            <w:pPr>
              <w:pStyle w:val="Voetnoottekst"/>
              <w:numPr>
                <w:ilvl w:val="0"/>
                <w:numId w:val="1"/>
              </w:numPr>
              <w:rPr>
                <w:rFonts w:ascii="Verdana" w:hAnsi="Verdana"/>
                <w:sz w:val="18"/>
                <w:szCs w:val="18"/>
              </w:rPr>
            </w:pPr>
            <w:r>
              <w:rPr>
                <w:rFonts w:ascii="Verdana" w:hAnsi="Verdana"/>
                <w:sz w:val="18"/>
                <w:szCs w:val="18"/>
              </w:rPr>
              <w:t>i</w:t>
            </w:r>
            <w:r w:rsidRPr="002E058C">
              <w:rPr>
                <w:rFonts w:ascii="Verdana" w:hAnsi="Verdana"/>
                <w:sz w:val="18"/>
                <w:szCs w:val="18"/>
              </w:rPr>
              <w:t>n commissieverband (via schriftelijke inbreng in de vorm van een politieke dialoog) of als lid, burger of via fracties een reactie sturen aan de Europese Commissie.</w:t>
            </w:r>
          </w:p>
          <w:p w:rsidRPr="00A32873" w:rsidR="00E34A2D" w:rsidP="0034235C" w:rsidRDefault="00E34A2D">
            <w:pPr>
              <w:pStyle w:val="Voetnoottekst"/>
              <w:numPr>
                <w:ilvl w:val="0"/>
                <w:numId w:val="1"/>
              </w:numPr>
              <w:rPr>
                <w:rFonts w:ascii="Verdana" w:hAnsi="Verdana"/>
                <w:sz w:val="18"/>
                <w:szCs w:val="18"/>
              </w:rPr>
            </w:pPr>
            <w:r w:rsidRPr="00A32873">
              <w:rPr>
                <w:rFonts w:ascii="Verdana" w:hAnsi="Verdana"/>
                <w:sz w:val="18"/>
                <w:szCs w:val="18"/>
              </w:rPr>
              <w:t xml:space="preserve">kabinet stuurt de Kamer het concept van haar </w:t>
            </w:r>
            <w:r w:rsidRPr="00A32873">
              <w:rPr>
                <w:rFonts w:ascii="Verdana" w:hAnsi="Verdana"/>
                <w:sz w:val="18"/>
                <w:szCs w:val="18"/>
              </w:rPr>
              <w:lastRenderedPageBreak/>
              <w:t>reactie op Groen- en Witboeken tenminste dertig dagen voor het verstrijken van de reactietermijn bij de Europese Commissie. Ook de definitieve reactie wordt in afschrift aan de Kamer gezonden. Deze reactie kan in behandeling worden genomen, bv</w:t>
            </w:r>
            <w:r>
              <w:rPr>
                <w:rFonts w:ascii="Verdana" w:hAnsi="Verdana"/>
                <w:sz w:val="18"/>
                <w:szCs w:val="18"/>
              </w:rPr>
              <w:t>.</w:t>
            </w:r>
            <w:r w:rsidRPr="00A32873">
              <w:rPr>
                <w:rFonts w:ascii="Verdana" w:hAnsi="Verdana"/>
                <w:sz w:val="18"/>
                <w:szCs w:val="18"/>
              </w:rPr>
              <w:t xml:space="preserve"> door te agenderen voor een algemeen overleg</w:t>
            </w:r>
            <w:r>
              <w:rPr>
                <w:rFonts w:ascii="Verdana" w:hAnsi="Verdana"/>
                <w:sz w:val="18"/>
                <w:szCs w:val="18"/>
              </w:rPr>
              <w:t>/debat</w:t>
            </w:r>
            <w:r w:rsidRPr="00A32873">
              <w:rPr>
                <w:rFonts w:ascii="Verdana" w:hAnsi="Verdana"/>
                <w:sz w:val="18"/>
                <w:szCs w:val="18"/>
              </w:rPr>
              <w:t>.</w:t>
            </w:r>
          </w:p>
        </w:tc>
      </w:tr>
      <w:tr w:rsidRPr="00A32873" w:rsidR="00E34A2D" w:rsidTr="0034235C">
        <w:tc>
          <w:tcPr>
            <w:tcW w:w="2093"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lastRenderedPageBreak/>
              <w:t>Openbare raadpleging (consultatie)</w:t>
            </w:r>
          </w:p>
        </w:tc>
        <w:tc>
          <w:tcPr>
            <w:tcW w:w="6946" w:type="dxa"/>
          </w:tcPr>
          <w:p w:rsidRPr="00A32873" w:rsidR="00E34A2D" w:rsidP="0034235C" w:rsidRDefault="00E34A2D">
            <w:pPr>
              <w:pStyle w:val="Voetnoottekst"/>
              <w:spacing w:before="100" w:beforeAutospacing="1" w:after="100" w:afterAutospacing="1"/>
              <w:rPr>
                <w:rFonts w:ascii="Verdana" w:hAnsi="Verdana"/>
                <w:sz w:val="18"/>
                <w:szCs w:val="18"/>
              </w:rPr>
            </w:pPr>
            <w:r w:rsidRPr="00A32873">
              <w:rPr>
                <w:rFonts w:ascii="Verdana" w:hAnsi="Verdana"/>
                <w:sz w:val="18"/>
                <w:szCs w:val="18"/>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7">
              <w:r w:rsidRPr="00A32873">
                <w:rPr>
                  <w:rStyle w:val="Hyperlink"/>
                  <w:rFonts w:ascii="Verdana" w:hAnsi="Verdana"/>
                  <w:sz w:val="18"/>
                  <w:szCs w:val="18"/>
                </w:rPr>
                <w:t>Bekijk alle openbare raadplegingen op "Uw stem in Europa"</w:t>
              </w:r>
            </w:hyperlink>
            <w:r w:rsidRPr="00A32873">
              <w:rPr>
                <w:rFonts w:ascii="Verdana" w:hAnsi="Verdana"/>
                <w:sz w:val="18"/>
                <w:szCs w:val="18"/>
              </w:rPr>
              <w:t xml:space="preserve"> . </w:t>
            </w:r>
          </w:p>
        </w:tc>
        <w:tc>
          <w:tcPr>
            <w:tcW w:w="5103" w:type="dxa"/>
          </w:tcPr>
          <w:p w:rsidR="00E34A2D" w:rsidP="0034235C" w:rsidRDefault="00E34A2D">
            <w:pPr>
              <w:pStyle w:val="Voetnoottekst"/>
              <w:numPr>
                <w:ilvl w:val="0"/>
                <w:numId w:val="1"/>
              </w:numPr>
              <w:autoSpaceDE w:val="0"/>
              <w:autoSpaceDN w:val="0"/>
              <w:rPr>
                <w:rFonts w:ascii="Verdana" w:hAnsi="Verdana"/>
                <w:sz w:val="18"/>
                <w:szCs w:val="18"/>
              </w:rPr>
            </w:pPr>
            <w:r w:rsidRPr="00782306">
              <w:rPr>
                <w:rFonts w:ascii="Verdana" w:hAnsi="Verdana"/>
                <w:sz w:val="18"/>
                <w:szCs w:val="18"/>
              </w:rPr>
              <w:t>als burger, lid, fractie of in commissieverband (via schriftelijke inbreng in de vorm van een politieke dialoog). meedoen aan de openbare raadpleging.</w:t>
            </w:r>
          </w:p>
          <w:p w:rsidR="00E34A2D" w:rsidP="0034235C" w:rsidRDefault="00E34A2D">
            <w:pPr>
              <w:pStyle w:val="Voetnoottekst"/>
              <w:numPr>
                <w:ilvl w:val="0"/>
                <w:numId w:val="1"/>
              </w:numPr>
              <w:autoSpaceDE w:val="0"/>
              <w:autoSpaceDN w:val="0"/>
              <w:rPr>
                <w:rFonts w:ascii="Verdana" w:hAnsi="Verdana"/>
                <w:sz w:val="18"/>
                <w:szCs w:val="18"/>
              </w:rPr>
            </w:pPr>
            <w:r w:rsidRPr="00782306">
              <w:rPr>
                <w:rFonts w:ascii="Verdana" w:hAnsi="Verdana"/>
                <w:sz w:val="18"/>
                <w:szCs w:val="18"/>
              </w:rPr>
              <w:t>kabinet verzoeken om de concept-kabinetsreactie naar de Kamer te sturen voordat de definitieve versie naar de Europese Commissie wordt gestuurd, teneinde desgewenst hierover met de bewindspersoon in gesprek te treden.</w:t>
            </w:r>
          </w:p>
          <w:p w:rsidRPr="00A32873" w:rsidR="00E34A2D" w:rsidP="0034235C" w:rsidRDefault="00E34A2D">
            <w:pPr>
              <w:pStyle w:val="Voetnoottekst"/>
              <w:numPr>
                <w:ilvl w:val="0"/>
                <w:numId w:val="1"/>
              </w:numPr>
              <w:autoSpaceDE w:val="0"/>
              <w:autoSpaceDN w:val="0"/>
              <w:rPr>
                <w:rFonts w:ascii="Verdana" w:hAnsi="Verdana"/>
                <w:sz w:val="18"/>
                <w:szCs w:val="18"/>
              </w:rPr>
            </w:pPr>
            <w:r>
              <w:rPr>
                <w:rFonts w:ascii="Verdana" w:hAnsi="Verdana"/>
                <w:sz w:val="18"/>
                <w:szCs w:val="18"/>
              </w:rPr>
              <w:t>d</w:t>
            </w:r>
            <w:r w:rsidRPr="00782306">
              <w:rPr>
                <w:rFonts w:ascii="Verdana" w:hAnsi="Verdana"/>
                <w:sz w:val="18"/>
                <w:szCs w:val="18"/>
              </w:rPr>
              <w:t>e Kamer ontvangt krachtens de standaard-informatieafspraken de definitieve kabinetsreactie op alle consultaties van de Europese Commissie waarop het kabinet reageert.</w:t>
            </w:r>
          </w:p>
        </w:tc>
      </w:tr>
      <w:tr w:rsidRPr="00A32873" w:rsidR="00E34A2D" w:rsidTr="0034235C">
        <w:tc>
          <w:tcPr>
            <w:tcW w:w="14142" w:type="dxa"/>
            <w:gridSpan w:val="3"/>
          </w:tcPr>
          <w:p w:rsidRPr="002F662A" w:rsidR="00E34A2D" w:rsidP="0034235C" w:rsidRDefault="00E34A2D">
            <w:pPr>
              <w:pStyle w:val="Voetnoottekst"/>
              <w:rPr>
                <w:rFonts w:ascii="Verdana" w:hAnsi="Verdana"/>
                <w:i/>
                <w:sz w:val="18"/>
                <w:szCs w:val="18"/>
              </w:rPr>
            </w:pPr>
            <w:r w:rsidRPr="002F662A">
              <w:rPr>
                <w:rFonts w:ascii="Verdana" w:hAnsi="Verdana"/>
                <w:i/>
                <w:sz w:val="18"/>
                <w:szCs w:val="18"/>
              </w:rPr>
              <w:t>Uitgelicht: twee specifieke parlementaire instrumenten bij</w:t>
            </w:r>
            <w:r>
              <w:rPr>
                <w:rFonts w:ascii="Verdana" w:hAnsi="Verdana"/>
                <w:i/>
                <w:sz w:val="18"/>
                <w:szCs w:val="18"/>
              </w:rPr>
              <w:t xml:space="preserve"> </w:t>
            </w:r>
            <w:r w:rsidRPr="002F662A">
              <w:rPr>
                <w:rFonts w:ascii="Verdana" w:hAnsi="Verdana"/>
                <w:i/>
                <w:sz w:val="18"/>
                <w:szCs w:val="18"/>
              </w:rPr>
              <w:t>nieuw gepubliceerde EU-voorstellen</w:t>
            </w:r>
          </w:p>
        </w:tc>
      </w:tr>
      <w:tr w:rsidRPr="00A32873" w:rsidR="00E34A2D" w:rsidTr="0034235C">
        <w:tc>
          <w:tcPr>
            <w:tcW w:w="2093"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 xml:space="preserve">Subsidiariteitstoets </w:t>
            </w:r>
          </w:p>
          <w:p w:rsidRPr="00A32873" w:rsidR="00E34A2D" w:rsidP="0034235C" w:rsidRDefault="00E34A2D">
            <w:pPr>
              <w:pStyle w:val="Voetnoottekst"/>
              <w:rPr>
                <w:rFonts w:ascii="Verdana" w:hAnsi="Verdana"/>
                <w:sz w:val="18"/>
                <w:szCs w:val="18"/>
              </w:rPr>
            </w:pPr>
            <w:r w:rsidRPr="00A32873">
              <w:rPr>
                <w:rFonts w:ascii="Verdana" w:hAnsi="Verdana"/>
                <w:sz w:val="18"/>
                <w:szCs w:val="18"/>
              </w:rPr>
              <w:t>(richting EU)</w:t>
            </w:r>
          </w:p>
        </w:tc>
        <w:tc>
          <w:tcPr>
            <w:tcW w:w="6946" w:type="dxa"/>
          </w:tcPr>
          <w:p w:rsidRPr="00A32873" w:rsidR="00E34A2D" w:rsidP="0034235C" w:rsidRDefault="00E34A2D">
            <w:pPr>
              <w:pStyle w:val="Lijstalinea"/>
              <w:ind w:left="0"/>
              <w:rPr>
                <w:rFonts w:ascii="Verdana" w:hAnsi="Verdana"/>
                <w:sz w:val="18"/>
                <w:szCs w:val="18"/>
              </w:rPr>
            </w:pPr>
            <w:r w:rsidRPr="00A32873">
              <w:rPr>
                <w:rFonts w:ascii="Verdana" w:hAnsi="Verdana"/>
                <w:sz w:val="18"/>
                <w:szCs w:val="18"/>
              </w:rPr>
              <w:t>Bij een subsidiariteitstoets toetst een nationale (</w:t>
            </w:r>
            <w:r>
              <w:rPr>
                <w:rFonts w:ascii="Verdana" w:hAnsi="Verdana"/>
                <w:sz w:val="18"/>
                <w:szCs w:val="18"/>
              </w:rPr>
              <w:t>K</w:t>
            </w:r>
            <w:r w:rsidRPr="00A32873">
              <w:rPr>
                <w:rFonts w:ascii="Verdana" w:hAnsi="Verdana"/>
                <w:sz w:val="18"/>
                <w:szCs w:val="18"/>
              </w:rPr>
              <w:t>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w:t>
            </w:r>
            <w:r>
              <w:rPr>
                <w:rFonts w:ascii="Verdana" w:hAnsi="Verdana"/>
                <w:sz w:val="18"/>
                <w:szCs w:val="18"/>
              </w:rPr>
              <w:t xml:space="preserve"> </w:t>
            </w:r>
            <w:r w:rsidRPr="00A32873">
              <w:rPr>
                <w:rFonts w:ascii="Verdana" w:hAnsi="Verdana"/>
                <w:sz w:val="18"/>
                <w:szCs w:val="18"/>
              </w:rPr>
              <w:t>weken bezwaar maken uit een oogpunt van subsidiariteit. Een zgn. “gele kaart”</w:t>
            </w:r>
            <w:r>
              <w:rPr>
                <w:rFonts w:ascii="Verdana" w:hAnsi="Verdana"/>
                <w:sz w:val="18"/>
                <w:szCs w:val="18"/>
              </w:rPr>
              <w:t xml:space="preserve"> </w:t>
            </w:r>
            <w:r w:rsidRPr="00A32873">
              <w:rPr>
                <w:rFonts w:ascii="Verdana" w:hAnsi="Verdana"/>
                <w:sz w:val="18"/>
                <w:szCs w:val="18"/>
              </w:rPr>
              <w:t>is voor de Commissie geldig als 1/3 van de nationale parlementen een voorstel in strijd acht met het subsidiariteitsbeginsel. De Europese Commissie moet dan haar voorstel heroverwegen.</w:t>
            </w:r>
            <w:r>
              <w:rPr>
                <w:rFonts w:ascii="Verdana" w:hAnsi="Verdana"/>
                <w:sz w:val="18"/>
                <w:szCs w:val="18"/>
              </w:rPr>
              <w:t xml:space="preserve"> I</w:t>
            </w:r>
            <w:r w:rsidRPr="00A32873">
              <w:rPr>
                <w:rFonts w:ascii="Verdana" w:hAnsi="Verdana"/>
                <w:sz w:val="18"/>
                <w:szCs w:val="18"/>
              </w:rPr>
              <w:t xml:space="preserve">n totaal zijn er </w:t>
            </w:r>
            <w:r>
              <w:rPr>
                <w:rFonts w:ascii="Verdana" w:hAnsi="Verdana"/>
                <w:sz w:val="18"/>
                <w:szCs w:val="18"/>
              </w:rPr>
              <w:t xml:space="preserve">28 Parlementen met </w:t>
            </w:r>
            <w:r w:rsidRPr="00A32873">
              <w:rPr>
                <w:rFonts w:ascii="Verdana" w:hAnsi="Verdana"/>
                <w:sz w:val="18"/>
                <w:szCs w:val="18"/>
              </w:rPr>
              <w:t>4</w:t>
            </w:r>
            <w:r>
              <w:rPr>
                <w:rFonts w:ascii="Verdana" w:hAnsi="Verdana"/>
                <w:sz w:val="18"/>
                <w:szCs w:val="18"/>
              </w:rPr>
              <w:t>1</w:t>
            </w:r>
            <w:r w:rsidRPr="00A32873">
              <w:rPr>
                <w:rFonts w:ascii="Verdana" w:hAnsi="Verdana"/>
                <w:sz w:val="18"/>
                <w:szCs w:val="18"/>
              </w:rPr>
              <w:t xml:space="preserve"> </w:t>
            </w:r>
            <w:r>
              <w:rPr>
                <w:rFonts w:ascii="Verdana" w:hAnsi="Verdana"/>
                <w:sz w:val="18"/>
                <w:szCs w:val="18"/>
              </w:rPr>
              <w:t xml:space="preserve">Kamers </w:t>
            </w:r>
            <w:r w:rsidRPr="00A32873">
              <w:rPr>
                <w:rFonts w:ascii="Verdana" w:hAnsi="Verdana"/>
                <w:sz w:val="18"/>
                <w:szCs w:val="18"/>
              </w:rPr>
              <w:t>in de EU</w:t>
            </w:r>
            <w:r>
              <w:rPr>
                <w:rFonts w:ascii="Verdana" w:hAnsi="Verdana"/>
                <w:sz w:val="18"/>
                <w:szCs w:val="18"/>
              </w:rPr>
              <w:t xml:space="preserve">. </w:t>
            </w:r>
            <w:r>
              <w:rPr>
                <w:rFonts w:asciiTheme="minorHAnsi" w:hAnsiTheme="minorHAnsi" w:cstheme="minorHAnsi"/>
                <w:color w:val="000000" w:themeColor="text1"/>
                <w:sz w:val="22"/>
              </w:rPr>
              <w:t>E</w:t>
            </w:r>
            <w:r w:rsidRPr="00D74760">
              <w:rPr>
                <w:rFonts w:asciiTheme="minorHAnsi" w:hAnsiTheme="minorHAnsi" w:cstheme="minorHAnsi"/>
                <w:color w:val="000000" w:themeColor="text1"/>
                <w:sz w:val="22"/>
              </w:rPr>
              <w:t xml:space="preserve">lk parlement krijgt 2 stemmen, maar </w:t>
            </w:r>
            <w:r>
              <w:rPr>
                <w:rFonts w:asciiTheme="minorHAnsi" w:hAnsiTheme="minorHAnsi" w:cstheme="minorHAnsi"/>
                <w:color w:val="000000" w:themeColor="text1"/>
                <w:sz w:val="22"/>
              </w:rPr>
              <w:t xml:space="preserve">bij </w:t>
            </w:r>
            <w:r w:rsidRPr="00D74760">
              <w:rPr>
                <w:rFonts w:asciiTheme="minorHAnsi" w:hAnsiTheme="minorHAnsi" w:cstheme="minorHAnsi"/>
                <w:color w:val="000000" w:themeColor="text1"/>
                <w:sz w:val="22"/>
              </w:rPr>
              <w:t>een bi</w:t>
            </w:r>
            <w:r>
              <w:rPr>
                <w:rFonts w:asciiTheme="minorHAnsi" w:hAnsiTheme="minorHAnsi" w:cstheme="minorHAnsi"/>
                <w:color w:val="000000" w:themeColor="text1"/>
                <w:sz w:val="22"/>
              </w:rPr>
              <w:t>c</w:t>
            </w:r>
            <w:r w:rsidRPr="00D74760">
              <w:rPr>
                <w:rFonts w:asciiTheme="minorHAnsi" w:hAnsiTheme="minorHAnsi" w:cstheme="minorHAnsi"/>
                <w:color w:val="000000" w:themeColor="text1"/>
                <w:sz w:val="22"/>
              </w:rPr>
              <w:t>ameraal stelsel, zoals in Nederland</w:t>
            </w:r>
            <w:r>
              <w:rPr>
                <w:rFonts w:asciiTheme="minorHAnsi" w:hAnsiTheme="minorHAnsi" w:cstheme="minorHAnsi"/>
                <w:color w:val="000000" w:themeColor="text1"/>
                <w:sz w:val="22"/>
              </w:rPr>
              <w:t xml:space="preserve">, </w:t>
            </w:r>
            <w:r w:rsidRPr="00D74760">
              <w:rPr>
                <w:rFonts w:asciiTheme="minorHAnsi" w:hAnsiTheme="minorHAnsi" w:cstheme="minorHAnsi"/>
                <w:color w:val="000000" w:themeColor="text1"/>
                <w:sz w:val="22"/>
              </w:rPr>
              <w:t>krijgt elke kamer 1 stem</w:t>
            </w:r>
            <w:r>
              <w:rPr>
                <w:rFonts w:ascii="Verdana" w:hAnsi="Verdana"/>
                <w:sz w:val="18"/>
                <w:szCs w:val="18"/>
              </w:rPr>
              <w:t>.</w:t>
            </w:r>
            <w:r w:rsidRPr="00D74760">
              <w:rPr>
                <w:rFonts w:asciiTheme="minorHAnsi" w:hAnsiTheme="minorHAnsi" w:cstheme="minorHAnsi"/>
                <w:color w:val="000000" w:themeColor="text1"/>
                <w:sz w:val="22"/>
              </w:rPr>
              <w:t xml:space="preserve"> Om een gele kaart te trekken moeten er 19 stemmen worden gehaald.</w:t>
            </w:r>
          </w:p>
        </w:tc>
        <w:tc>
          <w:tcPr>
            <w:tcW w:w="5103" w:type="dxa"/>
          </w:tcPr>
          <w:p w:rsidR="00E34A2D" w:rsidP="0034235C" w:rsidRDefault="00E34A2D">
            <w:pPr>
              <w:pStyle w:val="Voetnoottekst"/>
              <w:numPr>
                <w:ilvl w:val="0"/>
                <w:numId w:val="1"/>
              </w:numPr>
              <w:rPr>
                <w:rFonts w:ascii="Verdana" w:hAnsi="Verdana"/>
                <w:sz w:val="18"/>
                <w:szCs w:val="18"/>
              </w:rPr>
            </w:pPr>
            <w:r>
              <w:rPr>
                <w:rFonts w:ascii="Verdana" w:hAnsi="Verdana"/>
                <w:sz w:val="18"/>
                <w:szCs w:val="18"/>
              </w:rPr>
              <w:t>b</w:t>
            </w:r>
            <w:r w:rsidRPr="00782306">
              <w:rPr>
                <w:rFonts w:ascii="Verdana" w:hAnsi="Verdana"/>
                <w:sz w:val="18"/>
                <w:szCs w:val="18"/>
              </w:rPr>
              <w:t xml:space="preserve">ij wetgevende EU-voorstellen kan een Kamercommissie besluiten tot het uitvoeren van een subsidiariteitstoets. Let op: dit moet binnen </w:t>
            </w:r>
            <w:r>
              <w:rPr>
                <w:rFonts w:ascii="Verdana" w:hAnsi="Verdana"/>
                <w:sz w:val="18"/>
                <w:szCs w:val="18"/>
              </w:rPr>
              <w:t>acht</w:t>
            </w:r>
            <w:r w:rsidRPr="00782306">
              <w:rPr>
                <w:rFonts w:ascii="Verdana" w:hAnsi="Verdana"/>
                <w:sz w:val="18"/>
                <w:szCs w:val="18"/>
              </w:rPr>
              <w:t xml:space="preserve"> weken na het uitkomen van </w:t>
            </w:r>
            <w:r>
              <w:rPr>
                <w:rFonts w:ascii="Verdana" w:hAnsi="Verdana"/>
                <w:sz w:val="18"/>
                <w:szCs w:val="18"/>
              </w:rPr>
              <w:t xml:space="preserve">alle </w:t>
            </w:r>
            <w:r w:rsidRPr="00782306">
              <w:rPr>
                <w:rFonts w:ascii="Verdana" w:hAnsi="Verdana"/>
                <w:sz w:val="18"/>
                <w:szCs w:val="18"/>
              </w:rPr>
              <w:t>taalversie</w:t>
            </w:r>
            <w:r>
              <w:rPr>
                <w:rFonts w:ascii="Verdana" w:hAnsi="Verdana"/>
                <w:sz w:val="18"/>
                <w:szCs w:val="18"/>
              </w:rPr>
              <w:t>s</w:t>
            </w:r>
            <w:r w:rsidRPr="00782306">
              <w:rPr>
                <w:rFonts w:ascii="Verdana" w:hAnsi="Verdana"/>
                <w:sz w:val="18"/>
                <w:szCs w:val="18"/>
              </w:rPr>
              <w:t xml:space="preserve"> van het voorstel.</w:t>
            </w:r>
          </w:p>
          <w:p w:rsidR="00E34A2D" w:rsidP="0034235C" w:rsidRDefault="00E34A2D">
            <w:pPr>
              <w:pStyle w:val="Voetnoottekst"/>
              <w:numPr>
                <w:ilvl w:val="0"/>
                <w:numId w:val="1"/>
              </w:numPr>
              <w:rPr>
                <w:rFonts w:ascii="Verdana" w:hAnsi="Verdana"/>
                <w:sz w:val="18"/>
                <w:szCs w:val="18"/>
              </w:rPr>
            </w:pPr>
            <w:r>
              <w:rPr>
                <w:rFonts w:ascii="Verdana" w:hAnsi="Verdana"/>
                <w:sz w:val="18"/>
                <w:szCs w:val="18"/>
              </w:rPr>
              <w:t>k</w:t>
            </w:r>
            <w:r w:rsidRPr="00782306">
              <w:rPr>
                <w:rFonts w:ascii="Verdana" w:hAnsi="Verdana"/>
                <w:sz w:val="18"/>
                <w:szCs w:val="18"/>
              </w:rPr>
              <w:t xml:space="preserve">abinetsappreciatie (‘BNC-fiche’) komt voor aangekondigde subsidiariteitstoetsen binnen </w:t>
            </w:r>
            <w:r>
              <w:rPr>
                <w:rFonts w:ascii="Verdana" w:hAnsi="Verdana"/>
                <w:sz w:val="18"/>
                <w:szCs w:val="18"/>
              </w:rPr>
              <w:t>drie</w:t>
            </w:r>
            <w:r w:rsidRPr="00782306">
              <w:rPr>
                <w:rFonts w:ascii="Verdana" w:hAnsi="Verdana"/>
                <w:sz w:val="18"/>
                <w:szCs w:val="18"/>
              </w:rPr>
              <w:t xml:space="preserve"> weken t.b.v. een snelle behandeling.</w:t>
            </w:r>
          </w:p>
          <w:p w:rsidRPr="00B45904" w:rsidR="00E34A2D" w:rsidP="0034235C" w:rsidRDefault="00E34A2D">
            <w:pPr>
              <w:pStyle w:val="Voetnoottekst"/>
              <w:numPr>
                <w:ilvl w:val="0"/>
                <w:numId w:val="1"/>
              </w:numPr>
              <w:rPr>
                <w:rFonts w:ascii="Verdana" w:hAnsi="Verdana"/>
                <w:sz w:val="18"/>
                <w:szCs w:val="18"/>
              </w:rPr>
            </w:pPr>
            <w:r>
              <w:rPr>
                <w:rFonts w:ascii="Verdana" w:hAnsi="Verdana"/>
                <w:sz w:val="18"/>
                <w:szCs w:val="18"/>
              </w:rPr>
              <w:t>m</w:t>
            </w:r>
            <w:r w:rsidRPr="00A32873">
              <w:rPr>
                <w:rFonts w:ascii="Verdana" w:hAnsi="Verdana"/>
                <w:sz w:val="18"/>
                <w:szCs w:val="18"/>
              </w:rPr>
              <w:t xml:space="preserve">et andere parlementen in overleg treden t.b.v. behalen meerderheid voor ’gele kaart’ (1/3 </w:t>
            </w:r>
            <w:r>
              <w:rPr>
                <w:rFonts w:ascii="Verdana" w:hAnsi="Verdana"/>
                <w:sz w:val="18"/>
                <w:szCs w:val="18"/>
              </w:rPr>
              <w:t>stemmen</w:t>
            </w:r>
            <w:r w:rsidRPr="00A32873">
              <w:rPr>
                <w:rFonts w:ascii="Verdana" w:hAnsi="Verdana"/>
                <w:sz w:val="18"/>
                <w:szCs w:val="18"/>
              </w:rPr>
              <w:t>) via parlementaire vertegenwoordiging en/of fractielijnen</w:t>
            </w:r>
            <w:r>
              <w:rPr>
                <w:rFonts w:ascii="Verdana" w:hAnsi="Verdana"/>
                <w:sz w:val="18"/>
                <w:szCs w:val="18"/>
              </w:rPr>
              <w:t>.</w:t>
            </w:r>
            <w:r w:rsidRPr="00A32873">
              <w:rPr>
                <w:rFonts w:ascii="Verdana" w:hAnsi="Verdana"/>
                <w:sz w:val="18"/>
                <w:szCs w:val="18"/>
              </w:rPr>
              <w:t xml:space="preserve"> </w:t>
            </w:r>
          </w:p>
        </w:tc>
      </w:tr>
      <w:tr w:rsidRPr="00A32873" w:rsidR="00E34A2D" w:rsidTr="0034235C">
        <w:tc>
          <w:tcPr>
            <w:tcW w:w="2093"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Behandel-voorbehoud (richting regering)</w:t>
            </w:r>
          </w:p>
        </w:tc>
        <w:tc>
          <w:tcPr>
            <w:tcW w:w="6946" w:type="dxa"/>
          </w:tcPr>
          <w:p w:rsidRPr="00A32873" w:rsidR="00E34A2D" w:rsidP="0034235C" w:rsidRDefault="00E34A2D">
            <w:pPr>
              <w:pStyle w:val="Lijstalinea"/>
              <w:ind w:left="34"/>
              <w:rPr>
                <w:rFonts w:ascii="Verdana" w:hAnsi="Verdana"/>
                <w:sz w:val="18"/>
                <w:szCs w:val="18"/>
              </w:rPr>
            </w:pPr>
            <w:r w:rsidRPr="00A32873">
              <w:rPr>
                <w:rFonts w:ascii="Verdana" w:hAnsi="Verdana"/>
                <w:sz w:val="18"/>
                <w:szCs w:val="18"/>
              </w:rPr>
              <w:t xml:space="preserve">Zodra de Europese Commissie een wetgevend voorstel heeft gepresenteerd, kan de Kamer </w:t>
            </w:r>
            <w:r>
              <w:rPr>
                <w:rFonts w:ascii="Verdana" w:hAnsi="Verdana"/>
                <w:sz w:val="18"/>
                <w:szCs w:val="18"/>
              </w:rPr>
              <w:t xml:space="preserve">binnen 8 weken </w:t>
            </w:r>
            <w:r w:rsidRPr="00A32873">
              <w:rPr>
                <w:rFonts w:ascii="Verdana" w:hAnsi="Verdana"/>
                <w:sz w:val="18"/>
                <w:szCs w:val="18"/>
              </w:rPr>
              <w:t xml:space="preserve">besluiten dat zij het voorstel van dusdanig politiek belang acht, dat de Kamer door de regering op bijzondere wijze geïnformeerd wil blijven worden over de EU </w:t>
            </w:r>
            <w:r w:rsidRPr="00A32873">
              <w:rPr>
                <w:rFonts w:ascii="Verdana" w:hAnsi="Verdana"/>
                <w:sz w:val="18"/>
                <w:szCs w:val="18"/>
              </w:rPr>
              <w:lastRenderedPageBreak/>
              <w:t>onderhandelingen. De Kamer stelt het kabinet hiervan 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informatieverstrekkin</w:t>
            </w:r>
            <w:r>
              <w:rPr>
                <w:rFonts w:ascii="Verdana" w:hAnsi="Verdana"/>
                <w:sz w:val="18"/>
                <w:szCs w:val="18"/>
              </w:rPr>
              <w:t>g door het kabinet aan de</w:t>
            </w:r>
            <w:r w:rsidRPr="00A32873">
              <w:rPr>
                <w:rFonts w:ascii="Verdana" w:hAnsi="Verdana"/>
                <w:sz w:val="18"/>
                <w:szCs w:val="18"/>
              </w:rPr>
              <w:t xml:space="preserv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00E34A2D" w:rsidP="0034235C" w:rsidRDefault="00E34A2D">
            <w:pPr>
              <w:pStyle w:val="Voetnoottekst"/>
              <w:numPr>
                <w:ilvl w:val="0"/>
                <w:numId w:val="1"/>
              </w:numPr>
              <w:rPr>
                <w:rFonts w:ascii="Verdana" w:hAnsi="Verdana"/>
                <w:sz w:val="18"/>
                <w:szCs w:val="18"/>
              </w:rPr>
            </w:pPr>
            <w:r>
              <w:rPr>
                <w:rFonts w:ascii="Verdana" w:hAnsi="Verdana"/>
                <w:sz w:val="18"/>
                <w:szCs w:val="18"/>
              </w:rPr>
              <w:lastRenderedPageBreak/>
              <w:t>b</w:t>
            </w:r>
            <w:r w:rsidRPr="00782306">
              <w:rPr>
                <w:rFonts w:ascii="Verdana" w:hAnsi="Verdana"/>
                <w:sz w:val="18"/>
                <w:szCs w:val="18"/>
              </w:rPr>
              <w:t xml:space="preserve">ij wetgevende EU-voorstellen kan een commissie besluiten tot het uitvoeren van een zgn. ‘behandelvoorbehoud’. </w:t>
            </w:r>
            <w:r>
              <w:rPr>
                <w:rFonts w:ascii="Verdana" w:hAnsi="Verdana"/>
                <w:sz w:val="18"/>
                <w:szCs w:val="18"/>
              </w:rPr>
              <w:t>Over d</w:t>
            </w:r>
            <w:r w:rsidRPr="00782306">
              <w:rPr>
                <w:rFonts w:ascii="Verdana" w:hAnsi="Verdana"/>
                <w:sz w:val="18"/>
                <w:szCs w:val="18"/>
              </w:rPr>
              <w:t xml:space="preserve">eze brief moet plenair gestemd </w:t>
            </w:r>
            <w:r>
              <w:rPr>
                <w:rFonts w:ascii="Verdana" w:hAnsi="Verdana"/>
                <w:sz w:val="18"/>
                <w:szCs w:val="18"/>
              </w:rPr>
              <w:t>worden (</w:t>
            </w:r>
            <w:r w:rsidRPr="00782306">
              <w:rPr>
                <w:rFonts w:ascii="Verdana" w:hAnsi="Verdana"/>
                <w:sz w:val="18"/>
                <w:szCs w:val="18"/>
              </w:rPr>
              <w:t xml:space="preserve">let op </w:t>
            </w:r>
            <w:r>
              <w:rPr>
                <w:rFonts w:ascii="Verdana" w:hAnsi="Verdana"/>
                <w:sz w:val="18"/>
                <w:szCs w:val="18"/>
              </w:rPr>
              <w:t xml:space="preserve">de </w:t>
            </w:r>
            <w:r w:rsidRPr="00782306">
              <w:rPr>
                <w:rFonts w:ascii="Verdana" w:hAnsi="Verdana"/>
                <w:sz w:val="18"/>
                <w:szCs w:val="18"/>
              </w:rPr>
              <w:t>termijnen</w:t>
            </w:r>
            <w:r>
              <w:rPr>
                <w:rFonts w:ascii="Verdana" w:hAnsi="Verdana"/>
                <w:sz w:val="18"/>
                <w:szCs w:val="18"/>
              </w:rPr>
              <w:t>)</w:t>
            </w:r>
            <w:r w:rsidRPr="00782306">
              <w:rPr>
                <w:rFonts w:ascii="Verdana" w:hAnsi="Verdana"/>
                <w:sz w:val="18"/>
                <w:szCs w:val="18"/>
              </w:rPr>
              <w:t>.</w:t>
            </w:r>
          </w:p>
          <w:p w:rsidR="00E34A2D" w:rsidP="0034235C" w:rsidRDefault="00E34A2D">
            <w:pPr>
              <w:pStyle w:val="Voetnoottekst"/>
              <w:numPr>
                <w:ilvl w:val="0"/>
                <w:numId w:val="1"/>
              </w:numPr>
              <w:rPr>
                <w:rFonts w:ascii="Verdana" w:hAnsi="Verdana"/>
                <w:sz w:val="18"/>
                <w:szCs w:val="18"/>
              </w:rPr>
            </w:pPr>
            <w:r>
              <w:rPr>
                <w:rFonts w:ascii="Verdana" w:hAnsi="Verdana"/>
                <w:sz w:val="18"/>
                <w:szCs w:val="18"/>
              </w:rPr>
              <w:lastRenderedPageBreak/>
              <w:t>t</w:t>
            </w:r>
            <w:r w:rsidRPr="00782306">
              <w:rPr>
                <w:rFonts w:ascii="Verdana" w:hAnsi="Verdana"/>
                <w:sz w:val="18"/>
                <w:szCs w:val="18"/>
              </w:rPr>
              <w:t>ijdens een speciaal overleg kan de commissie afspraken maken over informatieverstrekking (bv</w:t>
            </w:r>
            <w:r>
              <w:rPr>
                <w:rFonts w:ascii="Verdana" w:hAnsi="Verdana"/>
                <w:sz w:val="18"/>
                <w:szCs w:val="18"/>
              </w:rPr>
              <w:t>.</w:t>
            </w:r>
            <w:r w:rsidRPr="00782306">
              <w:rPr>
                <w:rFonts w:ascii="Verdana" w:hAnsi="Verdana"/>
                <w:sz w:val="18"/>
                <w:szCs w:val="18"/>
              </w:rPr>
              <w:t xml:space="preserve"> in kwartaalrapportages) zolang het desbetreffende dossier in onderhandeling is.</w:t>
            </w:r>
          </w:p>
          <w:p w:rsidRPr="00782306" w:rsidR="00E34A2D" w:rsidP="0034235C" w:rsidRDefault="00E34A2D">
            <w:pPr>
              <w:pStyle w:val="Voetnoottekst"/>
              <w:numPr>
                <w:ilvl w:val="0"/>
                <w:numId w:val="1"/>
              </w:numPr>
              <w:rPr>
                <w:rFonts w:ascii="Verdana" w:hAnsi="Verdana"/>
                <w:sz w:val="18"/>
                <w:szCs w:val="18"/>
              </w:rPr>
            </w:pPr>
            <w:r>
              <w:rPr>
                <w:rFonts w:ascii="Verdana" w:hAnsi="Verdana"/>
                <w:sz w:val="18"/>
                <w:szCs w:val="18"/>
              </w:rPr>
              <w:t>k</w:t>
            </w:r>
            <w:r w:rsidRPr="00782306">
              <w:rPr>
                <w:rFonts w:ascii="Verdana" w:hAnsi="Verdana"/>
                <w:sz w:val="18"/>
                <w:szCs w:val="18"/>
              </w:rPr>
              <w:t>abinetsappreciatie (‘BNC-fiche’) komt voor aangekondig</w:t>
            </w:r>
            <w:r>
              <w:rPr>
                <w:rFonts w:ascii="Verdana" w:hAnsi="Verdana"/>
                <w:sz w:val="18"/>
                <w:szCs w:val="18"/>
              </w:rPr>
              <w:t>de behandelvoorbehouden binnen drie</w:t>
            </w:r>
            <w:r w:rsidRPr="00782306">
              <w:rPr>
                <w:rFonts w:ascii="Verdana" w:hAnsi="Verdana"/>
                <w:sz w:val="18"/>
                <w:szCs w:val="18"/>
              </w:rPr>
              <w:t xml:space="preserve"> weken t.b.v. een snelle behandeling.</w:t>
            </w:r>
          </w:p>
          <w:p w:rsidRPr="00A32873" w:rsidR="00E34A2D" w:rsidP="0034235C" w:rsidRDefault="00E34A2D">
            <w:pPr>
              <w:pStyle w:val="Voetnoottekst"/>
              <w:rPr>
                <w:rFonts w:ascii="Verdana" w:hAnsi="Verdana"/>
                <w:sz w:val="18"/>
                <w:szCs w:val="18"/>
              </w:rPr>
            </w:pPr>
          </w:p>
        </w:tc>
      </w:tr>
    </w:tbl>
    <w:p w:rsidRPr="00A32873" w:rsidR="00E34A2D" w:rsidP="00E34A2D" w:rsidRDefault="00E34A2D">
      <w:pPr>
        <w:rPr>
          <w:rFonts w:ascii="Verdana" w:hAnsi="Verdana"/>
          <w:sz w:val="18"/>
          <w:szCs w:val="18"/>
        </w:rPr>
      </w:pPr>
    </w:p>
    <w:p w:rsidR="00E34A2D" w:rsidP="00E34A2D" w:rsidRDefault="00E34A2D"/>
    <w:p w:rsidR="00E34A2D" w:rsidP="00E34A2D" w:rsidRDefault="00E34A2D"/>
    <w:p w:rsidR="00E34A2D" w:rsidP="00A137D8" w:rsidRDefault="00E34A2D">
      <w:pPr>
        <w:rPr>
          <w:rFonts w:asciiTheme="minorHAnsi" w:hAnsiTheme="minorHAnsi"/>
          <w:sz w:val="22"/>
          <w:szCs w:val="22"/>
        </w:rPr>
      </w:pPr>
    </w:p>
    <w:p w:rsidR="004C7A6A" w:rsidRDefault="004C7A6A"/>
    <w:sectPr w:rsidR="004C7A6A" w:rsidSect="00A137D8">
      <w:pgSz w:w="16838" w:h="11906" w:orient="landscape"/>
      <w:pgMar w:top="1418" w:right="1418" w:bottom="1418" w:left="1418" w:header="709" w:footer="709"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48EB" w:rsidRDefault="006E48EB" w:rsidP="00E34A2D">
      <w:r>
        <w:separator/>
      </w:r>
    </w:p>
  </w:endnote>
  <w:endnote w:type="continuationSeparator" w:id="0">
    <w:p w:rsidR="006E48EB" w:rsidRDefault="006E48EB" w:rsidP="00E34A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48EB" w:rsidRDefault="006E48EB" w:rsidP="00E34A2D">
      <w:r>
        <w:separator/>
      </w:r>
    </w:p>
  </w:footnote>
  <w:footnote w:type="continuationSeparator" w:id="0">
    <w:p w:rsidR="006E48EB" w:rsidRDefault="006E48EB" w:rsidP="00E34A2D">
      <w:r>
        <w:continuationSeparator/>
      </w:r>
    </w:p>
  </w:footnote>
  <w:footnote w:id="1">
    <w:p w:rsidR="00E34A2D" w:rsidRDefault="00E34A2D" w:rsidP="00E34A2D">
      <w:pPr>
        <w:pStyle w:val="Voetnoottekst"/>
      </w:pPr>
      <w:r>
        <w:rPr>
          <w:rStyle w:val="Voetnootmarkering"/>
        </w:rPr>
        <w:footnoteRef/>
      </w:r>
      <w:r w:rsidRPr="0015137B">
        <w:rPr>
          <w:rFonts w:ascii="Verdana" w:hAnsi="Verdana"/>
          <w:sz w:val="16"/>
        </w:rPr>
        <w:t>Wetgevingshandelingen moeten zijn vastgesteld volgens een zogeheten wetgevingsprocedure</w:t>
      </w:r>
      <w:r>
        <w:rPr>
          <w:rFonts w:ascii="Verdana" w:hAnsi="Verdana"/>
          <w:sz w:val="16"/>
        </w:rPr>
        <w:t>, zoals omschreven</w:t>
      </w:r>
      <w:r w:rsidRPr="0015137B">
        <w:rPr>
          <w:rFonts w:ascii="Verdana" w:hAnsi="Verdana"/>
          <w:sz w:val="16"/>
        </w:rPr>
        <w:t xml:space="preserve"> in de Europese verdragen. Het kan gaan om de gewone wetgevingsprocedure op grond van art. 294 EU-Werkingsverdrag (VWEU) of een bijzondere wetgevingsprocedure. In het verdragsartikel </w:t>
      </w:r>
      <w:r>
        <w:rPr>
          <w:rFonts w:ascii="Verdana" w:hAnsi="Verdana"/>
          <w:sz w:val="16"/>
        </w:rPr>
        <w:t xml:space="preserve">waarin de bevoegdheid om wetgeving op een bepaald terrein te maken </w:t>
      </w:r>
      <w:r w:rsidRPr="0015137B">
        <w:rPr>
          <w:rFonts w:ascii="Verdana" w:hAnsi="Verdana"/>
          <w:sz w:val="16"/>
        </w:rPr>
        <w:t>moet letterlijk het woord ‘wetgevingsprocedure’ staan.</w:t>
      </w:r>
    </w:p>
  </w:footnote>
  <w:footnote w:id="2">
    <w:p w:rsidR="00E34A2D" w:rsidRPr="00B45904" w:rsidRDefault="00E34A2D" w:rsidP="00E34A2D">
      <w:pPr>
        <w:pStyle w:val="Voetnoottekst"/>
        <w:rPr>
          <w:rFonts w:ascii="Verdana" w:hAnsi="Verdana"/>
          <w:sz w:val="16"/>
          <w:szCs w:val="16"/>
        </w:rPr>
      </w:pPr>
      <w:r w:rsidRPr="00B45904">
        <w:rPr>
          <w:rStyle w:val="Voetnootmarkering"/>
          <w:rFonts w:ascii="Verdana" w:hAnsi="Verdana"/>
          <w:sz w:val="16"/>
          <w:szCs w:val="16"/>
        </w:rPr>
        <w:footnoteRef/>
      </w:r>
      <w:r>
        <w:rPr>
          <w:rFonts w:ascii="Verdana" w:hAnsi="Verdana"/>
          <w:sz w:val="16"/>
          <w:szCs w:val="16"/>
        </w:rPr>
        <w:t xml:space="preserve"> </w:t>
      </w:r>
      <w:r w:rsidRPr="00B45904">
        <w:rPr>
          <w:rFonts w:ascii="Verdana" w:hAnsi="Verdana"/>
          <w:sz w:val="16"/>
          <w:szCs w:val="16"/>
        </w:rPr>
        <w:t>Krachtens de standaard EU</w:t>
      </w:r>
      <w:r>
        <w:rPr>
          <w:rFonts w:ascii="Verdana" w:hAnsi="Verdana"/>
          <w:sz w:val="16"/>
          <w:szCs w:val="16"/>
        </w:rPr>
        <w:t>-</w:t>
      </w:r>
      <w:r w:rsidRPr="00B45904">
        <w:rPr>
          <w:rFonts w:ascii="Verdana" w:hAnsi="Verdana"/>
          <w:sz w:val="16"/>
          <w:szCs w:val="16"/>
        </w:rPr>
        <w:t>informatieafspraken</w:t>
      </w:r>
      <w:r>
        <w:rPr>
          <w:rFonts w:ascii="Verdana" w:hAnsi="Verdana"/>
          <w:sz w:val="16"/>
          <w:szCs w:val="16"/>
        </w:rPr>
        <w:t xml:space="preserve"> </w:t>
      </w:r>
      <w:r w:rsidRPr="00B45904">
        <w:rPr>
          <w:rFonts w:ascii="Verdana" w:hAnsi="Verdana"/>
          <w:sz w:val="16"/>
          <w:szCs w:val="16"/>
        </w:rPr>
        <w:t xml:space="preserve">(Parlis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2"/>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37D8"/>
    <w:rsid w:val="00042518"/>
    <w:rsid w:val="0004740C"/>
    <w:rsid w:val="00057DE3"/>
    <w:rsid w:val="00066693"/>
    <w:rsid w:val="00076F95"/>
    <w:rsid w:val="000842C8"/>
    <w:rsid w:val="000A2B12"/>
    <w:rsid w:val="001717B9"/>
    <w:rsid w:val="00191F74"/>
    <w:rsid w:val="00200C1D"/>
    <w:rsid w:val="00223DF9"/>
    <w:rsid w:val="0022783E"/>
    <w:rsid w:val="00273611"/>
    <w:rsid w:val="002A1C59"/>
    <w:rsid w:val="002E6DA8"/>
    <w:rsid w:val="00316C98"/>
    <w:rsid w:val="003510B5"/>
    <w:rsid w:val="003B762C"/>
    <w:rsid w:val="003E0BCD"/>
    <w:rsid w:val="00420609"/>
    <w:rsid w:val="00435D03"/>
    <w:rsid w:val="00473F02"/>
    <w:rsid w:val="004C5A17"/>
    <w:rsid w:val="004C7A6A"/>
    <w:rsid w:val="004E4562"/>
    <w:rsid w:val="00505AFF"/>
    <w:rsid w:val="00507AC9"/>
    <w:rsid w:val="00545D82"/>
    <w:rsid w:val="00546B1D"/>
    <w:rsid w:val="005B7672"/>
    <w:rsid w:val="005E30E3"/>
    <w:rsid w:val="00640A4E"/>
    <w:rsid w:val="006605C6"/>
    <w:rsid w:val="00666395"/>
    <w:rsid w:val="006732E8"/>
    <w:rsid w:val="00685915"/>
    <w:rsid w:val="00686770"/>
    <w:rsid w:val="00694BCA"/>
    <w:rsid w:val="006A0D87"/>
    <w:rsid w:val="006A32F6"/>
    <w:rsid w:val="006D4A88"/>
    <w:rsid w:val="006E48EB"/>
    <w:rsid w:val="00707B33"/>
    <w:rsid w:val="00726889"/>
    <w:rsid w:val="00736970"/>
    <w:rsid w:val="0074305F"/>
    <w:rsid w:val="007529D4"/>
    <w:rsid w:val="0076598A"/>
    <w:rsid w:val="00796A54"/>
    <w:rsid w:val="007B3194"/>
    <w:rsid w:val="007B34BC"/>
    <w:rsid w:val="007D40B9"/>
    <w:rsid w:val="007E3D88"/>
    <w:rsid w:val="00811362"/>
    <w:rsid w:val="008309FF"/>
    <w:rsid w:val="008E0742"/>
    <w:rsid w:val="008E28F7"/>
    <w:rsid w:val="009160FA"/>
    <w:rsid w:val="00916D21"/>
    <w:rsid w:val="00917FCF"/>
    <w:rsid w:val="00931F2B"/>
    <w:rsid w:val="009419E4"/>
    <w:rsid w:val="009464F8"/>
    <w:rsid w:val="00964C2E"/>
    <w:rsid w:val="00974103"/>
    <w:rsid w:val="009A0FC6"/>
    <w:rsid w:val="009A4778"/>
    <w:rsid w:val="009C388A"/>
    <w:rsid w:val="009E3021"/>
    <w:rsid w:val="00A137D8"/>
    <w:rsid w:val="00A3314F"/>
    <w:rsid w:val="00A54D1F"/>
    <w:rsid w:val="00A95F68"/>
    <w:rsid w:val="00AC7F3C"/>
    <w:rsid w:val="00AD4E0E"/>
    <w:rsid w:val="00AE5D29"/>
    <w:rsid w:val="00AF3F1D"/>
    <w:rsid w:val="00B06716"/>
    <w:rsid w:val="00B31027"/>
    <w:rsid w:val="00B35E56"/>
    <w:rsid w:val="00B464EB"/>
    <w:rsid w:val="00BB0A70"/>
    <w:rsid w:val="00BC696D"/>
    <w:rsid w:val="00C00CFA"/>
    <w:rsid w:val="00C40D4F"/>
    <w:rsid w:val="00C70943"/>
    <w:rsid w:val="00CD2557"/>
    <w:rsid w:val="00D004FC"/>
    <w:rsid w:val="00D51C73"/>
    <w:rsid w:val="00D52CF9"/>
    <w:rsid w:val="00D729AB"/>
    <w:rsid w:val="00D775CA"/>
    <w:rsid w:val="00D96C24"/>
    <w:rsid w:val="00DE2C83"/>
    <w:rsid w:val="00E34A2D"/>
    <w:rsid w:val="00E52F23"/>
    <w:rsid w:val="00E60E54"/>
    <w:rsid w:val="00E72B18"/>
    <w:rsid w:val="00EA2272"/>
    <w:rsid w:val="00ED40CC"/>
    <w:rsid w:val="00F3194C"/>
    <w:rsid w:val="00F552B9"/>
    <w:rsid w:val="00F66BD3"/>
    <w:rsid w:val="00F74ED7"/>
    <w:rsid w:val="00FA15B5"/>
    <w:rsid w:val="00FA27D6"/>
    <w:rsid w:val="00FC67DB"/>
    <w:rsid w:val="00FE39EB"/>
    <w:rsid w:val="00FE6BE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A137D8"/>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E34A2D"/>
    <w:rPr>
      <w:color w:val="0000FF"/>
      <w:u w:val="single"/>
    </w:rPr>
  </w:style>
  <w:style w:type="character" w:styleId="Zwaar">
    <w:name w:val="Strong"/>
    <w:basedOn w:val="Standaardalinea-lettertype"/>
    <w:uiPriority w:val="22"/>
    <w:qFormat/>
    <w:rsid w:val="00E34A2D"/>
    <w:rPr>
      <w:b/>
      <w:bCs/>
    </w:rPr>
  </w:style>
  <w:style w:type="paragraph" w:styleId="Voetnoottekst">
    <w:name w:val="footnote text"/>
    <w:basedOn w:val="Standaard"/>
    <w:link w:val="VoetnoottekstChar"/>
    <w:rsid w:val="00E34A2D"/>
    <w:rPr>
      <w:sz w:val="20"/>
      <w:szCs w:val="20"/>
    </w:rPr>
  </w:style>
  <w:style w:type="character" w:customStyle="1" w:styleId="VoetnoottekstChar">
    <w:name w:val="Voetnoottekst Char"/>
    <w:basedOn w:val="Standaardalinea-lettertype"/>
    <w:link w:val="Voetnoottekst"/>
    <w:rsid w:val="00E34A2D"/>
  </w:style>
  <w:style w:type="table" w:styleId="Tabelraster">
    <w:name w:val="Table Grid"/>
    <w:basedOn w:val="Standaardtabel"/>
    <w:rsid w:val="00E34A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E34A2D"/>
    <w:pPr>
      <w:ind w:left="720"/>
    </w:pPr>
    <w:rPr>
      <w:rFonts w:eastAsiaTheme="minorHAnsi"/>
    </w:rPr>
  </w:style>
  <w:style w:type="character" w:styleId="Voetnootmarkering">
    <w:name w:val="footnote reference"/>
    <w:basedOn w:val="Standaardalinea-lettertype"/>
    <w:uiPriority w:val="99"/>
    <w:rsid w:val="00E34A2D"/>
    <w:rPr>
      <w:vertAlign w:val="superscript"/>
    </w:rPr>
  </w:style>
  <w:style w:type="character" w:styleId="GevolgdeHyperlink">
    <w:name w:val="FollowedHyperlink"/>
    <w:basedOn w:val="Standaardalinea-lettertype"/>
    <w:rsid w:val="002E6DA8"/>
    <w:rPr>
      <w:color w:val="800080" w:themeColor="followedHyperlink"/>
      <w:u w:val="single"/>
    </w:rPr>
  </w:style>
  <w:style w:type="paragraph" w:styleId="Ballontekst">
    <w:name w:val="Balloon Text"/>
    <w:basedOn w:val="Standaard"/>
    <w:link w:val="BallontekstChar"/>
    <w:rsid w:val="00507AC9"/>
    <w:rPr>
      <w:rFonts w:ascii="Tahoma" w:hAnsi="Tahoma" w:cs="Tahoma"/>
      <w:sz w:val="16"/>
      <w:szCs w:val="16"/>
    </w:rPr>
  </w:style>
  <w:style w:type="character" w:customStyle="1" w:styleId="BallontekstChar">
    <w:name w:val="Ballontekst Char"/>
    <w:basedOn w:val="Standaardalinea-lettertype"/>
    <w:link w:val="Ballontekst"/>
    <w:rsid w:val="00507AC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A137D8"/>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E34A2D"/>
    <w:rPr>
      <w:color w:val="0000FF"/>
      <w:u w:val="single"/>
    </w:rPr>
  </w:style>
  <w:style w:type="character" w:styleId="Zwaar">
    <w:name w:val="Strong"/>
    <w:basedOn w:val="Standaardalinea-lettertype"/>
    <w:uiPriority w:val="22"/>
    <w:qFormat/>
    <w:rsid w:val="00E34A2D"/>
    <w:rPr>
      <w:b/>
      <w:bCs/>
    </w:rPr>
  </w:style>
  <w:style w:type="paragraph" w:styleId="Voetnoottekst">
    <w:name w:val="footnote text"/>
    <w:basedOn w:val="Standaard"/>
    <w:link w:val="VoetnoottekstChar"/>
    <w:rsid w:val="00E34A2D"/>
    <w:rPr>
      <w:sz w:val="20"/>
      <w:szCs w:val="20"/>
    </w:rPr>
  </w:style>
  <w:style w:type="character" w:customStyle="1" w:styleId="VoetnoottekstChar">
    <w:name w:val="Voetnoottekst Char"/>
    <w:basedOn w:val="Standaardalinea-lettertype"/>
    <w:link w:val="Voetnoottekst"/>
    <w:rsid w:val="00E34A2D"/>
  </w:style>
  <w:style w:type="table" w:styleId="Tabelraster">
    <w:name w:val="Table Grid"/>
    <w:basedOn w:val="Standaardtabel"/>
    <w:rsid w:val="00E34A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E34A2D"/>
    <w:pPr>
      <w:ind w:left="720"/>
    </w:pPr>
    <w:rPr>
      <w:rFonts w:eastAsiaTheme="minorHAnsi"/>
    </w:rPr>
  </w:style>
  <w:style w:type="character" w:styleId="Voetnootmarkering">
    <w:name w:val="footnote reference"/>
    <w:basedOn w:val="Standaardalinea-lettertype"/>
    <w:uiPriority w:val="99"/>
    <w:rsid w:val="00E34A2D"/>
    <w:rPr>
      <w:vertAlign w:val="superscript"/>
    </w:rPr>
  </w:style>
  <w:style w:type="character" w:styleId="GevolgdeHyperlink">
    <w:name w:val="FollowedHyperlink"/>
    <w:basedOn w:val="Standaardalinea-lettertype"/>
    <w:rsid w:val="002E6DA8"/>
    <w:rPr>
      <w:color w:val="800080" w:themeColor="followedHyperlink"/>
      <w:u w:val="single"/>
    </w:rPr>
  </w:style>
  <w:style w:type="paragraph" w:styleId="Ballontekst">
    <w:name w:val="Balloon Text"/>
    <w:basedOn w:val="Standaard"/>
    <w:link w:val="BallontekstChar"/>
    <w:rsid w:val="00507AC9"/>
    <w:rPr>
      <w:rFonts w:ascii="Tahoma" w:hAnsi="Tahoma" w:cs="Tahoma"/>
      <w:sz w:val="16"/>
      <w:szCs w:val="16"/>
    </w:rPr>
  </w:style>
  <w:style w:type="character" w:customStyle="1" w:styleId="BallontekstChar">
    <w:name w:val="Ballontekst Char"/>
    <w:basedOn w:val="Standaardalinea-lettertype"/>
    <w:link w:val="Ballontekst"/>
    <w:rsid w:val="00507AC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53823">
      <w:bodyDiv w:val="1"/>
      <w:marLeft w:val="0"/>
      <w:marRight w:val="0"/>
      <w:marTop w:val="0"/>
      <w:marBottom w:val="0"/>
      <w:divBdr>
        <w:top w:val="none" w:sz="0" w:space="0" w:color="auto"/>
        <w:left w:val="none" w:sz="0" w:space="0" w:color="auto"/>
        <w:bottom w:val="none" w:sz="0" w:space="0" w:color="auto"/>
        <w:right w:val="none" w:sz="0" w:space="0" w:color="auto"/>
      </w:divBdr>
    </w:div>
    <w:div w:id="35081286">
      <w:bodyDiv w:val="1"/>
      <w:marLeft w:val="0"/>
      <w:marRight w:val="0"/>
      <w:marTop w:val="0"/>
      <w:marBottom w:val="0"/>
      <w:divBdr>
        <w:top w:val="none" w:sz="0" w:space="0" w:color="auto"/>
        <w:left w:val="none" w:sz="0" w:space="0" w:color="auto"/>
        <w:bottom w:val="none" w:sz="0" w:space="0" w:color="auto"/>
        <w:right w:val="none" w:sz="0" w:space="0" w:color="auto"/>
      </w:divBdr>
    </w:div>
    <w:div w:id="103043704">
      <w:bodyDiv w:val="1"/>
      <w:marLeft w:val="0"/>
      <w:marRight w:val="0"/>
      <w:marTop w:val="0"/>
      <w:marBottom w:val="0"/>
      <w:divBdr>
        <w:top w:val="none" w:sz="0" w:space="0" w:color="auto"/>
        <w:left w:val="none" w:sz="0" w:space="0" w:color="auto"/>
        <w:bottom w:val="none" w:sz="0" w:space="0" w:color="auto"/>
        <w:right w:val="none" w:sz="0" w:space="0" w:color="auto"/>
      </w:divBdr>
    </w:div>
    <w:div w:id="141822692">
      <w:bodyDiv w:val="1"/>
      <w:marLeft w:val="0"/>
      <w:marRight w:val="0"/>
      <w:marTop w:val="0"/>
      <w:marBottom w:val="0"/>
      <w:divBdr>
        <w:top w:val="none" w:sz="0" w:space="0" w:color="auto"/>
        <w:left w:val="none" w:sz="0" w:space="0" w:color="auto"/>
        <w:bottom w:val="none" w:sz="0" w:space="0" w:color="auto"/>
        <w:right w:val="none" w:sz="0" w:space="0" w:color="auto"/>
      </w:divBdr>
    </w:div>
    <w:div w:id="150489757">
      <w:bodyDiv w:val="1"/>
      <w:marLeft w:val="0"/>
      <w:marRight w:val="0"/>
      <w:marTop w:val="0"/>
      <w:marBottom w:val="0"/>
      <w:divBdr>
        <w:top w:val="none" w:sz="0" w:space="0" w:color="auto"/>
        <w:left w:val="none" w:sz="0" w:space="0" w:color="auto"/>
        <w:bottom w:val="none" w:sz="0" w:space="0" w:color="auto"/>
        <w:right w:val="none" w:sz="0" w:space="0" w:color="auto"/>
      </w:divBdr>
    </w:div>
    <w:div w:id="170415041">
      <w:bodyDiv w:val="1"/>
      <w:marLeft w:val="0"/>
      <w:marRight w:val="0"/>
      <w:marTop w:val="0"/>
      <w:marBottom w:val="0"/>
      <w:divBdr>
        <w:top w:val="none" w:sz="0" w:space="0" w:color="auto"/>
        <w:left w:val="none" w:sz="0" w:space="0" w:color="auto"/>
        <w:bottom w:val="none" w:sz="0" w:space="0" w:color="auto"/>
        <w:right w:val="none" w:sz="0" w:space="0" w:color="auto"/>
      </w:divBdr>
    </w:div>
    <w:div w:id="324553566">
      <w:bodyDiv w:val="1"/>
      <w:marLeft w:val="0"/>
      <w:marRight w:val="0"/>
      <w:marTop w:val="0"/>
      <w:marBottom w:val="0"/>
      <w:divBdr>
        <w:top w:val="none" w:sz="0" w:space="0" w:color="auto"/>
        <w:left w:val="none" w:sz="0" w:space="0" w:color="auto"/>
        <w:bottom w:val="none" w:sz="0" w:space="0" w:color="auto"/>
        <w:right w:val="none" w:sz="0" w:space="0" w:color="auto"/>
      </w:divBdr>
    </w:div>
    <w:div w:id="352994674">
      <w:bodyDiv w:val="1"/>
      <w:marLeft w:val="0"/>
      <w:marRight w:val="0"/>
      <w:marTop w:val="0"/>
      <w:marBottom w:val="0"/>
      <w:divBdr>
        <w:top w:val="none" w:sz="0" w:space="0" w:color="auto"/>
        <w:left w:val="none" w:sz="0" w:space="0" w:color="auto"/>
        <w:bottom w:val="none" w:sz="0" w:space="0" w:color="auto"/>
        <w:right w:val="none" w:sz="0" w:space="0" w:color="auto"/>
      </w:divBdr>
    </w:div>
    <w:div w:id="396169237">
      <w:bodyDiv w:val="1"/>
      <w:marLeft w:val="0"/>
      <w:marRight w:val="0"/>
      <w:marTop w:val="0"/>
      <w:marBottom w:val="0"/>
      <w:divBdr>
        <w:top w:val="none" w:sz="0" w:space="0" w:color="auto"/>
        <w:left w:val="none" w:sz="0" w:space="0" w:color="auto"/>
        <w:bottom w:val="none" w:sz="0" w:space="0" w:color="auto"/>
        <w:right w:val="none" w:sz="0" w:space="0" w:color="auto"/>
      </w:divBdr>
    </w:div>
    <w:div w:id="415445083">
      <w:bodyDiv w:val="1"/>
      <w:marLeft w:val="0"/>
      <w:marRight w:val="0"/>
      <w:marTop w:val="0"/>
      <w:marBottom w:val="0"/>
      <w:divBdr>
        <w:top w:val="none" w:sz="0" w:space="0" w:color="auto"/>
        <w:left w:val="none" w:sz="0" w:space="0" w:color="auto"/>
        <w:bottom w:val="none" w:sz="0" w:space="0" w:color="auto"/>
        <w:right w:val="none" w:sz="0" w:space="0" w:color="auto"/>
      </w:divBdr>
    </w:div>
    <w:div w:id="416168891">
      <w:bodyDiv w:val="1"/>
      <w:marLeft w:val="0"/>
      <w:marRight w:val="0"/>
      <w:marTop w:val="0"/>
      <w:marBottom w:val="0"/>
      <w:divBdr>
        <w:top w:val="none" w:sz="0" w:space="0" w:color="auto"/>
        <w:left w:val="none" w:sz="0" w:space="0" w:color="auto"/>
        <w:bottom w:val="none" w:sz="0" w:space="0" w:color="auto"/>
        <w:right w:val="none" w:sz="0" w:space="0" w:color="auto"/>
      </w:divBdr>
    </w:div>
    <w:div w:id="536940359">
      <w:bodyDiv w:val="1"/>
      <w:marLeft w:val="0"/>
      <w:marRight w:val="0"/>
      <w:marTop w:val="0"/>
      <w:marBottom w:val="0"/>
      <w:divBdr>
        <w:top w:val="none" w:sz="0" w:space="0" w:color="auto"/>
        <w:left w:val="none" w:sz="0" w:space="0" w:color="auto"/>
        <w:bottom w:val="none" w:sz="0" w:space="0" w:color="auto"/>
        <w:right w:val="none" w:sz="0" w:space="0" w:color="auto"/>
      </w:divBdr>
    </w:div>
    <w:div w:id="664210764">
      <w:bodyDiv w:val="1"/>
      <w:marLeft w:val="0"/>
      <w:marRight w:val="0"/>
      <w:marTop w:val="0"/>
      <w:marBottom w:val="0"/>
      <w:divBdr>
        <w:top w:val="none" w:sz="0" w:space="0" w:color="auto"/>
        <w:left w:val="none" w:sz="0" w:space="0" w:color="auto"/>
        <w:bottom w:val="none" w:sz="0" w:space="0" w:color="auto"/>
        <w:right w:val="none" w:sz="0" w:space="0" w:color="auto"/>
      </w:divBdr>
    </w:div>
    <w:div w:id="685669778">
      <w:bodyDiv w:val="1"/>
      <w:marLeft w:val="0"/>
      <w:marRight w:val="0"/>
      <w:marTop w:val="0"/>
      <w:marBottom w:val="0"/>
      <w:divBdr>
        <w:top w:val="none" w:sz="0" w:space="0" w:color="auto"/>
        <w:left w:val="none" w:sz="0" w:space="0" w:color="auto"/>
        <w:bottom w:val="none" w:sz="0" w:space="0" w:color="auto"/>
        <w:right w:val="none" w:sz="0" w:space="0" w:color="auto"/>
      </w:divBdr>
    </w:div>
    <w:div w:id="785856291">
      <w:bodyDiv w:val="1"/>
      <w:marLeft w:val="0"/>
      <w:marRight w:val="0"/>
      <w:marTop w:val="0"/>
      <w:marBottom w:val="0"/>
      <w:divBdr>
        <w:top w:val="none" w:sz="0" w:space="0" w:color="auto"/>
        <w:left w:val="none" w:sz="0" w:space="0" w:color="auto"/>
        <w:bottom w:val="none" w:sz="0" w:space="0" w:color="auto"/>
        <w:right w:val="none" w:sz="0" w:space="0" w:color="auto"/>
      </w:divBdr>
    </w:div>
    <w:div w:id="799617231">
      <w:bodyDiv w:val="1"/>
      <w:marLeft w:val="0"/>
      <w:marRight w:val="0"/>
      <w:marTop w:val="0"/>
      <w:marBottom w:val="0"/>
      <w:divBdr>
        <w:top w:val="none" w:sz="0" w:space="0" w:color="auto"/>
        <w:left w:val="none" w:sz="0" w:space="0" w:color="auto"/>
        <w:bottom w:val="none" w:sz="0" w:space="0" w:color="auto"/>
        <w:right w:val="none" w:sz="0" w:space="0" w:color="auto"/>
      </w:divBdr>
    </w:div>
    <w:div w:id="895045382">
      <w:bodyDiv w:val="1"/>
      <w:marLeft w:val="0"/>
      <w:marRight w:val="0"/>
      <w:marTop w:val="0"/>
      <w:marBottom w:val="0"/>
      <w:divBdr>
        <w:top w:val="none" w:sz="0" w:space="0" w:color="auto"/>
        <w:left w:val="none" w:sz="0" w:space="0" w:color="auto"/>
        <w:bottom w:val="none" w:sz="0" w:space="0" w:color="auto"/>
        <w:right w:val="none" w:sz="0" w:space="0" w:color="auto"/>
      </w:divBdr>
    </w:div>
    <w:div w:id="919410251">
      <w:bodyDiv w:val="1"/>
      <w:marLeft w:val="0"/>
      <w:marRight w:val="0"/>
      <w:marTop w:val="0"/>
      <w:marBottom w:val="0"/>
      <w:divBdr>
        <w:top w:val="none" w:sz="0" w:space="0" w:color="auto"/>
        <w:left w:val="none" w:sz="0" w:space="0" w:color="auto"/>
        <w:bottom w:val="none" w:sz="0" w:space="0" w:color="auto"/>
        <w:right w:val="none" w:sz="0" w:space="0" w:color="auto"/>
      </w:divBdr>
    </w:div>
    <w:div w:id="941571239">
      <w:bodyDiv w:val="1"/>
      <w:marLeft w:val="0"/>
      <w:marRight w:val="0"/>
      <w:marTop w:val="0"/>
      <w:marBottom w:val="0"/>
      <w:divBdr>
        <w:top w:val="none" w:sz="0" w:space="0" w:color="auto"/>
        <w:left w:val="none" w:sz="0" w:space="0" w:color="auto"/>
        <w:bottom w:val="none" w:sz="0" w:space="0" w:color="auto"/>
        <w:right w:val="none" w:sz="0" w:space="0" w:color="auto"/>
      </w:divBdr>
    </w:div>
    <w:div w:id="1161043507">
      <w:bodyDiv w:val="1"/>
      <w:marLeft w:val="0"/>
      <w:marRight w:val="0"/>
      <w:marTop w:val="0"/>
      <w:marBottom w:val="0"/>
      <w:divBdr>
        <w:top w:val="none" w:sz="0" w:space="0" w:color="auto"/>
        <w:left w:val="none" w:sz="0" w:space="0" w:color="auto"/>
        <w:bottom w:val="none" w:sz="0" w:space="0" w:color="auto"/>
        <w:right w:val="none" w:sz="0" w:space="0" w:color="auto"/>
      </w:divBdr>
    </w:div>
    <w:div w:id="1295482035">
      <w:bodyDiv w:val="1"/>
      <w:marLeft w:val="0"/>
      <w:marRight w:val="0"/>
      <w:marTop w:val="0"/>
      <w:marBottom w:val="0"/>
      <w:divBdr>
        <w:top w:val="none" w:sz="0" w:space="0" w:color="auto"/>
        <w:left w:val="none" w:sz="0" w:space="0" w:color="auto"/>
        <w:bottom w:val="none" w:sz="0" w:space="0" w:color="auto"/>
        <w:right w:val="none" w:sz="0" w:space="0" w:color="auto"/>
      </w:divBdr>
    </w:div>
    <w:div w:id="1301497839">
      <w:bodyDiv w:val="1"/>
      <w:marLeft w:val="0"/>
      <w:marRight w:val="0"/>
      <w:marTop w:val="0"/>
      <w:marBottom w:val="0"/>
      <w:divBdr>
        <w:top w:val="none" w:sz="0" w:space="0" w:color="auto"/>
        <w:left w:val="none" w:sz="0" w:space="0" w:color="auto"/>
        <w:bottom w:val="none" w:sz="0" w:space="0" w:color="auto"/>
        <w:right w:val="none" w:sz="0" w:space="0" w:color="auto"/>
      </w:divBdr>
    </w:div>
    <w:div w:id="1350061391">
      <w:bodyDiv w:val="1"/>
      <w:marLeft w:val="0"/>
      <w:marRight w:val="0"/>
      <w:marTop w:val="0"/>
      <w:marBottom w:val="0"/>
      <w:divBdr>
        <w:top w:val="none" w:sz="0" w:space="0" w:color="auto"/>
        <w:left w:val="none" w:sz="0" w:space="0" w:color="auto"/>
        <w:bottom w:val="none" w:sz="0" w:space="0" w:color="auto"/>
        <w:right w:val="none" w:sz="0" w:space="0" w:color="auto"/>
      </w:divBdr>
    </w:div>
    <w:div w:id="1354454684">
      <w:bodyDiv w:val="1"/>
      <w:marLeft w:val="0"/>
      <w:marRight w:val="0"/>
      <w:marTop w:val="0"/>
      <w:marBottom w:val="0"/>
      <w:divBdr>
        <w:top w:val="none" w:sz="0" w:space="0" w:color="auto"/>
        <w:left w:val="none" w:sz="0" w:space="0" w:color="auto"/>
        <w:bottom w:val="none" w:sz="0" w:space="0" w:color="auto"/>
        <w:right w:val="none" w:sz="0" w:space="0" w:color="auto"/>
      </w:divBdr>
    </w:div>
    <w:div w:id="1369647482">
      <w:bodyDiv w:val="1"/>
      <w:marLeft w:val="0"/>
      <w:marRight w:val="0"/>
      <w:marTop w:val="0"/>
      <w:marBottom w:val="0"/>
      <w:divBdr>
        <w:top w:val="none" w:sz="0" w:space="0" w:color="auto"/>
        <w:left w:val="none" w:sz="0" w:space="0" w:color="auto"/>
        <w:bottom w:val="none" w:sz="0" w:space="0" w:color="auto"/>
        <w:right w:val="none" w:sz="0" w:space="0" w:color="auto"/>
      </w:divBdr>
    </w:div>
    <w:div w:id="1394157312">
      <w:bodyDiv w:val="1"/>
      <w:marLeft w:val="0"/>
      <w:marRight w:val="0"/>
      <w:marTop w:val="0"/>
      <w:marBottom w:val="0"/>
      <w:divBdr>
        <w:top w:val="none" w:sz="0" w:space="0" w:color="auto"/>
        <w:left w:val="none" w:sz="0" w:space="0" w:color="auto"/>
        <w:bottom w:val="none" w:sz="0" w:space="0" w:color="auto"/>
        <w:right w:val="none" w:sz="0" w:space="0" w:color="auto"/>
      </w:divBdr>
    </w:div>
    <w:div w:id="1461267108">
      <w:bodyDiv w:val="1"/>
      <w:marLeft w:val="0"/>
      <w:marRight w:val="0"/>
      <w:marTop w:val="0"/>
      <w:marBottom w:val="0"/>
      <w:divBdr>
        <w:top w:val="none" w:sz="0" w:space="0" w:color="auto"/>
        <w:left w:val="none" w:sz="0" w:space="0" w:color="auto"/>
        <w:bottom w:val="none" w:sz="0" w:space="0" w:color="auto"/>
        <w:right w:val="none" w:sz="0" w:space="0" w:color="auto"/>
      </w:divBdr>
    </w:div>
    <w:div w:id="1492525011">
      <w:bodyDiv w:val="1"/>
      <w:marLeft w:val="0"/>
      <w:marRight w:val="0"/>
      <w:marTop w:val="0"/>
      <w:marBottom w:val="0"/>
      <w:divBdr>
        <w:top w:val="none" w:sz="0" w:space="0" w:color="auto"/>
        <w:left w:val="none" w:sz="0" w:space="0" w:color="auto"/>
        <w:bottom w:val="none" w:sz="0" w:space="0" w:color="auto"/>
        <w:right w:val="none" w:sz="0" w:space="0" w:color="auto"/>
      </w:divBdr>
    </w:div>
    <w:div w:id="1506019599">
      <w:bodyDiv w:val="1"/>
      <w:marLeft w:val="0"/>
      <w:marRight w:val="0"/>
      <w:marTop w:val="0"/>
      <w:marBottom w:val="0"/>
      <w:divBdr>
        <w:top w:val="none" w:sz="0" w:space="0" w:color="auto"/>
        <w:left w:val="none" w:sz="0" w:space="0" w:color="auto"/>
        <w:bottom w:val="none" w:sz="0" w:space="0" w:color="auto"/>
        <w:right w:val="none" w:sz="0" w:space="0" w:color="auto"/>
      </w:divBdr>
    </w:div>
    <w:div w:id="1541434167">
      <w:bodyDiv w:val="1"/>
      <w:marLeft w:val="0"/>
      <w:marRight w:val="0"/>
      <w:marTop w:val="0"/>
      <w:marBottom w:val="0"/>
      <w:divBdr>
        <w:top w:val="none" w:sz="0" w:space="0" w:color="auto"/>
        <w:left w:val="none" w:sz="0" w:space="0" w:color="auto"/>
        <w:bottom w:val="none" w:sz="0" w:space="0" w:color="auto"/>
        <w:right w:val="none" w:sz="0" w:space="0" w:color="auto"/>
      </w:divBdr>
    </w:div>
    <w:div w:id="1581326034">
      <w:bodyDiv w:val="1"/>
      <w:marLeft w:val="0"/>
      <w:marRight w:val="0"/>
      <w:marTop w:val="0"/>
      <w:marBottom w:val="0"/>
      <w:divBdr>
        <w:top w:val="none" w:sz="0" w:space="0" w:color="auto"/>
        <w:left w:val="none" w:sz="0" w:space="0" w:color="auto"/>
        <w:bottom w:val="none" w:sz="0" w:space="0" w:color="auto"/>
        <w:right w:val="none" w:sz="0" w:space="0" w:color="auto"/>
      </w:divBdr>
    </w:div>
    <w:div w:id="1646737133">
      <w:bodyDiv w:val="1"/>
      <w:marLeft w:val="0"/>
      <w:marRight w:val="0"/>
      <w:marTop w:val="0"/>
      <w:marBottom w:val="0"/>
      <w:divBdr>
        <w:top w:val="none" w:sz="0" w:space="0" w:color="auto"/>
        <w:left w:val="none" w:sz="0" w:space="0" w:color="auto"/>
        <w:bottom w:val="none" w:sz="0" w:space="0" w:color="auto"/>
        <w:right w:val="none" w:sz="0" w:space="0" w:color="auto"/>
      </w:divBdr>
    </w:div>
    <w:div w:id="1760757072">
      <w:bodyDiv w:val="1"/>
      <w:marLeft w:val="0"/>
      <w:marRight w:val="0"/>
      <w:marTop w:val="0"/>
      <w:marBottom w:val="0"/>
      <w:divBdr>
        <w:top w:val="none" w:sz="0" w:space="0" w:color="auto"/>
        <w:left w:val="none" w:sz="0" w:space="0" w:color="auto"/>
        <w:bottom w:val="none" w:sz="0" w:space="0" w:color="auto"/>
        <w:right w:val="none" w:sz="0" w:space="0" w:color="auto"/>
      </w:divBdr>
    </w:div>
    <w:div w:id="1776747747">
      <w:bodyDiv w:val="1"/>
      <w:marLeft w:val="0"/>
      <w:marRight w:val="0"/>
      <w:marTop w:val="0"/>
      <w:marBottom w:val="0"/>
      <w:divBdr>
        <w:top w:val="none" w:sz="0" w:space="0" w:color="auto"/>
        <w:left w:val="none" w:sz="0" w:space="0" w:color="auto"/>
        <w:bottom w:val="none" w:sz="0" w:space="0" w:color="auto"/>
        <w:right w:val="none" w:sz="0" w:space="0" w:color="auto"/>
      </w:divBdr>
    </w:div>
    <w:div w:id="1795634400">
      <w:bodyDiv w:val="1"/>
      <w:marLeft w:val="0"/>
      <w:marRight w:val="0"/>
      <w:marTop w:val="0"/>
      <w:marBottom w:val="0"/>
      <w:divBdr>
        <w:top w:val="none" w:sz="0" w:space="0" w:color="auto"/>
        <w:left w:val="none" w:sz="0" w:space="0" w:color="auto"/>
        <w:bottom w:val="none" w:sz="0" w:space="0" w:color="auto"/>
        <w:right w:val="none" w:sz="0" w:space="0" w:color="auto"/>
      </w:divBdr>
    </w:div>
    <w:div w:id="1826437207">
      <w:bodyDiv w:val="1"/>
      <w:marLeft w:val="0"/>
      <w:marRight w:val="0"/>
      <w:marTop w:val="0"/>
      <w:marBottom w:val="0"/>
      <w:divBdr>
        <w:top w:val="none" w:sz="0" w:space="0" w:color="auto"/>
        <w:left w:val="none" w:sz="0" w:space="0" w:color="auto"/>
        <w:bottom w:val="none" w:sz="0" w:space="0" w:color="auto"/>
        <w:right w:val="none" w:sz="0" w:space="0" w:color="auto"/>
      </w:divBdr>
    </w:div>
    <w:div w:id="1885484721">
      <w:bodyDiv w:val="1"/>
      <w:marLeft w:val="0"/>
      <w:marRight w:val="0"/>
      <w:marTop w:val="0"/>
      <w:marBottom w:val="0"/>
      <w:divBdr>
        <w:top w:val="none" w:sz="0" w:space="0" w:color="auto"/>
        <w:left w:val="none" w:sz="0" w:space="0" w:color="auto"/>
        <w:bottom w:val="none" w:sz="0" w:space="0" w:color="auto"/>
        <w:right w:val="none" w:sz="0" w:space="0" w:color="auto"/>
      </w:divBdr>
    </w:div>
    <w:div w:id="1913848959">
      <w:bodyDiv w:val="1"/>
      <w:marLeft w:val="0"/>
      <w:marRight w:val="0"/>
      <w:marTop w:val="0"/>
      <w:marBottom w:val="0"/>
      <w:divBdr>
        <w:top w:val="none" w:sz="0" w:space="0" w:color="auto"/>
        <w:left w:val="none" w:sz="0" w:space="0" w:color="auto"/>
        <w:bottom w:val="none" w:sz="0" w:space="0" w:color="auto"/>
        <w:right w:val="none" w:sz="0" w:space="0" w:color="auto"/>
      </w:divBdr>
    </w:div>
    <w:div w:id="1962346177">
      <w:bodyDiv w:val="1"/>
      <w:marLeft w:val="0"/>
      <w:marRight w:val="0"/>
      <w:marTop w:val="0"/>
      <w:marBottom w:val="0"/>
      <w:divBdr>
        <w:top w:val="none" w:sz="0" w:space="0" w:color="auto"/>
        <w:left w:val="none" w:sz="0" w:space="0" w:color="auto"/>
        <w:bottom w:val="none" w:sz="0" w:space="0" w:color="auto"/>
        <w:right w:val="none" w:sz="0" w:space="0" w:color="auto"/>
      </w:divBdr>
    </w:div>
    <w:div w:id="2110394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yperlink" Target="https://ec.europa.eu/transport/modes/maritime/consultations/2017-emsa-evaluation_en" TargetMode="External" Id="rId13" /><Relationship Type="http://schemas.openxmlformats.org/officeDocument/2006/relationships/fontTable" Target="fontTable.xml" Id="rId1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hyperlink" Target="https://ec.europa.eu/info/consultations/public-consultation-support-evaluation-european-environment-agency-and-its-european-environment-information-and-observation-network-0_nl" TargetMode="External" Id="rId12" /><Relationship Type="http://schemas.openxmlformats.org/officeDocument/2006/relationships/hyperlink" Target="http://ec.europa.eu/yourvoice/consultations/index_nl.htm" TargetMode="External" Id="rId17" /><Relationship Type="http://schemas.openxmlformats.org/officeDocument/2006/relationships/numbering" Target="numbering.xml" Id="rId2"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6" /><Relationship Type="http://schemas.openxmlformats.org/officeDocument/2006/relationships/webSettings" Target="webSettings.xml" Id="rId6" /><Relationship Type="http://schemas.openxmlformats.org/officeDocument/2006/relationships/hyperlink" Target="https://ec.europa.eu/transport/content/evaluation-regulation-9962010-investigating-aviation-accidents-eu_en" TargetMode="External" Id="rId11" /><Relationship Type="http://schemas.openxmlformats.org/officeDocument/2006/relationships/settings" Target="settings.xml" Id="rId5" /><Relationship Type="http://schemas.openxmlformats.org/officeDocument/2006/relationships/hyperlink" Target="https://ec.europa.eu/info/consultations/public-consultation-revision-vehicle-general-safety-regulation-and-pedestrian-safety-regulation_nl" TargetMode="External" Id="rId15" /><Relationship Type="http://schemas.openxmlformats.org/officeDocument/2006/relationships/hyperlink" Target="http://ec.europa.eu/info/consultations/public-consultation-implementation-atlantic-action-plan_nl" TargetMode="External" Id="rId10" /><Relationship Type="http://schemas.openxmlformats.org/officeDocument/2006/relationships/theme" Target="theme/theme1.xml" Id="rId19" /><Relationship Type="http://schemas.microsoft.com/office/2007/relationships/stylesWithEffects" Target="stylesWithEffects.xml" Id="rId4" /><Relationship Type="http://schemas.openxmlformats.org/officeDocument/2006/relationships/hyperlink" Target="http://www.ipex.eu/IPEXL-WEB/dossier/document/COM20170353.do" TargetMode="External" Id="rId9" /><Relationship Type="http://schemas.openxmlformats.org/officeDocument/2006/relationships/hyperlink" Target="https://ec.europa.eu/info/consultations/evaluation-environmental-technologies-verification-pilot-programme_nl" TargetMode="External" Id="rId14"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2308</ap:Words>
  <ap:Characters>16010</ap:Characters>
  <ap:DocSecurity>4</ap:DocSecurity>
  <ap:Lines>133</ap:Lines>
  <ap:Paragraphs>36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18282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2017-08-30T13:50:00.0000000Z</lastPrinted>
  <dcterms:created xsi:type="dcterms:W3CDTF">2017-08-30T13:56:00.0000000Z</dcterms:created>
  <dcterms:modified xsi:type="dcterms:W3CDTF">2017-08-30T13:56:00.0000000Z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0x010100FF85624218863847BF3DE928AA84504F</vt:lpwstr>
  </property>
</Properties>
</file>