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W15.16.0376/IV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februari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5507F" w:rsidRDefault="00A143F4">
              <w:r>
                <w:t>Bij Kabinetsmissive van 17 november 2016, no.2016001985, heeft Uwe Majesteit, op voordracht van de Minister van Economische Zaken, mede namens de Staatssecretaris van Financiën, bij de Afdeling advisering van de Raad van State ter overweging aanhangig gemaakt het voorstel van wet houdende regels voor de terugvordering van staatssteun (Wet terugvordering staatssteun), met memorie van toelichting.</w:t>
              </w:r>
            </w:p>
          </w:sdtContent>
        </w:sdt>
        <w:p w:rsidRPr="00831363" w:rsidR="00CE4655" w:rsidP="003C7608" w:rsidRDefault="00CE4655"/>
        <w:sdt>
          <w:sdtPr>
            <w:alias w:val="VrijeTekst1"/>
            <w:tag w:val="VrijeTekst1"/>
            <w:id w:val="-437221631"/>
            <w:lock w:val="sdtLocked"/>
          </w:sdtPr>
          <w:sdtEndPr/>
          <w:sdtContent>
            <w:p w:rsidR="00973267" w:rsidP="00891BB0" w:rsidRDefault="00A143F4">
              <w:r>
                <w:t xml:space="preserve">Het wetsvoorstel voorziet in een zelfstandige bestuursrechtelijke grondslag voor de terugvordering van </w:t>
              </w:r>
              <w:r w:rsidRPr="00332059">
                <w:t xml:space="preserve">niet overeenkomstig de </w:t>
              </w:r>
              <w:r>
                <w:t>staatssteun</w:t>
              </w:r>
              <w:r w:rsidRPr="00332059">
                <w:t>regels</w:t>
              </w:r>
              <w:r>
                <w:rPr>
                  <w:rStyle w:val="Voetnootmarkering"/>
                </w:rPr>
                <w:footnoteReference w:id="1"/>
              </w:r>
              <w:r w:rsidRPr="00332059">
                <w:t xml:space="preserve"> </w:t>
              </w:r>
              <w:r>
                <w:t xml:space="preserve">verstrekte niet-fiscale bestuursrechtelijke en privaatrechtelijke staatssteun indien een Commissiebesluit tot die terugvordering noopt (algemene terugvorderingsregime). </w:t>
              </w:r>
            </w:p>
            <w:p w:rsidR="007A234E" w:rsidP="00891BB0" w:rsidRDefault="00A143F4">
              <w:r>
                <w:t>V</w:t>
              </w:r>
              <w:r w:rsidRPr="00332059">
                <w:t xml:space="preserve">oor </w:t>
              </w:r>
              <w:r>
                <w:t xml:space="preserve">terugvordering van fiscale staatssteun </w:t>
              </w:r>
              <w:r w:rsidRPr="00332059">
                <w:t xml:space="preserve">schrijft het wetsvoorstel voor dat deze </w:t>
              </w:r>
              <w:r>
                <w:t xml:space="preserve">staatssteun </w:t>
              </w:r>
              <w:r w:rsidRPr="00332059">
                <w:t xml:space="preserve">met behulp van </w:t>
              </w:r>
              <w:r>
                <w:t xml:space="preserve">de </w:t>
              </w:r>
              <w:r w:rsidRPr="00332059">
                <w:t>bestaande</w:t>
              </w:r>
              <w:r>
                <w:t xml:space="preserve"> fiscale</w:t>
              </w:r>
              <w:r w:rsidRPr="00332059">
                <w:t xml:space="preserve"> instrumenten</w:t>
              </w:r>
              <w:r>
                <w:t xml:space="preserve"> </w:t>
              </w:r>
              <w:r w:rsidRPr="00332059">
                <w:t>wordt teruggevorderd indien een Commissiebesluit dat vergt</w:t>
              </w:r>
              <w:r>
                <w:t xml:space="preserve"> (fiscale terugvorderingsregime).    </w:t>
              </w:r>
            </w:p>
            <w:p w:rsidR="00332059" w:rsidP="00891BB0" w:rsidRDefault="00EC4C83"/>
            <w:p w:rsidR="00332059" w:rsidP="00891BB0" w:rsidRDefault="00A143F4">
              <w:r w:rsidRPr="00794511">
                <w:t>De Afdeling advisering van de Raad van State</w:t>
              </w:r>
              <w:r>
                <w:t xml:space="preserve"> </w:t>
              </w:r>
              <w:r w:rsidRPr="00794511">
                <w:t xml:space="preserve">adviseert het voorstel aan de Tweede Kamer te </w:t>
              </w:r>
              <w:r w:rsidRPr="006C4AAD">
                <w:t xml:space="preserve">zenden, maar acht </w:t>
              </w:r>
              <w:r>
                <w:t xml:space="preserve">een </w:t>
              </w:r>
              <w:r w:rsidRPr="006C4AAD">
                <w:t>dragende motivering of aanpassing van de reikwijdte van het wetsvoorstel aangewezen</w:t>
              </w:r>
              <w:r>
                <w:t xml:space="preserve">. De Afdeling onderschrijft de </w:t>
              </w:r>
              <w:r w:rsidRPr="005C76AE">
                <w:t>wenselijkheid om een effectieve en onverwijlde terugvordering van staatssteun wettelijk te faciliteren in geval een Commissiebesluit daartoe verplicht</w:t>
              </w:r>
              <w:r>
                <w:t>. Zij wijst er op dat v</w:t>
              </w:r>
              <w:r w:rsidRPr="006C4AAD">
                <w:t xml:space="preserve">erschillende knelpunten die in de weg staan aan effectieve terugvordering van </w:t>
              </w:r>
              <w:r>
                <w:t xml:space="preserve">zowel </w:t>
              </w:r>
              <w:r w:rsidRPr="006C4AAD">
                <w:t xml:space="preserve">privaatrechtelijke </w:t>
              </w:r>
              <w:r>
                <w:t>als fiscale</w:t>
              </w:r>
              <w:r w:rsidRPr="006C4AAD">
                <w:t xml:space="preserve"> staatssteun</w:t>
              </w:r>
              <w:r>
                <w:t xml:space="preserve"> in gevallen waarin geen Commissiebesluit aan de terugvordering ten grondslag ligt, met dit wetsvoorstel niet worden verholpen. Dit behoeft tenminste toelichting zo niet wijziging van het voorstel. Daarnaast bestaan er verschillen in reikwijdte binnen het algemene terugvorderingsregime en tussen het algemene en het fiscale terugvorderingsregime die nadere toelichting behoeven.</w:t>
              </w:r>
            </w:p>
            <w:p w:rsidR="006C4AAD" w:rsidP="00891BB0" w:rsidRDefault="00EC4C83"/>
            <w:p w:rsidR="00332059" w:rsidP="00332059" w:rsidRDefault="00A143F4">
              <w:r>
                <w:t>1.</w:t>
              </w:r>
              <w:r>
                <w:tab/>
              </w:r>
              <w:r>
                <w:rPr>
                  <w:u w:val="single"/>
                </w:rPr>
                <w:t>Terugvordering staatssteun bij afwezigheid van een Commissiebesluit</w:t>
              </w:r>
            </w:p>
            <w:p w:rsidR="00332059" w:rsidP="00332059" w:rsidRDefault="00EC4C83"/>
            <w:p w:rsidR="004273DA" w:rsidRDefault="00A143F4">
              <w:r w:rsidRPr="004B4236">
                <w:t xml:space="preserve">De reikwijdte van het wetsvoorstel is beperkt </w:t>
              </w:r>
              <w:r>
                <w:t>tot de terugvordering van staatssteun op grond van een Commissiebesluit. Het wetsvoorstel</w:t>
              </w:r>
              <w:r w:rsidRPr="004B4236">
                <w:t xml:space="preserve"> voorziet daarmee uitdrukkelijk niet in de terugvordering van staatsste</w:t>
              </w:r>
              <w:r>
                <w:t xml:space="preserve">un indien geen Commissiebesluit, maar bijvoorbeeld een uitspraak van de nationale rechter </w:t>
              </w:r>
              <w:r w:rsidRPr="004B4236">
                <w:t>aan de terugvordering ten grondslag ligt.</w:t>
              </w:r>
              <w:r>
                <w:t xml:space="preserve"> </w:t>
              </w:r>
              <w:r w:rsidRPr="002508C3">
                <w:t>Gelet op de toezegging van Nederland aan de Commissie om in regels voor de terugvordering van staatssteun op last van de Commissie te voorzien</w:t>
              </w:r>
              <w:r>
                <w:t>,</w:t>
              </w:r>
              <w:r w:rsidRPr="002508C3">
                <w:rPr>
                  <w:rStyle w:val="Voetnootmarkering"/>
                </w:rPr>
                <w:footnoteReference w:id="2"/>
              </w:r>
              <w:r w:rsidRPr="002508C3">
                <w:t xml:space="preserve"> onderschrijft de Afdeling de </w:t>
              </w:r>
              <w:r>
                <w:t>wenselijkheid om een effectieve en onverwijlde terugvordering van staatssteun wettelijk te faciliteren in geval een Commissiebesluit daartoe verplicht</w:t>
              </w:r>
              <w:r w:rsidRPr="002508C3">
                <w:t xml:space="preserve">, temeer nu </w:t>
              </w:r>
              <w:r>
                <w:t>alleen</w:t>
              </w:r>
              <w:r w:rsidRPr="002508C3">
                <w:t xml:space="preserve"> in </w:t>
              </w:r>
              <w:r>
                <w:t xml:space="preserve">laatstgenoemd </w:t>
              </w:r>
              <w:r w:rsidRPr="002508C3">
                <w:t xml:space="preserve">geval van een Commissiebesluit de verplichting tot </w:t>
              </w:r>
              <w:r w:rsidRPr="002508C3">
                <w:rPr>
                  <w:i/>
                </w:rPr>
                <w:t>onverwijlde</w:t>
              </w:r>
              <w:r w:rsidRPr="002508C3">
                <w:t xml:space="preserve"> terugvordering</w:t>
              </w:r>
              <w:r>
                <w:t xml:space="preserve"> van staatssteun</w:t>
              </w:r>
              <w:r w:rsidRPr="002508C3">
                <w:t xml:space="preserve"> bestaa</w:t>
              </w:r>
              <w:r>
                <w:t>t</w:t>
              </w:r>
              <w:r w:rsidRPr="002508C3">
                <w:t>.</w:t>
              </w:r>
              <w:r>
                <w:rPr>
                  <w:rStyle w:val="Voetnootmarkering"/>
                </w:rPr>
                <w:footnoteReference w:id="3"/>
              </w:r>
              <w:r>
                <w:t xml:space="preserve"> In de gevallen waarin een </w:t>
              </w:r>
              <w:r>
                <w:lastRenderedPageBreak/>
                <w:t>Commissiebesluit (nog) niet noopt tot terugvordering van staatssteun</w:t>
              </w:r>
              <w:r>
                <w:rPr>
                  <w:rStyle w:val="Voetnootmarkering"/>
                </w:rPr>
                <w:footnoteReference w:id="4"/>
              </w:r>
              <w:r>
                <w:t xml:space="preserve"> maar wel duidelijk is dat staatssteun in strijd met artikel 108, derde lid, van het Verdrag betreffende de Werking van de Europese Unie (VWEU) is verleend, dient terugvordering plaats te vinden met gebruikmaking van de bestaande mogelijkheden op grond van het nationale recht, aldus de toelichting.</w:t>
              </w:r>
              <w:r>
                <w:rPr>
                  <w:rStyle w:val="Voetnootmarkering"/>
                </w:rPr>
                <w:footnoteReference w:id="5"/>
              </w:r>
              <w:r>
                <w:t xml:space="preserve"> </w:t>
              </w:r>
            </w:p>
            <w:p w:rsidR="00AD0D41" w:rsidP="00332059" w:rsidRDefault="00EC4C83"/>
            <w:p w:rsidR="00332059" w:rsidP="00332059" w:rsidRDefault="00A143F4">
              <w:r>
                <w:t>Artikel 7 voorziet, naar aanleiding van een uitspraak van de Afdeling Bestuursrechtspraak van de Raad van State,</w:t>
              </w:r>
              <w:r>
                <w:rPr>
                  <w:rStyle w:val="Voetnootmarkering"/>
                </w:rPr>
                <w:footnoteReference w:id="6"/>
              </w:r>
              <w:r>
                <w:t xml:space="preserve"> voor die gevallen waarin (nog) geen sprake is van een Commissiebesluit en er in de wettelijke regeling een bevoegdheidsgrondslag ontbreekt voor wijziging of herziening van de beschikking, in een </w:t>
              </w:r>
              <w:r w:rsidRPr="00F215B2">
                <w:rPr>
                  <w:i/>
                </w:rPr>
                <w:t>bestuursrechtelijke</w:t>
              </w:r>
              <w:r>
                <w:t xml:space="preserve"> verplichting voor de wijziging van niet overeenkomstig de staatssteunregels vastgestelde beschikkingen. Voor </w:t>
              </w:r>
              <w:r w:rsidRPr="00F215B2">
                <w:rPr>
                  <w:i/>
                </w:rPr>
                <w:t>privaatrechtelijk</w:t>
              </w:r>
              <w:r>
                <w:t xml:space="preserve"> verstrekte staatssteun wordt echter een dergelijke voorziening niet nodig geacht. </w:t>
              </w:r>
              <w:r w:rsidRPr="008C0D97">
                <w:t>Partijen beschikken over mogelijkheden om hun privaatrechtelijke rechtsverhouding te wijzigen of de civiele rechter daa</w:t>
              </w:r>
              <w:r>
                <w:t>rover om een oordeel te vragen. E</w:t>
              </w:r>
              <w:r w:rsidRPr="008C0D97">
                <w:t>en voorziening in het wetsvoorstel die partijen in een voorkomend geval dwingt tot (her)onderhandelen en het aanpassen van hun rechtsverho</w:t>
              </w:r>
              <w:r>
                <w:t>uding is daarom niet wenselijk, aldus de toelichting.</w:t>
              </w:r>
              <w:r>
                <w:rPr>
                  <w:rStyle w:val="Voetnootmarkering"/>
                </w:rPr>
                <w:footnoteReference w:id="7"/>
              </w:r>
              <w:r>
                <w:t xml:space="preserve"> </w:t>
              </w:r>
              <w:r w:rsidRPr="008C0D97">
                <w:t xml:space="preserve">Het Burgerlijk Wetboek </w:t>
              </w:r>
              <w:r>
                <w:t xml:space="preserve">(BW) </w:t>
              </w:r>
              <w:r w:rsidRPr="008C0D97">
                <w:t>wordt</w:t>
              </w:r>
              <w:r>
                <w:t xml:space="preserve"> met het wetsvoorstel</w:t>
              </w:r>
              <w:r w:rsidRPr="008C0D97">
                <w:t xml:space="preserve"> dan ook niet gewijzigd.</w:t>
              </w:r>
              <w:r>
                <w:t xml:space="preserve"> Evenmin worden voor de hier aan de orde zijnde gevallen in het </w:t>
              </w:r>
              <w:r w:rsidRPr="00F215B2">
                <w:rPr>
                  <w:i/>
                </w:rPr>
                <w:t>fiscale</w:t>
              </w:r>
              <w:r>
                <w:t xml:space="preserve"> </w:t>
              </w:r>
              <w:r w:rsidRPr="00F215B2">
                <w:rPr>
                  <w:i/>
                </w:rPr>
                <w:t>recht</w:t>
              </w:r>
              <w:r>
                <w:t xml:space="preserve"> de Algemene wet inzake rijksbelastingen (AWR) en de Invorderingswet 1990 (IW 1990) gewijzigd, evenwel zonder enige nadere toelichting.  </w:t>
              </w:r>
            </w:p>
            <w:p w:rsidR="00332059" w:rsidP="00332059" w:rsidRDefault="00EC4C83"/>
            <w:p w:rsidR="00332059" w:rsidP="00332059" w:rsidRDefault="00A143F4">
              <w:r>
                <w:t>In het vorige wetsvoorstel terugvordering staatssteun</w:t>
              </w:r>
              <w:r>
                <w:rPr>
                  <w:rStyle w:val="Voetnootmarkering"/>
                </w:rPr>
                <w:footnoteReference w:id="8"/>
              </w:r>
              <w:r>
                <w:t xml:space="preserve"> zijn – zoals de titel van dat wetsvoorstel al weergeeft – wel dergelijke aanpassingen van het BW en de AWR voorgesteld. Zoals de toelichting bij dat wetsvoorstel onder verwijzing naar diverse onderzoeken</w:t>
              </w:r>
              <w:r>
                <w:rPr>
                  <w:rStyle w:val="Voetnootmarkering"/>
                </w:rPr>
                <w:footnoteReference w:id="9"/>
              </w:r>
              <w:r>
                <w:t xml:space="preserve"> vermeldt, bestaan in het nationale recht verschillende knelpunten die in de weg kunnen staan aan een effectieve terugvordering van privaatrechtelijke of fiscale staatssteun. Zo zijn instrumenten als onverschuldigde betaling of ongerechtvaardigde verrijking en navordering of naheffing niet altijd goed toegesneden om als terugvorderingsinstrument te kunnen dienen.</w:t>
              </w:r>
              <w:r>
                <w:rPr>
                  <w:rStyle w:val="Voetnootmarkering"/>
                </w:rPr>
                <w:footnoteReference w:id="10"/>
              </w:r>
              <w:r>
                <w:t xml:space="preserve"> Ook het instrument van de nietigheid van overeenkomsten, zoals neergelegd in artikel 3:40 BW, leidt in de rechtspraak tot onduidelijkheid.</w:t>
              </w:r>
              <w:r>
                <w:rPr>
                  <w:rStyle w:val="Voetnootmarkering"/>
                </w:rPr>
                <w:footnoteReference w:id="11"/>
              </w:r>
              <w:r>
                <w:t xml:space="preserve"> Een ander knelpunt vormen de nationale verjaringstermijnen, zoals neergelegd in artikel 3:306 BW en verder en artikel 16, derde lid, AWR en 20, derde lid </w:t>
              </w:r>
              <w:r>
                <w:lastRenderedPageBreak/>
                <w:t>AWR, en ten slotte wijkt de regeling inzake de wettelijke rente in artikel 6:119 BW en 6:120 BW en in hoofdstuk VA AWR af van de regeling in artikel 16, tweede lid, van de Procedureverordening.</w:t>
              </w:r>
              <w:r>
                <w:rPr>
                  <w:rStyle w:val="Voetnootmarkering"/>
                </w:rPr>
                <w:footnoteReference w:id="12"/>
              </w:r>
              <w:r>
                <w:t xml:space="preserve"> Ook de toelichting bij dit wetsvoorstel erkent deze terugvorderingslacunes in het huidige privaatrecht en fiscale recht.</w:t>
              </w:r>
              <w:r>
                <w:rPr>
                  <w:rStyle w:val="Voetnootmarkering"/>
                </w:rPr>
                <w:footnoteReference w:id="13"/>
              </w:r>
              <w:r>
                <w:t xml:space="preserve"> </w:t>
              </w:r>
            </w:p>
            <w:p w:rsidR="00332059" w:rsidP="00332059" w:rsidRDefault="00EC4C83"/>
            <w:p w:rsidR="009C614E" w:rsidP="009C614E" w:rsidRDefault="00A143F4">
              <w:r>
                <w:t>De Afdeling wijst er op dat, met de aangekondigde intrekking van het vorige wetsvoorstel terugvordering staatssteun, de genoemde knelpunten en lacunes in het BW en de AWR met onderhavig wetsvoorstel niet worden verholpen indien geen Commissiebesluit aan de terugvordering ten grondslag ligt. De toelichting motiveert niet waarom het vorige wetsvoorstel terugvordering staatssteun volledig wordt ingetrokken. Uit de toelichting blijkt evenmin dat de genoemde knelpunten en lacunes inmiddels op andere wijze, bijvoorbeeld in de jurisprudentie, zijn opgelost. Integendeel, tot dusverre blijkt de rechtsgang naar de civiele rechter of de belastingrechter geen eenvoudig te bewandelen weg en zelden een bevel tot terugvordering op te leveren.</w:t>
              </w:r>
              <w:r>
                <w:rPr>
                  <w:rStyle w:val="Voetnootmarkering"/>
                </w:rPr>
                <w:footnoteReference w:id="14"/>
              </w:r>
              <w:r>
                <w:t xml:space="preserve"> Het toepasselijke nationale recht laat zich daarnaast moeilijk </w:t>
              </w:r>
              <w:proofErr w:type="spellStart"/>
              <w:r>
                <w:t>Unierechtconform</w:t>
              </w:r>
              <w:proofErr w:type="spellEnd"/>
              <w:r>
                <w:t xml:space="preserve"> uitleggen.</w:t>
              </w:r>
              <w:r>
                <w:rPr>
                  <w:rStyle w:val="Voetnootmarkering"/>
                </w:rPr>
                <w:footnoteReference w:id="15"/>
              </w:r>
              <w:r>
                <w:t xml:space="preserve"> Kennelijk wordt verondersteld dat in de gevallen als hier aan de orde de Commissie op enig moment wel een terugvorderingsbesluit zal nemen waardoor alsnog het met dit wetsvoorstel geïntroduceerde instrument kan worden ingezet. Dit wordt evenwel niet met voorbeelden uit de praktijk ondersteund en verhoudt zich in elk geval niet met het Unierechtelijk beginsel van loyale samenwerking en de effectieve uitvoering van de staatssteunregels,</w:t>
              </w:r>
              <w:r>
                <w:rPr>
                  <w:rStyle w:val="Voetnootmarkering"/>
                </w:rPr>
                <w:footnoteReference w:id="16"/>
              </w:r>
              <w:r>
                <w:t xml:space="preserve"> en met de aanvullende en ondersteunende rol die de nationale rechter heeft bij het toezicht op en de handhaving van die regels.</w:t>
              </w:r>
              <w:r>
                <w:rPr>
                  <w:rStyle w:val="Voetnootmarkering"/>
                </w:rPr>
                <w:footnoteReference w:id="17"/>
              </w:r>
              <w:r>
                <w:t xml:space="preserve"> </w:t>
              </w:r>
            </w:p>
            <w:p w:rsidR="009C614E" w:rsidP="009C614E" w:rsidRDefault="00EC4C83"/>
            <w:p w:rsidR="009C614E" w:rsidP="009C614E" w:rsidRDefault="00A143F4">
              <w:r>
                <w:t xml:space="preserve">De toelichting besteedt geen aandacht aan het vorenstaande en maakt aldus niet inzichtelijk of de voornoemde knelpunten en lacunes in het huidige privaatrecht en fiscale recht eventueel in een later stadium, al dan niet naar aanleiding van ontwikkelingen in de jurisprudentie, zullen worden verholpen. De Afdeling adviseert in de toelichting op het voorgaande in te gaan en het voorstel zo nodig aan te vullen. </w:t>
              </w:r>
            </w:p>
            <w:p w:rsidR="00AD0D41" w:rsidP="009C614E" w:rsidRDefault="00EC4C83"/>
            <w:p w:rsidR="00AD0D41" w:rsidP="009C614E" w:rsidRDefault="00A143F4">
              <w:pPr>
                <w:rPr>
                  <w:u w:val="single"/>
                </w:rPr>
              </w:pPr>
              <w:r>
                <w:t>2.</w:t>
              </w:r>
              <w:r>
                <w:tab/>
              </w:r>
              <w:r w:rsidRPr="00C84305">
                <w:rPr>
                  <w:u w:val="single"/>
                </w:rPr>
                <w:t>Verschillen in reikwijdte binnen het algemene terugvorderingsregime</w:t>
              </w:r>
            </w:p>
            <w:p w:rsidRPr="00C84305" w:rsidR="00C84305" w:rsidP="009C614E" w:rsidRDefault="00EC4C83">
              <w:pPr>
                <w:rPr>
                  <w:u w:val="single"/>
                </w:rPr>
              </w:pPr>
            </w:p>
            <w:p w:rsidR="00AD0D41" w:rsidP="009C614E" w:rsidRDefault="00A143F4">
              <w:r>
                <w:t xml:space="preserve">Het wetsvoorstel beoogt slechts de </w:t>
              </w:r>
              <w:proofErr w:type="spellStart"/>
              <w:r>
                <w:t>ongedaanmaking</w:t>
              </w:r>
              <w:proofErr w:type="spellEnd"/>
              <w:r>
                <w:t xml:space="preserve"> van de terug te vorderen staatssteun en laat de bestaande rechtsverhoudingen waaruit de staatssteun is voortgekomen zoveel mogelijk intact, aldus de toelichting. W</w:t>
              </w:r>
              <w:r w:rsidRPr="00AD0D41">
                <w:t>anneer de uitvoering van een Commissiebesluit ertoe leidt dat betrokkenen het</w:t>
              </w:r>
              <w:r>
                <w:t xml:space="preserve"> toch</w:t>
              </w:r>
              <w:r w:rsidRPr="00AD0D41">
                <w:t xml:space="preserve"> nodig of wenselijk vinden om de bestaande rechtsverhoudingen aan te passen, </w:t>
              </w:r>
              <w:r>
                <w:t>voorziet</w:t>
              </w:r>
              <w:r w:rsidRPr="00AD0D41">
                <w:t xml:space="preserve"> het voorgesteld</w:t>
              </w:r>
              <w:r>
                <w:t>e</w:t>
              </w:r>
              <w:r w:rsidRPr="00AD0D41">
                <w:t xml:space="preserve"> artikel 6 alleen voor </w:t>
              </w:r>
              <w:r w:rsidRPr="0058056D">
                <w:t>bestuursrechtelijke re</w:t>
              </w:r>
              <w:r w:rsidRPr="00AD0D41">
                <w:t>chtsver</w:t>
              </w:r>
              <w:r>
                <w:t xml:space="preserve">houdingen van niet-fiscale aard in de bevoegdheid van een bestuursorgaan om ambtshalve de doorwerkingsaspecten bij </w:t>
              </w:r>
              <w:r>
                <w:lastRenderedPageBreak/>
                <w:t xml:space="preserve">beschikking te regelen. </w:t>
              </w:r>
              <w:r w:rsidRPr="00AD0D41">
                <w:t xml:space="preserve">De toelichting vermeldt dat een voorziening zoals voorgesteld in artikel 6 </w:t>
              </w:r>
              <w:r w:rsidRPr="0058056D">
                <w:t>voor privaatrechtelijk ve</w:t>
              </w:r>
              <w:r w:rsidRPr="00AD0D41">
                <w:t>rstrekte steun niet nodig is omdat het privaatrecht een partij mogelijkheden biedt om aangegane overeenkomsten te wijzigen of te beëindigen of daarover een uitspraak van de civiele rechter te vragen. Het opnemen van een verplichting tot (her)onderhandeling voert te ver, aldus de toelichting.</w:t>
              </w:r>
            </w:p>
            <w:p w:rsidR="00AD0D41" w:rsidP="00AD0D41" w:rsidRDefault="00A143F4">
              <w:r>
                <w:br/>
                <w:t xml:space="preserve">De Afdeling merkt op dat door de keuze om in het wetsvoorstel geen vergelijkbare voorziening voor privaatrechtelijk verstrekte steun op te nemen, de voornoemde knelpunten en lacunes in het BW blijven bestaan. Voor argumenten om in dit verband ook het BW aan te passen verwijst de Afdeling naar de eerste adviesopmerking. De Afdeling adviseert derhalve ook hier in de toelichting nader op in te gaan en het voorstel zo nodig aan te vullen. </w:t>
              </w:r>
            </w:p>
            <w:p w:rsidR="00AD0D41" w:rsidP="009C614E" w:rsidRDefault="00EC4C83"/>
            <w:p w:rsidRPr="00C84305" w:rsidR="007D099A" w:rsidP="009C614E" w:rsidRDefault="00A143F4">
              <w:pPr>
                <w:rPr>
                  <w:u w:val="single"/>
                </w:rPr>
              </w:pPr>
              <w:r>
                <w:t>3.</w:t>
              </w:r>
              <w:r>
                <w:tab/>
              </w:r>
              <w:r w:rsidRPr="00C84305">
                <w:rPr>
                  <w:u w:val="single"/>
                </w:rPr>
                <w:t>Verschillen in reikwijdte tussen het algemene en het fiscale terugvorderingsregime</w:t>
              </w:r>
            </w:p>
            <w:p w:rsidR="00C84305" w:rsidP="00F92E3B" w:rsidRDefault="00EC4C83"/>
            <w:p w:rsidR="00F92E3B" w:rsidP="00F92E3B" w:rsidRDefault="00A143F4">
              <w:r>
                <w:t>Er bestaan verschillen in reikwijdte tussen het algemene en fiscale terugvorderingsregime. De Afdeling maakt hierover twee opmerkingen.</w:t>
              </w:r>
            </w:p>
            <w:p w:rsidR="00F92E3B" w:rsidP="007D099A" w:rsidRDefault="00EC4C83"/>
            <w:p w:rsidR="00CF7C5B" w:rsidP="007D099A" w:rsidRDefault="00A143F4">
              <w:r>
                <w:t>a.</w:t>
              </w:r>
              <w:r>
                <w:tab/>
              </w:r>
              <w:r w:rsidRPr="00CF7C5B">
                <w:rPr>
                  <w:i/>
                </w:rPr>
                <w:t>Commissiebesluit</w:t>
              </w:r>
            </w:p>
            <w:p w:rsidR="007D099A" w:rsidP="007D099A" w:rsidRDefault="00A143F4">
              <w:r>
                <w:t xml:space="preserve">Het </w:t>
              </w:r>
              <w:r w:rsidRPr="00A906B0">
                <w:rPr>
                  <w:i/>
                </w:rPr>
                <w:t>algemene</w:t>
              </w:r>
              <w:r>
                <w:t xml:space="preserve"> terugvorderingsregime verstaat onder Commissiebesluit:</w:t>
              </w:r>
            </w:p>
            <w:p w:rsidR="007D099A" w:rsidP="007D099A" w:rsidRDefault="00A143F4">
              <w:pPr>
                <w:numPr>
                  <w:ilvl w:val="0"/>
                  <w:numId w:val="2"/>
                </w:numPr>
              </w:pPr>
              <w:r>
                <w:t xml:space="preserve">een terugvorderingsbevel van de Commissie in de zin van artikel 13, tweede lid, van de Procedureverordening (een bevel aan een lidstaat tot </w:t>
              </w:r>
              <w:r w:rsidRPr="00657CB4">
                <w:t>voorlopige terugvordering</w:t>
              </w:r>
              <w:r>
                <w:t>, hangende de formele onderzoeksprocedure);</w:t>
              </w:r>
            </w:p>
            <w:p w:rsidR="007D099A" w:rsidP="007D099A" w:rsidRDefault="00A143F4">
              <w:pPr>
                <w:numPr>
                  <w:ilvl w:val="0"/>
                  <w:numId w:val="2"/>
                </w:numPr>
              </w:pPr>
              <w:r>
                <w:t>een terugvorderingsbesluit van de Commissie in de zin van artikel 16, eerste lid, van de Procedureverordening (</w:t>
              </w:r>
              <w:r w:rsidRPr="00657CB4">
                <w:t>een besluit d</w:t>
              </w:r>
              <w:r>
                <w:t>á</w:t>
              </w:r>
              <w:r w:rsidRPr="00657CB4">
                <w:t>t een lidstaat moet terugvorderen</w:t>
              </w:r>
              <w:r>
                <w:t xml:space="preserve">); of </w:t>
              </w:r>
            </w:p>
            <w:p w:rsidR="007D099A" w:rsidP="007D099A" w:rsidRDefault="00A143F4">
              <w:pPr>
                <w:numPr>
                  <w:ilvl w:val="0"/>
                  <w:numId w:val="2"/>
                </w:numPr>
              </w:pPr>
              <w:r>
                <w:t>een rechtstreeks op artikel 108, derde lid, VWEU gebaseerd besluit van de Commissie dat verplicht tot terugvordering (op zich met de interne markt verenigbare steun die echter te vroeg – dat wil zeggen voor afloop van de standstill-termijn – door een lidstaat is verleend).</w:t>
              </w:r>
              <w:r>
                <w:rPr>
                  <w:rStyle w:val="Voetnootmarkering"/>
                </w:rPr>
                <w:footnoteReference w:id="18"/>
              </w:r>
            </w:p>
            <w:p w:rsidRPr="00A66B01" w:rsidR="007D099A" w:rsidP="007D099A" w:rsidRDefault="00A143F4">
              <w:r>
                <w:t xml:space="preserve">Het </w:t>
              </w:r>
              <w:r w:rsidRPr="00A906B0">
                <w:rPr>
                  <w:i/>
                </w:rPr>
                <w:t>fiscale</w:t>
              </w:r>
              <w:r>
                <w:t xml:space="preserve"> terugvorderingsregime ziet blijkens het wetsvoorstel slechts op een terugvorderingsbesluit als bedoeld onder 2 hiervoor.</w:t>
              </w:r>
              <w:r>
                <w:rPr>
                  <w:rStyle w:val="Voetnootmarkering"/>
                </w:rPr>
                <w:footnoteReference w:id="19"/>
              </w:r>
              <w:r>
                <w:t xml:space="preserve"> </w:t>
              </w:r>
            </w:p>
            <w:p w:rsidR="007D099A" w:rsidP="007D099A" w:rsidRDefault="00EC4C83"/>
            <w:p w:rsidR="007D099A" w:rsidP="007D099A" w:rsidRDefault="00A143F4">
              <w:r>
                <w:t>De Afdeling merkt op dat de toelichting niet motiveert waarom het fiscale terugvorderingsregime is beperkt tot een terugvorderingsbesluit als bedoeld onder 2 hiervoor. Een motivering is alleen al van belang vanwege het volgende. Indien de Afdeling het goed ziet, impliceert dit beperkte karakter van het fiscale terugvorderingsregime dat bij een Commissiebesluit als hiervoor onder 1 en 3 bedoeld, de (al dan niet voorlopige) terugvordering van de fiscale staatssteun (en het eventueel terugdraaien ervan) niet verlopen via het fiscale terugvorderingsregime met een rechtsgang via de belastingrechter. Volgens het voorstel</w:t>
              </w:r>
              <w:r>
                <w:rPr>
                  <w:rStyle w:val="Voetnootmarkering"/>
                </w:rPr>
                <w:footnoteReference w:id="20"/>
              </w:r>
              <w:r>
                <w:t xml:space="preserve"> wordt deze fiscale staatssteun namelijk teruggevorderd via het algemene terugvorderingsregime met een rechtsgang via het </w:t>
              </w:r>
              <w:proofErr w:type="spellStart"/>
              <w:r>
                <w:t>CBb</w:t>
              </w:r>
              <w:proofErr w:type="spellEnd"/>
              <w:r>
                <w:t>. Dat staat op gespannen voet met de in de toelichting</w:t>
              </w:r>
              <w:r>
                <w:rPr>
                  <w:rStyle w:val="Voetnootmarkering"/>
                </w:rPr>
                <w:footnoteReference w:id="21"/>
              </w:r>
              <w:r>
                <w:t xml:space="preserve"> op het </w:t>
              </w:r>
              <w:r>
                <w:lastRenderedPageBreak/>
                <w:t>voorstel aangedragen argumenten om voor de terugvordering van fiscale staatssteun juist te kiezen voor aansluiting bij het fiscale instrumentarium.</w:t>
              </w:r>
            </w:p>
            <w:p w:rsidR="007D099A" w:rsidP="007D099A" w:rsidRDefault="00EC4C83"/>
            <w:p w:rsidRPr="00744785" w:rsidR="007D099A" w:rsidP="007D099A" w:rsidRDefault="00A143F4">
              <w:r>
                <w:t>De Afdeling adviseert in de toelichting dragend te motiveren waarom het fiscale terugvorderingsregime een beperktere reikwijdte kent dan het algemene terugvorderingsregime en, indien die motivering niet kan worden gegeven, alsnog het fiscale terugvorderingsregime aan te vullen.</w:t>
              </w:r>
            </w:p>
            <w:p w:rsidR="007D099A" w:rsidP="007D099A" w:rsidRDefault="00EC4C83">
              <w:pPr>
                <w:rPr>
                  <w:i/>
                </w:rPr>
              </w:pPr>
            </w:p>
            <w:p w:rsidR="007D099A" w:rsidP="007D099A" w:rsidRDefault="00A143F4">
              <w:pPr>
                <w:rPr>
                  <w:i/>
                </w:rPr>
              </w:pPr>
              <w:r>
                <w:t>b.</w:t>
              </w:r>
              <w:r>
                <w:tab/>
              </w:r>
              <w:r>
                <w:rPr>
                  <w:i/>
                </w:rPr>
                <w:t>Vernietigd Commissiebesluit</w:t>
              </w:r>
            </w:p>
            <w:p w:rsidR="007D099A" w:rsidP="007D099A" w:rsidRDefault="00A143F4">
              <w:r>
                <w:t>Met betrekking tot het algemene terugvorderingsregime vermeldt de toelichting dat het kan voorkomen dat Nederland niet-fiscale steun heeft teruggevorderd omdat de Commissie daartoe verplichtte, maar dat het Hof naderhand het Commissiebesluit (op basis waarvan de terugvordering plaatsvond) vernietigt.</w:t>
              </w:r>
              <w:r>
                <w:rPr>
                  <w:rStyle w:val="Voetnootmarkering"/>
                </w:rPr>
                <w:footnoteReference w:id="22"/>
              </w:r>
              <w:r>
                <w:t xml:space="preserve"> Dienaangaande is geconcludeerd, zo vervolgt de toelichting, dat er geen aanleiding is om in voorliggend voorstel te voorzien in bepalingen die het mogelijk maken dat de situatie voorafgaand aan de terugvordering zoveel mogelijk wordt hersteld: “het nationale recht bevat reeds voldoende mogelijkheden voor (ambtshalve) herstel of herstel op basis van onverschuldigde betaling”.</w:t>
              </w:r>
            </w:p>
            <w:p w:rsidR="007D099A" w:rsidP="007D099A" w:rsidRDefault="00EC4C83"/>
            <w:p w:rsidR="007D099A" w:rsidP="007D099A" w:rsidRDefault="00A143F4">
              <w:r>
                <w:t xml:space="preserve">De Afdeling merkt op dat de toelichting geen antwoord geeft op de vraag hoe in het fiscale terugvorderingsregime wordt omgegaan met de beschreven situatie van een herstel van de situatie van vóór de ten onrechte door Nederland teruggevorderde fiscale staatssteun, en of het bestaande fiscale recht al voldoende mogelijkheden voor herstel bevat. In zoverre die mogelijkheden thans ontbreken, ligt een </w:t>
              </w:r>
              <w:r w:rsidRPr="00656DF9">
                <w:t xml:space="preserve">expliciete regeling op dit punt </w:t>
              </w:r>
              <w:r>
                <w:t>in de rede, tenzij wordt gemotiveerd waarom dat niet noodzakelijk is.</w:t>
              </w:r>
            </w:p>
            <w:p w:rsidR="007D099A" w:rsidP="007D099A" w:rsidRDefault="00EC4C83"/>
            <w:p w:rsidR="007D099A" w:rsidP="007D099A" w:rsidRDefault="00A143F4">
              <w:r>
                <w:t xml:space="preserve">De Afdeling adviseert in de toelichting te verduidelijken hoe in het fiscale terugvorderingsregime wordt omgegaan met een herstel van de situatie van vóór de ten onrechte door Nederland teruggevorderde fiscale staatssteun, en zo nodig te voorzien in aanvullende regelgeving indien het bestaande recht niet toereikend is om een volledig herstel te bewerkstelligen. </w:t>
              </w:r>
            </w:p>
            <w:p w:rsidR="007D099A" w:rsidP="009C614E" w:rsidRDefault="00EC4C83"/>
            <w:p w:rsidR="007A234E" w:rsidP="00112FCC" w:rsidRDefault="00A143F4">
              <w:r>
                <w:t>4.</w:t>
              </w:r>
              <w:r>
                <w:tab/>
              </w:r>
              <w:r w:rsidRPr="007A234E">
                <w:rPr>
                  <w:u w:val="single"/>
                </w:rPr>
                <w:t>Termijnen</w:t>
              </w:r>
            </w:p>
            <w:p w:rsidR="007A234E" w:rsidP="00891BB0" w:rsidRDefault="00EC4C83"/>
            <w:p w:rsidR="007A234E" w:rsidP="007A234E" w:rsidRDefault="00A143F4">
              <w:r>
                <w:t>Voorgesteld artikel 4 bepaalt dat een begunstigde zich voor de toepassing van het wetsvoorstel niet kan beroepen op krachtens Nederlands recht geldende verjarings-, bewaar- of vernietigingstermijnen, tenzij hij aannemelijk maakt dat hij niet wist of behoorde te weten begunstigde van staatssteun te zijn. Daarmee strekt voorgesteld artikel 4 er onder meer toe de verhouding tussen de Europeesrechtelijke verjaringstermijn van tien jaar</w:t>
              </w:r>
              <w:r>
                <w:rPr>
                  <w:rStyle w:val="Voetnootmarkering"/>
                </w:rPr>
                <w:footnoteReference w:id="23"/>
              </w:r>
              <w:r>
                <w:t xml:space="preserve"> en nationaalrechtelijke verjarings-, bewaar- en vernietigingstermijnen met het oog op de rechtsbescherming van begunstigden duidelijk te regelen, aldus de toelichting.</w:t>
              </w:r>
              <w:r>
                <w:rPr>
                  <w:rStyle w:val="Voetnootmarkering"/>
                </w:rPr>
                <w:footnoteReference w:id="24"/>
              </w:r>
              <w:r>
                <w:t xml:space="preserve"> </w:t>
              </w:r>
            </w:p>
            <w:p w:rsidR="007A234E" w:rsidP="007A234E" w:rsidRDefault="00EC4C83"/>
            <w:p w:rsidR="006C4AAD" w:rsidP="007A234E" w:rsidRDefault="00A143F4">
              <w:r>
                <w:t xml:space="preserve">Voor het antwoord op de vraag wanneer een begunstigde aannemelijk maakt dat hij niet wist of behoorde te weten begunstigde van staatssteun te zijn en zich zodoende wel kan beroepen op krachtens Nederlands recht geldende verjarings-, bewaar- of </w:t>
              </w:r>
              <w:r>
                <w:lastRenderedPageBreak/>
                <w:t>vernietigingstermijnen, verwijst de toelichting naar het arrest van het Hof van Justitie inzake de Stichting ROM-projecten.</w:t>
              </w:r>
              <w:r>
                <w:rPr>
                  <w:rStyle w:val="Voetnootmarkering"/>
                </w:rPr>
                <w:footnoteReference w:id="25"/>
              </w:r>
              <w:r>
                <w:t xml:space="preserve"> De Afdeling leest in dit arrest dat het rechtszekerheidsbeginsel zich tegen terugvordering van de ten onrechte betaalde bedragen kan verzetten als een eindbegunstigde van financiële steun van de Unie niet in staat is om zijn rechten en verplichtingen ondubbelzinnig te kennen, mits de goede trouw van de begunstigde is aangetoond.</w:t>
              </w:r>
              <w:r>
                <w:rPr>
                  <w:rStyle w:val="Voetnootmarkering"/>
                </w:rPr>
                <w:footnoteReference w:id="26"/>
              </w:r>
              <w:r>
                <w:t xml:space="preserve"> De</w:t>
              </w:r>
              <w:r w:rsidRPr="00F05DBE">
                <w:t xml:space="preserve"> financiële steun </w:t>
              </w:r>
              <w:r>
                <w:t>was</w:t>
              </w:r>
              <w:r w:rsidRPr="00F05DBE">
                <w:t xml:space="preserve"> door de Commissie bij een tot Nederland gerichte, niet gepubliceerde beschikking verleend en de voorwaarden </w:t>
              </w:r>
              <w:r>
                <w:t xml:space="preserve">waren </w:t>
              </w:r>
              <w:r w:rsidRPr="00F05DBE">
                <w:t>niet aan de eindbegunstigde medegedeeld.</w:t>
              </w:r>
            </w:p>
            <w:p w:rsidR="007A234E" w:rsidP="007A234E" w:rsidRDefault="00A143F4">
              <w:r>
                <w:t xml:space="preserve">Het komt de Afdeling voor dat uit dit arrest niet in algemene zin kan worden afgeleid dat het rechtszekerheidsbeginsel zich tegen terugvordering van staatssteun kan verzetten indien een begunstigde aannemelijk maakt dat hij niet wist of behoorde te weten begunstigde van staatssteun te zijn, zoals het wetsvoorstel doet.  </w:t>
              </w:r>
            </w:p>
            <w:p w:rsidR="007A234E" w:rsidP="007A234E" w:rsidRDefault="00EC4C83"/>
            <w:p w:rsidR="007A234E" w:rsidP="007A234E" w:rsidRDefault="00A143F4">
              <w:r>
                <w:t>Meer in het bijzonder bestaat op het gebied van staatssteun pas een gewettigd vertrouwen wanneer de steun met inachtneming van de procedure in artikel 108 VWEU is toegekend.</w:t>
              </w:r>
              <w:r>
                <w:rPr>
                  <w:rStyle w:val="Voetnootmarkering"/>
                </w:rPr>
                <w:footnoteReference w:id="27"/>
              </w:r>
              <w:r>
                <w:t xml:space="preserve"> Alleen in zeer uitzonderlijke gevallen kan de begunstigde van onrechtmatige steun zich in andere gevallen met succes op het vertrouwensbeginsel beroepen.</w:t>
              </w:r>
              <w:r>
                <w:rPr>
                  <w:rStyle w:val="Voetnootmarkering"/>
                </w:rPr>
                <w:footnoteReference w:id="28"/>
              </w:r>
              <w:r>
                <w:t xml:space="preserve"> De uitzondering in voorgesteld artikel 4 is te ruim geformuleerd en niet in overeenstemming met de Procedureverordening en de Europeesrechtelijke jurisprudentie waaruit volgt dat terugvordering van onrechtmatige steun moet kunnen worden gelast tot tien jaar nadat de steun is verleend en afwijkende </w:t>
              </w:r>
              <w:r w:rsidRPr="005F773E">
                <w:t>nationaalrechtelijke verjarings-, bewaar- of vernietigingstermijnen buiten toepassing moeten worden gelaten</w:t>
              </w:r>
              <w:r>
                <w:t>.</w:t>
              </w:r>
              <w:r>
                <w:rPr>
                  <w:rStyle w:val="Voetnootmarkering"/>
                </w:rPr>
                <w:footnoteReference w:id="29"/>
              </w:r>
            </w:p>
            <w:p w:rsidR="007A234E" w:rsidP="007A234E" w:rsidRDefault="00EC4C83"/>
            <w:p w:rsidR="00794511" w:rsidP="007A234E" w:rsidRDefault="00A143F4">
              <w:r>
                <w:t>De Afdeling adviseert de in artikel 4 geformuleerde uitzondering aan te passen.</w:t>
              </w:r>
            </w:p>
            <w:p w:rsidR="00E910E3" w:rsidP="009274E4" w:rsidRDefault="00EC4C83"/>
            <w:p w:rsidRPr="008D7A9B" w:rsidR="00DB360E" w:rsidP="00DB360E" w:rsidRDefault="00A143F4">
              <w:pPr>
                <w:rPr>
                  <w:u w:val="single"/>
                </w:rPr>
              </w:pPr>
              <w:r>
                <w:t>5.</w:t>
              </w:r>
              <w:r>
                <w:tab/>
              </w:r>
              <w:r>
                <w:rPr>
                  <w:u w:val="single"/>
                </w:rPr>
                <w:t>Doorwerking bij terugvordering van fiscale staatssteun</w:t>
              </w:r>
            </w:p>
            <w:p w:rsidR="00DB360E" w:rsidP="00DB360E" w:rsidRDefault="00EC4C83"/>
            <w:p w:rsidR="00DB360E" w:rsidP="00DB360E" w:rsidRDefault="00A143F4">
              <w:pPr>
                <w:rPr>
                  <w:szCs w:val="22"/>
                </w:rPr>
              </w:pPr>
              <w:r>
                <w:t xml:space="preserve">Zoals ook op verschillende plaatsen in de toelichting op het voorstel naar voren is gebracht dient de terugvordering van staatssteun het volledige steunbedrag (vermeerderd met rente) te omvatten. Het gaat er namelijk om dat </w:t>
              </w:r>
              <w:r w:rsidRPr="00507401">
                <w:t>het marktvoordeel dat een begunstigde ten opzichte van zijn concurrenten door de staatssteun heeft genoten</w:t>
              </w:r>
              <w:r>
                <w:t>,</w:t>
              </w:r>
              <w:r w:rsidRPr="00507401">
                <w:t xml:space="preserve"> ongedaan wordt gemaakt en de voorheen bestaand</w:t>
              </w:r>
              <w:r>
                <w:t>e marktsituatie wordt hersteld.</w:t>
              </w:r>
              <w:r>
                <w:rPr>
                  <w:rStyle w:val="Voetnootmarkering"/>
                </w:rPr>
                <w:footnoteReference w:id="30"/>
              </w:r>
              <w:r>
                <w:t xml:space="preserve"> U</w:t>
              </w:r>
              <w:r w:rsidRPr="00AE7B1F">
                <w:t xml:space="preserve">itgangspunt </w:t>
              </w:r>
              <w:r>
                <w:t xml:space="preserve">is </w:t>
              </w:r>
              <w:r w:rsidRPr="00AE7B1F">
                <w:t xml:space="preserve">dat een begunstigde door terugvordering van </w:t>
              </w:r>
              <w:r>
                <w:t xml:space="preserve">fiscale </w:t>
              </w:r>
              <w:r w:rsidRPr="00AE7B1F">
                <w:t xml:space="preserve">staatssteun in de (financiële en fiscale) positie dient te worden gebracht waarin hij zonder de </w:t>
              </w:r>
              <w:r>
                <w:t>staatssteun zou hebben verkeerd. Daarbij</w:t>
              </w:r>
              <w:r w:rsidRPr="00AE7B1F">
                <w:t xml:space="preserve"> kan het voorkomen</w:t>
              </w:r>
              <w:r>
                <w:t>, zo stelt de toelichting: “</w:t>
              </w:r>
              <w:r w:rsidRPr="00B1059C">
                <w:rPr>
                  <w:szCs w:val="22"/>
                </w:rPr>
                <w:t xml:space="preserve">dat </w:t>
              </w:r>
              <w:r w:rsidRPr="00B1059C">
                <w:rPr>
                  <w:bCs/>
                  <w:szCs w:val="22"/>
                </w:rPr>
                <w:t>de inspecteur</w:t>
              </w:r>
              <w:r w:rsidRPr="00B1059C">
                <w:rPr>
                  <w:szCs w:val="22"/>
                </w:rPr>
                <w:t xml:space="preserve">, naast de correctie van de aangifte of de oplegging van een navorderings- of naheffingsaanslag, </w:t>
              </w:r>
              <w:r w:rsidRPr="00B1059C">
                <w:rPr>
                  <w:bCs/>
                  <w:szCs w:val="22"/>
                </w:rPr>
                <w:t>andere handelingen moet verrichten</w:t>
              </w:r>
              <w:r w:rsidRPr="00B1059C">
                <w:rPr>
                  <w:szCs w:val="22"/>
                </w:rPr>
                <w:t xml:space="preserve"> om tot deze uitkomst te komen. </w:t>
              </w:r>
              <w:r w:rsidRPr="00B1059C">
                <w:rPr>
                  <w:bCs/>
                  <w:szCs w:val="22"/>
                </w:rPr>
                <w:t>De inspecteur</w:t>
              </w:r>
              <w:r w:rsidRPr="00B1059C">
                <w:rPr>
                  <w:szCs w:val="22"/>
                </w:rPr>
                <w:t xml:space="preserve"> vordert in dat geval de staatssteun terug en </w:t>
              </w:r>
              <w:r w:rsidRPr="00B1059C">
                <w:rPr>
                  <w:bCs/>
                  <w:szCs w:val="22"/>
                </w:rPr>
                <w:t>kan</w:t>
              </w:r>
              <w:r w:rsidRPr="00B1059C">
                <w:rPr>
                  <w:szCs w:val="22"/>
                </w:rPr>
                <w:t xml:space="preserve"> de </w:t>
              </w:r>
              <w:r w:rsidRPr="00B1059C">
                <w:rPr>
                  <w:bCs/>
                  <w:szCs w:val="22"/>
                </w:rPr>
                <w:t>fiscale doorwerking corrigeren</w:t>
              </w:r>
              <w:r w:rsidRPr="00B1059C">
                <w:rPr>
                  <w:szCs w:val="22"/>
                </w:rPr>
                <w:t xml:space="preserve">, voor zover die de begunstigde in een andere </w:t>
              </w:r>
              <w:r w:rsidRPr="00B1059C">
                <w:rPr>
                  <w:szCs w:val="22"/>
                </w:rPr>
                <w:lastRenderedPageBreak/>
                <w:t>(</w:t>
              </w:r>
              <w:r w:rsidRPr="00B1059C">
                <w:rPr>
                  <w:bCs/>
                  <w:szCs w:val="22"/>
                </w:rPr>
                <w:t>gunstigere of ongunstigere</w:t>
              </w:r>
              <w:r w:rsidRPr="00B1059C">
                <w:rPr>
                  <w:szCs w:val="22"/>
                </w:rPr>
                <w:t>) positie brengt dan waarin hij zou hebben verkeerd zonder de staatssteun. Hiertoe biedt het voorgestelde artikel 20a, eerste lid, van de AWR de ruimte</w:t>
              </w:r>
              <w:r>
                <w:rPr>
                  <w:szCs w:val="22"/>
                </w:rPr>
                <w:t>”</w:t>
              </w:r>
              <w:r w:rsidRPr="00B1059C">
                <w:rPr>
                  <w:szCs w:val="22"/>
                </w:rPr>
                <w:t>.</w:t>
              </w:r>
              <w:r>
                <w:rPr>
                  <w:rStyle w:val="Voetnootmarkering"/>
                </w:rPr>
                <w:footnoteReference w:id="31"/>
              </w:r>
            </w:p>
            <w:p w:rsidRPr="000B4611" w:rsidR="00DB360E" w:rsidP="00DB360E" w:rsidRDefault="00EC4C83">
              <w:pPr>
                <w:rPr>
                  <w:b/>
                  <w:szCs w:val="22"/>
                  <w:u w:val="single"/>
                </w:rPr>
              </w:pPr>
            </w:p>
            <w:p w:rsidR="00DB360E" w:rsidP="00DB360E" w:rsidRDefault="00A143F4">
              <w:pPr>
                <w:rPr>
                  <w:szCs w:val="22"/>
                </w:rPr>
              </w:pPr>
              <w:r>
                <w:rPr>
                  <w:szCs w:val="22"/>
                </w:rPr>
                <w:t>De Afdeling merkt op dat deze toelichting zeer summier is nu deze zich beperkt tot één (vrij technisch) voorbeeld van een correctie van de fiscale doorwerking. Het betreft de inspecteur die, naast het opleggen van een navorderingsaanslag,</w:t>
              </w:r>
              <w:r>
                <w:rPr>
                  <w:rStyle w:val="Voetnootmarkering"/>
                  <w:szCs w:val="22"/>
                </w:rPr>
                <w:footnoteReference w:id="32"/>
              </w:r>
              <w:r>
                <w:rPr>
                  <w:szCs w:val="22"/>
                </w:rPr>
                <w:t xml:space="preserve"> overgaat tot een herziening</w:t>
              </w:r>
              <w:r>
                <w:rPr>
                  <w:rStyle w:val="Voetnootmarkering"/>
                </w:rPr>
                <w:footnoteReference w:id="33"/>
              </w:r>
              <w:r>
                <w:rPr>
                  <w:szCs w:val="22"/>
                </w:rPr>
                <w:t xml:space="preserve"> van een gelijktijdig met de oorspronkelijke aanslag vastgestelde verliesverr</w:t>
              </w:r>
              <w:r w:rsidRPr="00AE7B1F">
                <w:t>ekeningsbeschikking</w:t>
              </w:r>
              <w:r>
                <w:t>.</w:t>
              </w:r>
              <w:r>
                <w:rPr>
                  <w:rStyle w:val="Voetnootmarkering"/>
                </w:rPr>
                <w:footnoteReference w:id="34"/>
              </w:r>
              <w:r>
                <w:t xml:space="preserve"> Daarmee geeft de toelichting geen antwoord op de vraag of en zo ja op welke wijze,</w:t>
              </w:r>
              <w:r>
                <w:rPr>
                  <w:rStyle w:val="Voetnootmarkering"/>
                </w:rPr>
                <w:footnoteReference w:id="35"/>
              </w:r>
              <w:r>
                <w:t xml:space="preserve"> een</w:t>
              </w:r>
              <w:r w:rsidRPr="002F3462">
                <w:rPr>
                  <w:szCs w:val="22"/>
                </w:rPr>
                <w:t xml:space="preserve"> correctie van de </w:t>
              </w:r>
              <w:r>
                <w:rPr>
                  <w:szCs w:val="22"/>
                </w:rPr>
                <w:t>(</w:t>
              </w:r>
              <w:r w:rsidRPr="002F3462">
                <w:rPr>
                  <w:szCs w:val="22"/>
                </w:rPr>
                <w:t>fiscale</w:t>
              </w:r>
              <w:r>
                <w:rPr>
                  <w:szCs w:val="22"/>
                </w:rPr>
                <w:t>)</w:t>
              </w:r>
              <w:r w:rsidRPr="002F3462">
                <w:rPr>
                  <w:szCs w:val="22"/>
                </w:rPr>
                <w:t xml:space="preserve"> doorwerking </w:t>
              </w:r>
              <w:r>
                <w:rPr>
                  <w:szCs w:val="22"/>
                </w:rPr>
                <w:t>plaatsvindt in andere situaties.</w:t>
              </w:r>
              <w:r>
                <w:rPr>
                  <w:rStyle w:val="Voetnootmarkering"/>
                  <w:szCs w:val="22"/>
                </w:rPr>
                <w:footnoteReference w:id="36"/>
              </w:r>
            </w:p>
            <w:p w:rsidR="00DB360E" w:rsidP="00DB360E" w:rsidRDefault="00EC4C83"/>
            <w:p w:rsidR="00DB360E" w:rsidP="00DB360E" w:rsidRDefault="00A143F4">
              <w:r w:rsidRPr="00F215B2">
                <w:t>a</w:t>
              </w:r>
              <w:r w:rsidRPr="00B52FC2">
                <w:t>.</w:t>
              </w:r>
              <w:r>
                <w:tab/>
                <w:t>Meer concreet kan worden gewezen op een</w:t>
              </w:r>
              <w:r w:rsidRPr="00C40047">
                <w:t xml:space="preserve"> situatie </w:t>
              </w:r>
              <w:r>
                <w:t>waarin er bij de winstbepaling drie</w:t>
              </w:r>
              <w:r w:rsidRPr="00C40047">
                <w:t xml:space="preserve"> niet-cumulatieve </w:t>
              </w:r>
              <w:r>
                <w:t xml:space="preserve">regimes </w:t>
              </w:r>
              <w:r w:rsidRPr="00C40047">
                <w:t>bestaan om af te schrijven</w:t>
              </w:r>
              <w:r>
                <w:t>, waarbij het door de belastingplichtige gekozen regime verboden staatssteun blijkt te zijn. Bij navordering van die steun komt dan de vraag op of de mogelijkheid om te kiezen (uit de nu overblijvende twee regimes om af te schrijven) herleeft en op welke wijze deze doorwerking wordt gecorrigeerd.</w:t>
              </w:r>
            </w:p>
            <w:p w:rsidR="00DB360E" w:rsidP="00DB360E" w:rsidRDefault="00EC4C83"/>
            <w:p w:rsidR="00DB360E" w:rsidP="00DB360E" w:rsidRDefault="00A143F4">
              <w:r>
                <w:rPr>
                  <w:szCs w:val="22"/>
                </w:rPr>
                <w:t xml:space="preserve">Ook komt de vraag op of de correctie van de doorwerking zich beperkt tot de winstsfeer (zoals in het voorbeeld hiervoor), of verder doorwerkt buiten de winstsfeer. Te denken valt aan de situatie </w:t>
              </w:r>
              <w:r>
                <w:t xml:space="preserve">waarin een eerder door een ondernemer/natuurlijke persoon met zijn partner gekozen onderlinge verdeling van aftrekposten (bijvoorbeeld hypotheekrente), in een ander daglicht komt te staan door een </w:t>
              </w:r>
              <w:r w:rsidRPr="00C40047">
                <w:t>als gevolg van de terug</w:t>
              </w:r>
              <w:r>
                <w:t xml:space="preserve"> te vorderen</w:t>
              </w:r>
              <w:r w:rsidRPr="00C40047">
                <w:t xml:space="preserve"> staatssteun hoger uitvallend</w:t>
              </w:r>
              <w:r>
                <w:t>e winst.</w:t>
              </w:r>
            </w:p>
            <w:p w:rsidR="00DB360E" w:rsidP="00DB360E" w:rsidRDefault="00EC4C83"/>
            <w:p w:rsidR="00DB360E" w:rsidP="00DB360E" w:rsidRDefault="00A143F4">
              <w:r w:rsidRPr="00F215B2">
                <w:t>b</w:t>
              </w:r>
              <w:r w:rsidRPr="00B52FC2">
                <w:t>.</w:t>
              </w:r>
              <w:r>
                <w:tab/>
                <w:t>Een als gevolg van een terugvordering hoger uitvallende winst/winstbelasting roept daarnaast de vraag op hoever dit internationaal doorwerkt als het gaat om het alsnog benutten van een belastingcredit,</w:t>
              </w:r>
              <w:r>
                <w:rPr>
                  <w:rStyle w:val="Voetnootmarkering"/>
                </w:rPr>
                <w:footnoteReference w:id="37"/>
              </w:r>
              <w:r>
                <w:t xml:space="preserve"> of als het gaat om de invloed ervan op binnen een internationaal concern gehanteerde onderlinge verrekenprijzen. </w:t>
              </w:r>
            </w:p>
            <w:p w:rsidR="00DB360E" w:rsidP="00DB360E" w:rsidRDefault="00EC4C83"/>
            <w:p w:rsidR="00DB360E" w:rsidP="00DB360E" w:rsidRDefault="00A143F4">
              <w:r w:rsidRPr="00F215B2">
                <w:t>c</w:t>
              </w:r>
              <w:r w:rsidRPr="00B52FC2">
                <w:t>.</w:t>
              </w:r>
              <w:r>
                <w:tab/>
                <w:t>Voorts is het niet duidelijk of en zo ja hoe de doorwerking wordt gecorrigeerd als het om verleende toeslagen gaat.</w:t>
              </w:r>
              <w:r>
                <w:rPr>
                  <w:rStyle w:val="Voetnootmarkering"/>
                </w:rPr>
                <w:footnoteReference w:id="38"/>
              </w:r>
              <w:r>
                <w:t xml:space="preserve"> Het fiscale terugvorderingsregime biedt in ieder geval niet de mogelijkheid tot correctie van toeslagen nu ingevolge het voorgestelde fiscale terugvorderingsregime van artikel 20a, eerste lid, van de AWR de inspecteur slechts staatssteun kan terugvorderen met toepassing van de voor de uitvoering “van die belastingwet” geldende regels. De regelgeving inzake toeslagen valt daar niet onder.</w:t>
              </w:r>
            </w:p>
            <w:p w:rsidRPr="0026514E" w:rsidR="00DB360E" w:rsidP="00DB360E" w:rsidRDefault="00EC4C83"/>
            <w:p w:rsidRPr="00C162C0" w:rsidR="00DB360E" w:rsidP="00DB360E" w:rsidRDefault="00A143F4">
              <w:r w:rsidRPr="00F215B2">
                <w:lastRenderedPageBreak/>
                <w:t>d</w:t>
              </w:r>
              <w:r w:rsidRPr="00B52FC2">
                <w:t>.</w:t>
              </w:r>
              <w:r>
                <w:tab/>
              </w:r>
              <w:r w:rsidRPr="00356FBF">
                <w:t xml:space="preserve">Een andere vorm van doorwerking waar de toelichting niet op ingaat, is een situatie waarin een (niet fiscale) subsidie is verstrekt (ten gevolge waarvan de kosten fiscaal niet konden worden afgetrokken omdat de kosten door de subsidie niet op de belastingplichtige drukten). Indien die subsidie </w:t>
              </w:r>
              <w:r>
                <w:t>als</w:t>
              </w:r>
              <w:r w:rsidRPr="00356FBF">
                <w:t xml:space="preserve"> verboden staatssteun wordt teruggevorderd, komt de vraag op of daarmee (fiscaal) het recht op aftrek van kosten herleeft, zodat er </w:t>
              </w:r>
              <w:r>
                <w:rPr>
                  <w:szCs w:val="22"/>
                </w:rPr>
                <w:t>–</w:t>
              </w:r>
              <w:r>
                <w:t xml:space="preserve"> gelet op het oogmerk de voorheen bestaande marktsituatie te herstellen </w:t>
              </w:r>
              <w:r>
                <w:rPr>
                  <w:szCs w:val="22"/>
                </w:rPr>
                <w:t>–</w:t>
              </w:r>
              <w:r>
                <w:t xml:space="preserve"> </w:t>
              </w:r>
              <w:r w:rsidRPr="00356FBF">
                <w:t>geen verschil meer is met degene die niet van die subsidieregeling gebruik heeft gemaakt (bijvoorbeeld omdat het subsidieplafond was bereikt) en die dus wel aftrek heeft genoten.</w:t>
              </w:r>
            </w:p>
            <w:p w:rsidR="00DB360E" w:rsidP="00DB360E" w:rsidRDefault="00EC4C83"/>
            <w:p w:rsidR="00DB360E" w:rsidP="00DB360E" w:rsidRDefault="00A143F4">
              <w:r>
                <w:t>De Afdeling adviseert de doorwerking bij terugvordering (en de correctie ter zake) uitgebreider toe te lichten, daarbij in ieder geval in te gaan op de gegeven voorbeelden, en zo nodig het voorstel aan te passen.</w:t>
              </w:r>
            </w:p>
            <w:p w:rsidR="00E910E3" w:rsidP="009274E4" w:rsidRDefault="00EC4C83"/>
            <w:p w:rsidRPr="0044200B" w:rsidR="00E910E3" w:rsidP="00E910E3" w:rsidRDefault="00A143F4">
              <w:pPr>
                <w:rPr>
                  <w:i/>
                </w:rPr>
              </w:pPr>
              <w:r>
                <w:t>6.</w:t>
              </w:r>
              <w:r>
                <w:tab/>
              </w:r>
              <w:r>
                <w:rPr>
                  <w:u w:val="single"/>
                </w:rPr>
                <w:t xml:space="preserve">Effectieve </w:t>
              </w:r>
              <w:r w:rsidRPr="008143A8">
                <w:rPr>
                  <w:u w:val="single"/>
                </w:rPr>
                <w:t>terugvordering staatssteun</w:t>
              </w:r>
            </w:p>
            <w:p w:rsidR="00E910E3" w:rsidP="00E910E3" w:rsidRDefault="00EC4C83"/>
            <w:p w:rsidR="00E910E3" w:rsidP="00E910E3" w:rsidRDefault="00A143F4">
              <w:r>
                <w:t xml:space="preserve">In reactie op de internetconsultatie vermeldt de toelichting dat in </w:t>
              </w:r>
              <w:r w:rsidRPr="008143A8">
                <w:t xml:space="preserve">het voorgestelde artikel 63ab van de </w:t>
              </w:r>
              <w:r>
                <w:t>IW 1990,</w:t>
              </w:r>
              <w:r w:rsidRPr="008143A8">
                <w:t xml:space="preserve"> </w:t>
              </w:r>
              <w:r>
                <w:t>artikel</w:t>
              </w:r>
              <w:r w:rsidRPr="008143A8">
                <w:t xml:space="preserve"> 340, tweede lid, van de F</w:t>
              </w:r>
              <w:r>
                <w:t>aillissementswet (</w:t>
              </w:r>
              <w:proofErr w:type="spellStart"/>
              <w:r>
                <w:t>Fw</w:t>
              </w:r>
              <w:proofErr w:type="spellEnd"/>
              <w:r>
                <w:t>)</w:t>
              </w:r>
              <w:r>
                <w:rPr>
                  <w:rStyle w:val="Voetnootmarkering"/>
                </w:rPr>
                <w:footnoteReference w:id="39"/>
              </w:r>
              <w:r>
                <w:t xml:space="preserve"> </w:t>
              </w:r>
              <w:r w:rsidRPr="008143A8">
                <w:t xml:space="preserve">niet van toepassing </w:t>
              </w:r>
              <w:r>
                <w:t xml:space="preserve">wordt </w:t>
              </w:r>
              <w:r w:rsidRPr="008143A8">
                <w:t>verklaard</w:t>
              </w:r>
              <w:r>
                <w:t xml:space="preserve"> bij</w:t>
              </w:r>
              <w:r w:rsidRPr="008143A8">
                <w:t xml:space="preserve"> de invordering van teruggevorderde staatssteun.</w:t>
              </w:r>
              <w:r>
                <w:rPr>
                  <w:rStyle w:val="Voetnootmarkering"/>
                </w:rPr>
                <w:footnoteReference w:id="40"/>
              </w:r>
              <w:r w:rsidRPr="008143A8">
                <w:t xml:space="preserve"> </w:t>
              </w:r>
              <w:r>
                <w:t xml:space="preserve">Volgens de toelichting is hiervoor gekozen </w:t>
              </w:r>
              <w:r w:rsidRPr="008143A8">
                <w:t xml:space="preserve">omdat het bepaalde in </w:t>
              </w:r>
              <w:r>
                <w:t>genoemd</w:t>
              </w:r>
              <w:r w:rsidRPr="008143A8">
                <w:t xml:space="preserve"> artikel</w:t>
              </w:r>
              <w:r>
                <w:t xml:space="preserve"> van de </w:t>
              </w:r>
              <w:proofErr w:type="spellStart"/>
              <w:r>
                <w:t>Fw</w:t>
              </w:r>
              <w:proofErr w:type="spellEnd"/>
              <w:r>
                <w:t xml:space="preserve"> </w:t>
              </w:r>
              <w:r w:rsidRPr="008143A8">
                <w:t>kan leiden tot strijd met de uit het Unierecht voortvloeiende verplichting tot onverwijlde en effectieve terugvordering</w:t>
              </w:r>
              <w:r>
                <w:t>.</w:t>
              </w:r>
            </w:p>
            <w:p w:rsidR="00E910E3" w:rsidP="00E910E3" w:rsidRDefault="00EC4C83"/>
            <w:p w:rsidR="00E910E3" w:rsidP="00E910E3" w:rsidRDefault="00A143F4">
              <w:r>
                <w:t xml:space="preserve">De Afdeling merkt op dat, anders dan de toelichting vermeldt, in het voorgestelde artikel 63ab van de IW 1990 een buiten toepassing verklaren van genoemd artikel 340, tweede lid, van de </w:t>
              </w:r>
              <w:proofErr w:type="spellStart"/>
              <w:r>
                <w:t>Fw</w:t>
              </w:r>
              <w:proofErr w:type="spellEnd"/>
              <w:r>
                <w:t xml:space="preserve"> ontbreekt. Ook gaat de toelichting niet in op andere artikelen van de </w:t>
              </w:r>
              <w:proofErr w:type="spellStart"/>
              <w:r>
                <w:t>Fw</w:t>
              </w:r>
              <w:proofErr w:type="spellEnd"/>
              <w:r>
                <w:rPr>
                  <w:rStyle w:val="Voetnootmarkering"/>
                </w:rPr>
                <w:footnoteReference w:id="41"/>
              </w:r>
              <w:r>
                <w:t xml:space="preserve"> die om dezelfde reden strijdig zouden kunnen zijn met het terugvorderingsbeleid</w:t>
              </w:r>
              <w:r>
                <w:rPr>
                  <w:rStyle w:val="Voetnootmarkering"/>
                </w:rPr>
                <w:footnoteReference w:id="42"/>
              </w:r>
              <w:r>
                <w:t xml:space="preserve"> van de Commissie.</w:t>
              </w:r>
              <w:r>
                <w:rPr>
                  <w:rStyle w:val="Voetnootmarkering"/>
                </w:rPr>
                <w:footnoteReference w:id="43"/>
              </w:r>
            </w:p>
            <w:p w:rsidR="00E910E3" w:rsidP="00E910E3" w:rsidRDefault="00EC4C83"/>
            <w:p w:rsidR="00891BB0" w:rsidP="009274E4" w:rsidRDefault="00A143F4">
              <w:r>
                <w:t xml:space="preserve">De Afdeling adviseert in de toelichting de verhouding tussen het te verduidelijken terugvorderingsbeleid van de Commissie en de </w:t>
              </w:r>
              <w:proofErr w:type="spellStart"/>
              <w:r>
                <w:t>Fw</w:t>
              </w:r>
              <w:proofErr w:type="spellEnd"/>
              <w:r>
                <w:t>,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143F4">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5507F" w:rsidRDefault="00A143F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W15.16.0376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255748" w:rsidP="00D969CB" w:rsidRDefault="00A143F4">
              <w:pPr>
                <w:numPr>
                  <w:ilvl w:val="0"/>
                  <w:numId w:val="1"/>
                </w:numPr>
              </w:pPr>
              <w:r>
                <w:t>In een artikelsgewijze toelichting bij artikel 13 ingaan op de noodzaak van gefaseerde inwerkingtreding gelet op aanwijzing 130 van de Aanwijzingen voor de regelgeving.</w:t>
              </w:r>
            </w:p>
            <w:p w:rsidR="00E70C71" w:rsidP="00E7361E" w:rsidRDefault="00A143F4">
              <w:pPr>
                <w:numPr>
                  <w:ilvl w:val="0"/>
                  <w:numId w:val="1"/>
                </w:numPr>
              </w:pPr>
              <w:r>
                <w:t xml:space="preserve">Om tekst en toelichting met elkaar in overeenstemming te brengen in artikel 9, onderdeel A, </w:t>
              </w:r>
              <w:r w:rsidRPr="00E7361E">
                <w:t>“</w:t>
              </w:r>
              <w:r>
                <w:t xml:space="preserve">niet verenigbaar is </w:t>
              </w:r>
              <w:r w:rsidRPr="00E7361E">
                <w:t>met het bepaalde in de artikelen 107 en 108 van het Verdrag betreffende de werking van de Europese Unie”</w:t>
              </w:r>
              <w:r>
                <w:t xml:space="preserve"> vervangen door: in strijd is </w:t>
              </w:r>
              <w:r w:rsidRPr="00E7361E">
                <w:t xml:space="preserve">met ingevolge een verdrag voor de Staat geldende </w:t>
              </w:r>
              <w:r>
                <w:t>verplichtingen.</w:t>
              </w:r>
            </w:p>
          </w:sdtContent>
        </w:sdt>
        <w:p w:rsidR="00C50D4F" w:rsidP="005841EA" w:rsidRDefault="00EC4C8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9D" w:rsidRDefault="00A143F4" w:rsidP="001410FD">
      <w:r>
        <w:separator/>
      </w:r>
    </w:p>
  </w:endnote>
  <w:endnote w:type="continuationSeparator" w:id="0">
    <w:p w:rsidR="00F2789D" w:rsidRDefault="00A143F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9D" w:rsidRDefault="00A143F4" w:rsidP="001410FD">
      <w:r>
        <w:separator/>
      </w:r>
    </w:p>
  </w:footnote>
  <w:footnote w:type="continuationSeparator" w:id="0">
    <w:p w:rsidR="00F2789D" w:rsidRDefault="00A143F4" w:rsidP="001410FD">
      <w:r>
        <w:continuationSeparator/>
      </w:r>
    </w:p>
  </w:footnote>
  <w:footnote w:id="1">
    <w:p w:rsidR="00AD0D41" w:rsidRDefault="00A143F4" w:rsidP="00C36D79">
      <w:pPr>
        <w:pStyle w:val="Voetnoottekst"/>
        <w:tabs>
          <w:tab w:val="clear" w:pos="227"/>
        </w:tabs>
        <w:ind w:left="227" w:hanging="227"/>
      </w:pPr>
      <w:r>
        <w:rPr>
          <w:rStyle w:val="Voetnootmarkering"/>
        </w:rPr>
        <w:footnoteRef/>
      </w:r>
      <w:r>
        <w:t xml:space="preserve"> </w:t>
      </w:r>
      <w:r>
        <w:tab/>
        <w:t>Artikelen 107 en 108 van het Verdrag betreffende de werking van de Europese Unie (VWEU).</w:t>
      </w:r>
    </w:p>
  </w:footnote>
  <w:footnote w:id="2">
    <w:p w:rsidR="00813236" w:rsidRDefault="00A143F4" w:rsidP="00C36D79">
      <w:pPr>
        <w:pStyle w:val="Voetnoottekst"/>
        <w:tabs>
          <w:tab w:val="clear" w:pos="227"/>
        </w:tabs>
        <w:ind w:left="227" w:hanging="227"/>
      </w:pPr>
      <w:r>
        <w:rPr>
          <w:rStyle w:val="Voetnootmarkering"/>
        </w:rPr>
        <w:footnoteRef/>
      </w:r>
      <w:r>
        <w:t xml:space="preserve"> </w:t>
      </w:r>
      <w:r>
        <w:tab/>
        <w:t>Naar aanleiding van die toezegging heeft de Commissie de bij het Hof van Justitie aanhangig gemaakte inbreukprocedure in 2008 laten doorhalen, zie de beschikking van de President van het Hof van Justitie van 5 juni 2008, ECLI:EU:C:2008:326, C-401/07.</w:t>
      </w:r>
    </w:p>
  </w:footnote>
  <w:footnote w:id="3">
    <w:p w:rsidR="00F25346" w:rsidRDefault="00A143F4" w:rsidP="00C36D79">
      <w:pPr>
        <w:pStyle w:val="Voetnoottekst"/>
        <w:tabs>
          <w:tab w:val="clear" w:pos="227"/>
        </w:tabs>
        <w:ind w:left="227" w:hanging="227"/>
      </w:pPr>
      <w:r>
        <w:rPr>
          <w:rStyle w:val="Voetnootmarkering"/>
        </w:rPr>
        <w:footnoteRef/>
      </w:r>
      <w:r>
        <w:t xml:space="preserve"> </w:t>
      </w:r>
      <w:r>
        <w:tab/>
        <w:t>Artikel 16 van Verordening (EU) 2015/1589 van de Raad van 13 juli 2015 tot vaststelling van nadere bepalingen voor de toepassing van artikel 108 van het Verdrag betreffende de werking van de Europese Unie (codificatie), PB 2015, L 248/9 (Procedureverordening).</w:t>
      </w:r>
    </w:p>
  </w:footnote>
  <w:footnote w:id="4">
    <w:p w:rsidR="00CF05AC" w:rsidRDefault="00A143F4" w:rsidP="00C36D79">
      <w:pPr>
        <w:pStyle w:val="Voetnoottekst"/>
        <w:tabs>
          <w:tab w:val="clear" w:pos="227"/>
        </w:tabs>
        <w:ind w:left="227" w:hanging="227"/>
      </w:pPr>
      <w:r>
        <w:rPr>
          <w:rStyle w:val="Voetnootmarkering"/>
        </w:rPr>
        <w:footnoteRef/>
      </w:r>
      <w:r>
        <w:t xml:space="preserve">  </w:t>
      </w:r>
      <w:r w:rsidRPr="002508C3">
        <w:t>Waaronder ook kan worden begrepen een geval als bedoeld in artikel 13, eerste lid, van de Procedureverordening, waarin de Commissie Nederland gelast</w:t>
      </w:r>
      <w:r>
        <w:t xml:space="preserve"> alle onrechtmatige steun op te </w:t>
      </w:r>
      <w:r w:rsidRPr="002508C3">
        <w:t>schorten totdat zij een besluit heeft genomen over de verenigbaarheid van de steun met de interne markt (opschortingsbevel), of als bedoeld in artikel 15, eerste lid, juncto artikel 4, tweede lid, dan</w:t>
      </w:r>
      <w:r>
        <w:t xml:space="preserve"> </w:t>
      </w:r>
      <w:r w:rsidRPr="002508C3">
        <w:t xml:space="preserve">wel artikel 9, derde lid, van de </w:t>
      </w:r>
      <w:r>
        <w:t>P</w:t>
      </w:r>
      <w:r w:rsidRPr="002508C3">
        <w:t>rocedureverordening, waarin de Commissie onrechtmatige, niet-aangemelde staatssteun verenigbaar acht met de interne markt en geen terugvorderingsbevel oplegt</w:t>
      </w:r>
      <w:r>
        <w:t>.</w:t>
      </w:r>
    </w:p>
  </w:footnote>
  <w:footnote w:id="5">
    <w:p w:rsidR="00332059" w:rsidRDefault="00A143F4" w:rsidP="00C36D79">
      <w:pPr>
        <w:pStyle w:val="Voetnoottekst"/>
        <w:tabs>
          <w:tab w:val="clear" w:pos="227"/>
        </w:tabs>
        <w:ind w:left="227" w:hanging="227"/>
      </w:pPr>
      <w:r>
        <w:rPr>
          <w:rStyle w:val="Voetnootmarkering"/>
        </w:rPr>
        <w:footnoteRef/>
      </w:r>
      <w:r>
        <w:t xml:space="preserve"> </w:t>
      </w:r>
      <w:r>
        <w:tab/>
        <w:t>Paragraaf 4 van het algemeen deel van de memorie van toelichting.</w:t>
      </w:r>
    </w:p>
  </w:footnote>
  <w:footnote w:id="6">
    <w:p w:rsidR="00332059" w:rsidRDefault="00A143F4" w:rsidP="00C36D79">
      <w:pPr>
        <w:pStyle w:val="Voetnoottekst"/>
        <w:tabs>
          <w:tab w:val="clear" w:pos="227"/>
        </w:tabs>
        <w:ind w:left="227" w:hanging="227"/>
      </w:pPr>
      <w:r>
        <w:rPr>
          <w:rStyle w:val="Voetnootmarkering"/>
        </w:rPr>
        <w:footnoteRef/>
      </w:r>
      <w:r>
        <w:t xml:space="preserve"> </w:t>
      </w:r>
      <w:r>
        <w:tab/>
        <w:t xml:space="preserve">Uitspraak van de Afdeling Bestuursrechtspraak van de Raad van State van 15 april 2015, ECLI:NL:RVS:2015:1152, (Zorg en Zekerheid). </w:t>
      </w:r>
    </w:p>
  </w:footnote>
  <w:footnote w:id="7">
    <w:p w:rsidR="00332059" w:rsidRDefault="00A143F4" w:rsidP="00C36D79">
      <w:pPr>
        <w:pStyle w:val="Voetnoottekst"/>
        <w:tabs>
          <w:tab w:val="clear" w:pos="227"/>
        </w:tabs>
        <w:ind w:left="227" w:hanging="227"/>
      </w:pPr>
      <w:r>
        <w:rPr>
          <w:rStyle w:val="Voetnootmarkering"/>
        </w:rPr>
        <w:footnoteRef/>
      </w:r>
      <w:r>
        <w:t xml:space="preserve"> </w:t>
      </w:r>
      <w:r>
        <w:tab/>
        <w:t>Artikelen 6 en 7, en de toelichting daarop.</w:t>
      </w:r>
    </w:p>
  </w:footnote>
  <w:footnote w:id="8">
    <w:p w:rsidR="00104E85" w:rsidRDefault="00A143F4" w:rsidP="00C36D79">
      <w:pPr>
        <w:pStyle w:val="Voetnoottekst"/>
        <w:tabs>
          <w:tab w:val="clear" w:pos="227"/>
        </w:tabs>
        <w:ind w:left="227" w:hanging="227"/>
      </w:pPr>
      <w:r>
        <w:rPr>
          <w:rStyle w:val="Voetnootmarkering"/>
        </w:rPr>
        <w:footnoteRef/>
      </w:r>
      <w:r>
        <w:t xml:space="preserve"> </w:t>
      </w:r>
      <w:r>
        <w:tab/>
      </w:r>
      <w:r w:rsidRPr="00104E85">
        <w:t>Wetsvoorstel tot wijziging van het BW, de Awb en de AWR in verband met de tenuitvoerlegging van een beschikking van de Commissie van de Europese Gemeenschappen of een rechterlijke uitspraak inzake staatssteun, alsmede wijziging van het BW om de procedure voor het vaststellen van de wettelijke rente aan te passen (terugvordering staatsste</w:t>
      </w:r>
      <w:r>
        <w:t>un) Kamerstukken II 2007/08, 31 </w:t>
      </w:r>
      <w:r w:rsidRPr="00104E85">
        <w:t>418, nr. 1-3.</w:t>
      </w:r>
    </w:p>
  </w:footnote>
  <w:footnote w:id="9">
    <w:p w:rsidR="0027767A" w:rsidRDefault="00A143F4" w:rsidP="00C36D79">
      <w:pPr>
        <w:pStyle w:val="Voetnoottekst"/>
        <w:tabs>
          <w:tab w:val="clear" w:pos="227"/>
        </w:tabs>
        <w:ind w:left="227" w:hanging="227"/>
      </w:pPr>
      <w:r>
        <w:rPr>
          <w:rStyle w:val="Voetnootmarkering"/>
        </w:rPr>
        <w:footnoteRef/>
      </w:r>
      <w:r>
        <w:t xml:space="preserve">  </w:t>
      </w:r>
      <w:r>
        <w:tab/>
      </w:r>
      <w:r w:rsidRPr="0027767A">
        <w:t>Interdepartementale Commissie Europees Recht, Werkg</w:t>
      </w:r>
      <w:r>
        <w:t xml:space="preserve">roep Trends in de rechtspraak, </w:t>
      </w:r>
      <w:r w:rsidRPr="0027767A">
        <w:t>Terugvordering van staatssteun (Den Haag, 27 juli 2002), B.W.N. de Waard, A.J.C. de Moor-van Vugt, Terugvordering van ten onrechte verstrekte staatssteun (Tilbur</w:t>
      </w:r>
      <w:r>
        <w:t xml:space="preserve">g: </w:t>
      </w:r>
      <w:proofErr w:type="spellStart"/>
      <w:r>
        <w:t>Schoordijk</w:t>
      </w:r>
      <w:proofErr w:type="spellEnd"/>
      <w:r>
        <w:t xml:space="preserve"> Instituut, 2005).</w:t>
      </w:r>
      <w:r w:rsidRPr="0027767A">
        <w:t xml:space="preserve"> </w:t>
      </w:r>
    </w:p>
  </w:footnote>
  <w:footnote w:id="10">
    <w:p w:rsidR="00332059" w:rsidRDefault="00A143F4" w:rsidP="00C36D79">
      <w:pPr>
        <w:pStyle w:val="Voetnoottekst"/>
        <w:tabs>
          <w:tab w:val="clear" w:pos="227"/>
        </w:tabs>
        <w:ind w:left="227" w:hanging="227"/>
      </w:pPr>
      <w:r>
        <w:rPr>
          <w:rStyle w:val="Voetnootmarkering"/>
        </w:rPr>
        <w:footnoteRef/>
      </w:r>
      <w:r>
        <w:t xml:space="preserve"> </w:t>
      </w:r>
      <w:r>
        <w:tab/>
        <w:t xml:space="preserve">Uitspraak van de Rechtbank </w:t>
      </w:r>
      <w:r w:rsidRPr="008C0D97">
        <w:t xml:space="preserve">Rotterdam </w:t>
      </w:r>
      <w:r>
        <w:t xml:space="preserve">van </w:t>
      </w:r>
      <w:r w:rsidRPr="008C0D97">
        <w:t>18 september 2013, ECLI:NL:RBROT:2013:9330</w:t>
      </w:r>
      <w:r>
        <w:t>, (</w:t>
      </w:r>
      <w:proofErr w:type="spellStart"/>
      <w:r>
        <w:t>Kliq</w:t>
      </w:r>
      <w:proofErr w:type="spellEnd"/>
      <w:r>
        <w:t>).</w:t>
      </w:r>
    </w:p>
  </w:footnote>
  <w:footnote w:id="11">
    <w:p w:rsidR="00E8258F" w:rsidRDefault="00A143F4" w:rsidP="00C36D79">
      <w:pPr>
        <w:pStyle w:val="Voetnoottekst"/>
        <w:tabs>
          <w:tab w:val="clear" w:pos="227"/>
        </w:tabs>
        <w:ind w:left="227" w:hanging="227"/>
      </w:pPr>
      <w:r>
        <w:rPr>
          <w:rStyle w:val="Voetnootmarkering"/>
        </w:rPr>
        <w:footnoteRef/>
      </w:r>
      <w:r>
        <w:t xml:space="preserve"> </w:t>
      </w:r>
      <w:r>
        <w:tab/>
      </w:r>
      <w:r w:rsidRPr="00E8258F">
        <w:t xml:space="preserve">A.J. Metselaar, Drie rechters en één norm: Handhaving van de Europese </w:t>
      </w:r>
      <w:r w:rsidRPr="00E8258F">
        <w:tab/>
        <w:t xml:space="preserve">staatssteunregels en de grenzen van de nationale procedurele autonomie (Wolters Kluwer, 2016), blz. </w:t>
      </w:r>
      <w:r>
        <w:t>477.</w:t>
      </w:r>
    </w:p>
  </w:footnote>
  <w:footnote w:id="12">
    <w:p w:rsidR="00332059" w:rsidRDefault="00A143F4" w:rsidP="00C36D79">
      <w:pPr>
        <w:pStyle w:val="Voetnoottekst"/>
        <w:tabs>
          <w:tab w:val="clear" w:pos="227"/>
        </w:tabs>
        <w:ind w:left="227" w:hanging="227"/>
      </w:pPr>
      <w:r>
        <w:rPr>
          <w:rStyle w:val="Voetnootmarkering"/>
        </w:rPr>
        <w:footnoteRef/>
      </w:r>
      <w:r>
        <w:t xml:space="preserve"> </w:t>
      </w:r>
      <w:r>
        <w:tab/>
        <w:t xml:space="preserve">Artikel 16 van de Procedureverordening. Zie tevens artikelen 9 t/m 11 van Verordening (EG) nr. 794/2004 van de Commissie tot uitvoering van Verordening (EU) 2015/1589 van de Raad tot vaststelling van nadere bepalingen voor de toepassing van artikel 108 VWEU, PB 2004, L 140/1). Zie ook: A.J. Metselaar, Drie rechters en één norm: Handhaving van de Europese staatssteunregels en de grenzen van de nationale procedurele autonomie (Wolters Kluwer, 2016), blz. 473. </w:t>
      </w:r>
    </w:p>
  </w:footnote>
  <w:footnote w:id="13">
    <w:p w:rsidR="00332059" w:rsidRDefault="00A143F4" w:rsidP="00C36D79">
      <w:pPr>
        <w:pStyle w:val="Voetnoottekst"/>
        <w:tabs>
          <w:tab w:val="clear" w:pos="227"/>
        </w:tabs>
        <w:ind w:left="227" w:hanging="227"/>
      </w:pPr>
      <w:r>
        <w:rPr>
          <w:rStyle w:val="Voetnootmarkering"/>
        </w:rPr>
        <w:footnoteRef/>
      </w:r>
      <w:r>
        <w:t xml:space="preserve"> </w:t>
      </w:r>
      <w:r>
        <w:tab/>
        <w:t xml:space="preserve">Paragraaf 2 van het algemeen deel van de memorie van toelichting. </w:t>
      </w:r>
    </w:p>
  </w:footnote>
  <w:footnote w:id="14">
    <w:p w:rsidR="003B761B" w:rsidRDefault="00A143F4" w:rsidP="00C36D79">
      <w:pPr>
        <w:pStyle w:val="Voetnoottekst"/>
        <w:tabs>
          <w:tab w:val="clear" w:pos="227"/>
        </w:tabs>
        <w:ind w:left="227" w:hanging="227"/>
      </w:pPr>
      <w:r>
        <w:rPr>
          <w:rStyle w:val="Voetnootmarkering"/>
        </w:rPr>
        <w:footnoteRef/>
      </w:r>
      <w:r>
        <w:tab/>
        <w:t>A.J. Metselaar, Drie rechters en één norm: Handhaving van de Europese staatssteunregels en de grenzen van de nationale procedurele autonomie (Wolters Kluwer, 2016), blz. 454, 456, 495, 505, paragraaf 7.4.4, paragraaf 9.3.1.</w:t>
      </w:r>
    </w:p>
  </w:footnote>
  <w:footnote w:id="15">
    <w:p w:rsidR="003B761B" w:rsidRDefault="00A143F4" w:rsidP="00C36D79">
      <w:pPr>
        <w:pStyle w:val="Voetnoottekst"/>
        <w:tabs>
          <w:tab w:val="clear" w:pos="227"/>
        </w:tabs>
        <w:ind w:left="227" w:hanging="227"/>
      </w:pPr>
      <w:r>
        <w:rPr>
          <w:rStyle w:val="Voetnootmarkering"/>
        </w:rPr>
        <w:footnoteRef/>
      </w:r>
      <w:r>
        <w:t xml:space="preserve"> </w:t>
      </w:r>
      <w:r>
        <w:tab/>
        <w:t>Uitspraak van de Rechtbank Rotterdam van 4 juli 2007, ECLI:NL:RBROT:2007:BB0270, (Fleuren Compost), rov.5.14, en van 18 september 2013, ECLI:NL:RBROT:2013:9330 (</w:t>
      </w:r>
      <w:proofErr w:type="spellStart"/>
      <w:r>
        <w:t>Kliq</w:t>
      </w:r>
      <w:proofErr w:type="spellEnd"/>
      <w:r>
        <w:t xml:space="preserve">), </w:t>
      </w:r>
      <w:proofErr w:type="spellStart"/>
      <w:r>
        <w:t>rov</w:t>
      </w:r>
      <w:proofErr w:type="spellEnd"/>
      <w:r>
        <w:t>. 4.25.</w:t>
      </w:r>
    </w:p>
  </w:footnote>
  <w:footnote w:id="16">
    <w:p w:rsidR="00AD0D41" w:rsidRDefault="00A143F4" w:rsidP="00C36D79">
      <w:pPr>
        <w:pStyle w:val="Voetnoottekst"/>
        <w:tabs>
          <w:tab w:val="clear" w:pos="227"/>
        </w:tabs>
        <w:ind w:left="227" w:hanging="227"/>
      </w:pPr>
      <w:r>
        <w:rPr>
          <w:rStyle w:val="Voetnootmarkering"/>
        </w:rPr>
        <w:footnoteRef/>
      </w:r>
      <w:r>
        <w:t xml:space="preserve"> </w:t>
      </w:r>
      <w:r>
        <w:tab/>
        <w:t>Zie</w:t>
      </w:r>
      <w:r w:rsidRPr="00AD0D41">
        <w:t xml:space="preserve"> artikel 4, derde lid, van het Verdrag betreffende de Europese Unie</w:t>
      </w:r>
      <w:r>
        <w:t>.</w:t>
      </w:r>
      <w:r w:rsidRPr="00AD0D41">
        <w:t xml:space="preserve"> </w:t>
      </w:r>
    </w:p>
  </w:footnote>
  <w:footnote w:id="17">
    <w:p w:rsidR="009C614E" w:rsidRDefault="00A143F4" w:rsidP="00C36D79">
      <w:pPr>
        <w:pStyle w:val="Voetnoottekst"/>
        <w:tabs>
          <w:tab w:val="clear" w:pos="227"/>
        </w:tabs>
        <w:ind w:left="227" w:hanging="227"/>
      </w:pPr>
      <w:r>
        <w:rPr>
          <w:rStyle w:val="Voetnootmarkering"/>
        </w:rPr>
        <w:footnoteRef/>
      </w:r>
      <w:r>
        <w:t xml:space="preserve"> </w:t>
      </w:r>
      <w:r>
        <w:tab/>
        <w:t>Mededeling van de Commissie over de handhaving van de staatssteunregels door de nationale rechterlijke instanties, PB 2009, C 85/1.</w:t>
      </w:r>
    </w:p>
  </w:footnote>
  <w:footnote w:id="18">
    <w:p w:rsidR="007D099A" w:rsidRDefault="00A143F4" w:rsidP="00C36D79">
      <w:pPr>
        <w:pStyle w:val="Voetnoottekst"/>
        <w:tabs>
          <w:tab w:val="clear" w:pos="227"/>
        </w:tabs>
        <w:ind w:left="227" w:hanging="227"/>
      </w:pPr>
      <w:r>
        <w:rPr>
          <w:rStyle w:val="Voetnootmarkering"/>
        </w:rPr>
        <w:footnoteRef/>
      </w:r>
      <w:r>
        <w:t xml:space="preserve"> </w:t>
      </w:r>
      <w:r>
        <w:tab/>
        <w:t>Artikel 1 van het voorstel.</w:t>
      </w:r>
    </w:p>
  </w:footnote>
  <w:footnote w:id="19">
    <w:p w:rsidR="007D099A" w:rsidRDefault="00A143F4" w:rsidP="00C36D79">
      <w:pPr>
        <w:pStyle w:val="Voetnoottekst"/>
        <w:tabs>
          <w:tab w:val="clear" w:pos="227"/>
        </w:tabs>
        <w:ind w:left="227" w:hanging="227"/>
      </w:pPr>
      <w:r>
        <w:rPr>
          <w:rStyle w:val="Voetnootmarkering"/>
        </w:rPr>
        <w:footnoteRef/>
      </w:r>
      <w:r>
        <w:t xml:space="preserve"> </w:t>
      </w:r>
      <w:r>
        <w:tab/>
        <w:t xml:space="preserve">Voorgestelde artikelen 20a, eerste lid, van de AWR en 63aa van de IW 1990 (artikelen 10 respectievelijk 11 van het voorstel). </w:t>
      </w:r>
    </w:p>
  </w:footnote>
  <w:footnote w:id="20">
    <w:p w:rsidR="00093612" w:rsidRDefault="00A143F4" w:rsidP="00C36D79">
      <w:pPr>
        <w:pStyle w:val="Voetnoottekst"/>
        <w:tabs>
          <w:tab w:val="clear" w:pos="227"/>
        </w:tabs>
        <w:ind w:left="227" w:hanging="227"/>
      </w:pPr>
      <w:r>
        <w:rPr>
          <w:rStyle w:val="Voetnootmarkering"/>
        </w:rPr>
        <w:footnoteRef/>
      </w:r>
      <w:r>
        <w:tab/>
        <w:t>Artikel 2, tweede lid, van het voorstel, en de toelichting daarop, zevende en negende volzin.</w:t>
      </w:r>
    </w:p>
  </w:footnote>
  <w:footnote w:id="21">
    <w:p w:rsidR="007D099A" w:rsidRDefault="00A143F4" w:rsidP="00C36D79">
      <w:pPr>
        <w:pStyle w:val="Voetnoottekst"/>
        <w:tabs>
          <w:tab w:val="clear" w:pos="227"/>
        </w:tabs>
        <w:ind w:left="227" w:hanging="227"/>
      </w:pPr>
      <w:r>
        <w:rPr>
          <w:rStyle w:val="Voetnootmarkering"/>
        </w:rPr>
        <w:footnoteRef/>
      </w:r>
      <w:r>
        <w:t xml:space="preserve"> </w:t>
      </w:r>
      <w:r>
        <w:tab/>
        <w:t xml:space="preserve">Paragraaf 1 (Inleiding), </w:t>
      </w:r>
      <w:r w:rsidRPr="003B761B">
        <w:t>van het algemene deel van de memorie van toelichting</w:t>
      </w:r>
      <w:r>
        <w:t>, derde tekstblok.</w:t>
      </w:r>
    </w:p>
  </w:footnote>
  <w:footnote w:id="22">
    <w:p w:rsidR="007D099A" w:rsidRDefault="00A143F4" w:rsidP="00C36D79">
      <w:pPr>
        <w:pStyle w:val="Voetnoottekst"/>
        <w:tabs>
          <w:tab w:val="clear" w:pos="227"/>
        </w:tabs>
        <w:ind w:left="227" w:hanging="227"/>
      </w:pPr>
      <w:r>
        <w:rPr>
          <w:rStyle w:val="Voetnootmarkering"/>
        </w:rPr>
        <w:footnoteRef/>
      </w:r>
      <w:r>
        <w:t xml:space="preserve"> </w:t>
      </w:r>
      <w:r>
        <w:tab/>
        <w:t xml:space="preserve">Paragraaf 3 (Karakter wetsvoorstel), </w:t>
      </w:r>
      <w:r w:rsidRPr="003B761B">
        <w:t>van het algemene deel van de memorie van toelichting</w:t>
      </w:r>
      <w:r>
        <w:t>, laatste tekstblok.</w:t>
      </w:r>
    </w:p>
  </w:footnote>
  <w:footnote w:id="23">
    <w:p w:rsidR="00681D55" w:rsidRDefault="00A143F4" w:rsidP="00C36D79">
      <w:pPr>
        <w:pStyle w:val="Voetnoottekst"/>
        <w:tabs>
          <w:tab w:val="clear" w:pos="227"/>
        </w:tabs>
        <w:ind w:left="227" w:hanging="227"/>
      </w:pPr>
      <w:r>
        <w:rPr>
          <w:rStyle w:val="Voetnootmarkering"/>
        </w:rPr>
        <w:footnoteRef/>
      </w:r>
      <w:r>
        <w:t xml:space="preserve"> </w:t>
      </w:r>
      <w:r>
        <w:tab/>
        <w:t>Artikel 17 van de Procedureverordening.</w:t>
      </w:r>
    </w:p>
  </w:footnote>
  <w:footnote w:id="24">
    <w:p w:rsidR="00681D55" w:rsidRDefault="00A143F4" w:rsidP="00C36D79">
      <w:pPr>
        <w:pStyle w:val="Voetnoottekst"/>
        <w:tabs>
          <w:tab w:val="clear" w:pos="227"/>
        </w:tabs>
        <w:ind w:left="227" w:hanging="227"/>
      </w:pPr>
      <w:r>
        <w:rPr>
          <w:rStyle w:val="Voetnootmarkering"/>
        </w:rPr>
        <w:footnoteRef/>
      </w:r>
      <w:r>
        <w:t xml:space="preserve"> </w:t>
      </w:r>
      <w:r>
        <w:tab/>
        <w:t>A</w:t>
      </w:r>
      <w:r w:rsidRPr="009C614E">
        <w:t>rtikel</w:t>
      </w:r>
      <w:r>
        <w:t>en</w:t>
      </w:r>
      <w:r w:rsidRPr="009C614E">
        <w:t xml:space="preserve"> </w:t>
      </w:r>
      <w:r>
        <w:t>4 en 10 (artikel 20a, derde lid, van de AWR) van het voorstel, en de toelichting daarop.</w:t>
      </w:r>
    </w:p>
  </w:footnote>
  <w:footnote w:id="25">
    <w:p w:rsidR="00794511" w:rsidRDefault="00A143F4" w:rsidP="00C36D79">
      <w:pPr>
        <w:pStyle w:val="Voetnoottekst"/>
        <w:tabs>
          <w:tab w:val="clear" w:pos="227"/>
        </w:tabs>
        <w:ind w:left="227" w:hanging="227"/>
      </w:pPr>
      <w:r>
        <w:rPr>
          <w:rStyle w:val="Voetnootmarkering"/>
        </w:rPr>
        <w:footnoteRef/>
      </w:r>
      <w:r>
        <w:t xml:space="preserve"> </w:t>
      </w:r>
      <w:r>
        <w:tab/>
        <w:t xml:space="preserve">Arrest van het Hof van Justitie van 21 juni 2007, </w:t>
      </w:r>
      <w:r w:rsidRPr="00794511">
        <w:t>ECLI:EU:C:2007:370</w:t>
      </w:r>
      <w:r>
        <w:t xml:space="preserve">, C-158/06, Stichting ROM-projecten. </w:t>
      </w:r>
    </w:p>
  </w:footnote>
  <w:footnote w:id="26">
    <w:p w:rsidR="00794511" w:rsidRDefault="00A143F4" w:rsidP="00C36D79">
      <w:pPr>
        <w:pStyle w:val="Voetnoottekst"/>
        <w:tabs>
          <w:tab w:val="clear" w:pos="227"/>
        </w:tabs>
        <w:ind w:left="227" w:hanging="227"/>
      </w:pPr>
      <w:r>
        <w:rPr>
          <w:rStyle w:val="Voetnootmarkering"/>
        </w:rPr>
        <w:footnoteRef/>
      </w:r>
      <w:r>
        <w:tab/>
        <w:t xml:space="preserve">Arrest van het Hof van Justitie van 21 juni 2007, </w:t>
      </w:r>
      <w:r w:rsidRPr="00794511">
        <w:t xml:space="preserve">ECLI:EU:C:2007:370, </w:t>
      </w:r>
      <w:r>
        <w:tab/>
        <w:t>C-158/06, Stichting ROM-projecten, punt 34.</w:t>
      </w:r>
    </w:p>
  </w:footnote>
  <w:footnote w:id="27">
    <w:p w:rsidR="00EF4857" w:rsidRDefault="00A143F4" w:rsidP="00C36D79">
      <w:pPr>
        <w:pStyle w:val="Voetnoottekst"/>
        <w:tabs>
          <w:tab w:val="clear" w:pos="227"/>
        </w:tabs>
        <w:ind w:left="227" w:hanging="227"/>
      </w:pPr>
      <w:r>
        <w:rPr>
          <w:rStyle w:val="Voetnootmarkering"/>
        </w:rPr>
        <w:footnoteRef/>
      </w:r>
      <w:r>
        <w:t xml:space="preserve"> </w:t>
      </w:r>
      <w:r>
        <w:tab/>
        <w:t>Paragraaf 2 (Europees staatssteunregime) van het algemeen deel van de memorie van toelichting. Zie bijv. ook Gerecht 22 april 2016, zaak T-50/06 RENV enz., punt 214.</w:t>
      </w:r>
    </w:p>
  </w:footnote>
  <w:footnote w:id="28">
    <w:p w:rsidR="009C614E" w:rsidRDefault="00A143F4" w:rsidP="00C36D79">
      <w:pPr>
        <w:pStyle w:val="Voetnoottekst"/>
        <w:tabs>
          <w:tab w:val="clear" w:pos="227"/>
        </w:tabs>
        <w:ind w:left="227" w:hanging="227"/>
      </w:pPr>
      <w:r>
        <w:rPr>
          <w:rStyle w:val="Voetnootmarkering"/>
        </w:rPr>
        <w:footnoteRef/>
      </w:r>
      <w:r>
        <w:t xml:space="preserve"> </w:t>
      </w:r>
      <w:r>
        <w:tab/>
        <w:t xml:space="preserve">Arrest van het Hof van Justitie van de Europese Unie van 20 maart 1987, ECLI:C:1997:163, C-24/95, Alcan Deutschland, punt 25 en bijvoorbeeld het arrest van het Gerecht van 15 juni 2010, ECLI:EU:T:2010:233, T-177/07, </w:t>
      </w:r>
      <w:proofErr w:type="spellStart"/>
      <w:r>
        <w:t>Mediaset</w:t>
      </w:r>
      <w:proofErr w:type="spellEnd"/>
      <w:r>
        <w:t>, punten 173 en volgende.</w:t>
      </w:r>
    </w:p>
  </w:footnote>
  <w:footnote w:id="29">
    <w:p w:rsidR="005F773E" w:rsidRDefault="00A143F4" w:rsidP="00C36D79">
      <w:pPr>
        <w:pStyle w:val="Voetnoottekst"/>
        <w:tabs>
          <w:tab w:val="clear" w:pos="227"/>
        </w:tabs>
        <w:ind w:left="227" w:hanging="227"/>
      </w:pPr>
      <w:r>
        <w:rPr>
          <w:rStyle w:val="Voetnootmarkering"/>
        </w:rPr>
        <w:footnoteRef/>
      </w:r>
      <w:r>
        <w:t xml:space="preserve"> </w:t>
      </w:r>
      <w:r>
        <w:tab/>
        <w:t xml:space="preserve">Paragraaf 4.5 (termijnbepaling) van het algemeen deel van de memorie van toelichting. </w:t>
      </w:r>
    </w:p>
  </w:footnote>
  <w:footnote w:id="30">
    <w:p w:rsidR="00DB360E" w:rsidRDefault="00A143F4" w:rsidP="00C36D79">
      <w:pPr>
        <w:pStyle w:val="Voetnoottekst"/>
        <w:tabs>
          <w:tab w:val="clear" w:pos="227"/>
        </w:tabs>
        <w:ind w:left="227" w:hanging="227"/>
      </w:pPr>
      <w:r>
        <w:rPr>
          <w:rStyle w:val="Voetnootmarkering"/>
        </w:rPr>
        <w:footnoteRef/>
      </w:r>
      <w:r>
        <w:t xml:space="preserve"> </w:t>
      </w:r>
      <w:r>
        <w:tab/>
        <w:t>Zie onder meer paragraaf 1 (Inleiding), van het algemene deel van de memorie van toelichting.</w:t>
      </w:r>
    </w:p>
  </w:footnote>
  <w:footnote w:id="31">
    <w:p w:rsidR="00736186" w:rsidRDefault="00A143F4" w:rsidP="00736186">
      <w:pPr>
        <w:pStyle w:val="Voetnoottekst"/>
        <w:tabs>
          <w:tab w:val="clear" w:pos="227"/>
        </w:tabs>
        <w:ind w:left="227" w:hanging="227"/>
      </w:pPr>
      <w:r>
        <w:rPr>
          <w:rStyle w:val="Voetnootmarkering"/>
        </w:rPr>
        <w:footnoteRef/>
      </w:r>
      <w:r>
        <w:t xml:space="preserve"> </w:t>
      </w:r>
      <w:r>
        <w:tab/>
        <w:t>Artikel 10 van het voorstel en de toelichting daarop (artikelen 20a en 20b van de AWR).</w:t>
      </w:r>
    </w:p>
  </w:footnote>
  <w:footnote w:id="32">
    <w:p w:rsidR="0058056D" w:rsidRDefault="00A143F4" w:rsidP="00C36D79">
      <w:pPr>
        <w:pStyle w:val="Voetnoottekst"/>
        <w:tabs>
          <w:tab w:val="clear" w:pos="227"/>
        </w:tabs>
        <w:ind w:left="227" w:hanging="227"/>
      </w:pPr>
      <w:r>
        <w:rPr>
          <w:rStyle w:val="Voetnootmarkering"/>
        </w:rPr>
        <w:footnoteRef/>
      </w:r>
      <w:r>
        <w:t xml:space="preserve"> V</w:t>
      </w:r>
      <w:r w:rsidRPr="0058056D">
        <w:t>anwege de terugvordering van staatssteun</w:t>
      </w:r>
      <w:r>
        <w:t>.</w:t>
      </w:r>
    </w:p>
  </w:footnote>
  <w:footnote w:id="33">
    <w:p w:rsidR="00DB360E" w:rsidRDefault="00A143F4" w:rsidP="00C36D79">
      <w:pPr>
        <w:pStyle w:val="Voetnoottekst"/>
        <w:tabs>
          <w:tab w:val="clear" w:pos="227"/>
        </w:tabs>
        <w:ind w:left="227" w:hanging="227"/>
      </w:pPr>
      <w:r>
        <w:rPr>
          <w:rStyle w:val="Voetnootmarkering"/>
        </w:rPr>
        <w:footnoteRef/>
      </w:r>
      <w:r>
        <w:t xml:space="preserve"> </w:t>
      </w:r>
      <w:r>
        <w:tab/>
        <w:t>O</w:t>
      </w:r>
      <w:r w:rsidRPr="00AE7B1F">
        <w:t>p grond van artikel 20b van d</w:t>
      </w:r>
      <w:r>
        <w:t>e Wet op de vennootschapsbelasting 1969.</w:t>
      </w:r>
    </w:p>
  </w:footnote>
  <w:footnote w:id="34">
    <w:p w:rsidR="00DB360E" w:rsidRDefault="00A143F4" w:rsidP="00C36D79">
      <w:pPr>
        <w:pStyle w:val="Voetnoottekst"/>
        <w:tabs>
          <w:tab w:val="clear" w:pos="227"/>
        </w:tabs>
        <w:ind w:left="227" w:hanging="227"/>
      </w:pPr>
      <w:r>
        <w:rPr>
          <w:rStyle w:val="Voetnootmarkering"/>
        </w:rPr>
        <w:footnoteRef/>
      </w:r>
      <w:r>
        <w:t xml:space="preserve"> </w:t>
      </w:r>
      <w:r>
        <w:tab/>
        <w:t>W</w:t>
      </w:r>
      <w:r w:rsidRPr="00C36D79">
        <w:t>aarin een negatieve winst wordt verrekend met de positieve win</w:t>
      </w:r>
      <w:r>
        <w:t xml:space="preserve">st van het voorafgaande jaar en </w:t>
      </w:r>
      <w:r w:rsidRPr="00C36D79">
        <w:t>de negen volgende jaren</w:t>
      </w:r>
      <w:r>
        <w:t xml:space="preserve"> (a</w:t>
      </w:r>
      <w:r w:rsidRPr="00AE7B1F">
        <w:t>rtikel 20 van de Wet op de vennootschapsbelasting 1969</w:t>
      </w:r>
      <w:r>
        <w:t>).</w:t>
      </w:r>
    </w:p>
  </w:footnote>
  <w:footnote w:id="35">
    <w:p w:rsidR="007E1017" w:rsidRDefault="00A143F4" w:rsidP="00C36D79">
      <w:pPr>
        <w:pStyle w:val="Voetnoottekst"/>
        <w:tabs>
          <w:tab w:val="clear" w:pos="227"/>
        </w:tabs>
        <w:ind w:left="227" w:hanging="227"/>
      </w:pPr>
      <w:r>
        <w:rPr>
          <w:rStyle w:val="Voetnootmarkering"/>
        </w:rPr>
        <w:footnoteRef/>
      </w:r>
      <w:r>
        <w:t xml:space="preserve"> </w:t>
      </w:r>
      <w:r>
        <w:tab/>
        <w:t>G</w:t>
      </w:r>
      <w:r w:rsidRPr="0098665E">
        <w:t xml:space="preserve">egeven de Europeesrechtelijke jurisprudentie </w:t>
      </w:r>
      <w:r>
        <w:t>inzake</w:t>
      </w:r>
      <w:r w:rsidRPr="0098665E">
        <w:t xml:space="preserve"> de terugvordering van staatssteun</w:t>
      </w:r>
      <w:r>
        <w:t xml:space="preserve">. Zie laatstelijk het arrest van het Hof van Justitie van de Europese Unie van 21 december 2016, ECLI:EU:C:2016, 990, C-164/15 P en C-165/15 P, Air </w:t>
      </w:r>
      <w:proofErr w:type="spellStart"/>
      <w:r>
        <w:t>Lingus</w:t>
      </w:r>
      <w:proofErr w:type="spellEnd"/>
      <w:r>
        <w:t xml:space="preserve">, punten 91 tot en met 93. </w:t>
      </w:r>
    </w:p>
  </w:footnote>
  <w:footnote w:id="36">
    <w:p w:rsidR="0026514E" w:rsidRDefault="00A143F4">
      <w:pPr>
        <w:pStyle w:val="Voetnoottekst"/>
      </w:pPr>
      <w:r>
        <w:rPr>
          <w:rStyle w:val="Voetnootmarkering"/>
        </w:rPr>
        <w:footnoteRef/>
      </w:r>
      <w:r>
        <w:t xml:space="preserve"> </w:t>
      </w:r>
      <w:r>
        <w:tab/>
        <w:t>A</w:t>
      </w:r>
      <w:r w:rsidRPr="00A06E8B">
        <w:t>l dan niet met het oogmerk om de voorheen bestaande marktsituatie te herstellen</w:t>
      </w:r>
      <w:r>
        <w:t>.</w:t>
      </w:r>
    </w:p>
  </w:footnote>
  <w:footnote w:id="37">
    <w:p w:rsidR="00A06E8B" w:rsidRDefault="00A143F4">
      <w:pPr>
        <w:pStyle w:val="Voetnoottekst"/>
      </w:pPr>
      <w:r>
        <w:rPr>
          <w:rStyle w:val="Voetnootmarkering"/>
        </w:rPr>
        <w:footnoteRef/>
      </w:r>
      <w:r>
        <w:t xml:space="preserve"> </w:t>
      </w:r>
      <w:r>
        <w:tab/>
        <w:t>B</w:t>
      </w:r>
      <w:r w:rsidRPr="00A06E8B">
        <w:t>ij het voorkomen van dubbele belastingheffing tussen landen</w:t>
      </w:r>
      <w:r>
        <w:t>.</w:t>
      </w:r>
    </w:p>
  </w:footnote>
  <w:footnote w:id="38">
    <w:p w:rsidR="00A06E8B" w:rsidRDefault="00A143F4" w:rsidP="00A06E8B">
      <w:pPr>
        <w:pStyle w:val="Voetnoottekst"/>
        <w:tabs>
          <w:tab w:val="clear" w:pos="227"/>
        </w:tabs>
        <w:ind w:left="227" w:hanging="227"/>
      </w:pPr>
      <w:r>
        <w:rPr>
          <w:rStyle w:val="Voetnootmarkering"/>
        </w:rPr>
        <w:footnoteRef/>
      </w:r>
      <w:r>
        <w:t xml:space="preserve"> </w:t>
      </w:r>
      <w:r>
        <w:tab/>
        <w:t>E</w:t>
      </w:r>
      <w:r w:rsidRPr="00A06E8B">
        <w:t>en bij navordering bijvoorbeeld hogere fiscale winst van een ondernemer/natuurlijke persoon zou moeten leiden tot een lagere niet-fiscale toeslag</w:t>
      </w:r>
      <w:r>
        <w:t>.</w:t>
      </w:r>
    </w:p>
  </w:footnote>
  <w:footnote w:id="39">
    <w:p w:rsidR="00E910E3" w:rsidRDefault="00A143F4" w:rsidP="00C36D79">
      <w:pPr>
        <w:pStyle w:val="Voetnoottekst"/>
        <w:tabs>
          <w:tab w:val="clear" w:pos="227"/>
        </w:tabs>
        <w:ind w:left="227" w:hanging="227"/>
      </w:pPr>
      <w:r>
        <w:rPr>
          <w:rStyle w:val="Voetnootmarkering"/>
        </w:rPr>
        <w:footnoteRef/>
      </w:r>
      <w:r>
        <w:t xml:space="preserve"> </w:t>
      </w:r>
      <w:r>
        <w:tab/>
        <w:t>Ingevolge dit artikellid is een gehomologeerd akkoord tot beëindiging van een schuldsaneringsregeling verbindend voor alle schuldeisers ten aanzien van wier vorderingen de schuldsaneringsregeling werkt, onverschillig of zij al dan niet in de schuldsaneringsregeling opgekomen zijn.</w:t>
      </w:r>
    </w:p>
  </w:footnote>
  <w:footnote w:id="40">
    <w:p w:rsidR="00E910E3" w:rsidRDefault="00A143F4" w:rsidP="00C36D79">
      <w:pPr>
        <w:pStyle w:val="Voetnoottekst"/>
        <w:tabs>
          <w:tab w:val="clear" w:pos="227"/>
        </w:tabs>
        <w:ind w:left="227" w:hanging="227"/>
      </w:pPr>
      <w:r>
        <w:rPr>
          <w:rStyle w:val="Voetnootmarkering"/>
        </w:rPr>
        <w:footnoteRef/>
      </w:r>
      <w:r>
        <w:t xml:space="preserve"> </w:t>
      </w:r>
      <w:r>
        <w:tab/>
        <w:t>Paragraaf 6.3 (Internetconsultatie), van het algemene deel van de memorie van toelichting.</w:t>
      </w:r>
    </w:p>
  </w:footnote>
  <w:footnote w:id="41">
    <w:p w:rsidR="00E910E3" w:rsidRDefault="00A143F4" w:rsidP="00C36D79">
      <w:pPr>
        <w:pStyle w:val="Voetnoottekst"/>
        <w:tabs>
          <w:tab w:val="clear" w:pos="227"/>
        </w:tabs>
        <w:ind w:left="227" w:hanging="227"/>
      </w:pPr>
      <w:r>
        <w:rPr>
          <w:rStyle w:val="Voetnootmarkering"/>
        </w:rPr>
        <w:footnoteRef/>
      </w:r>
      <w:r>
        <w:t xml:space="preserve"> </w:t>
      </w:r>
      <w:r>
        <w:tab/>
        <w:t xml:space="preserve">Het gaat daarbij om de artikelen 33, 63a en 230 van de </w:t>
      </w:r>
      <w:proofErr w:type="spellStart"/>
      <w:r>
        <w:t>Fw</w:t>
      </w:r>
      <w:proofErr w:type="spellEnd"/>
      <w:r>
        <w:t>.</w:t>
      </w:r>
    </w:p>
  </w:footnote>
  <w:footnote w:id="42">
    <w:p w:rsidR="00E910E3" w:rsidRDefault="00A143F4" w:rsidP="00C36D79">
      <w:pPr>
        <w:pStyle w:val="Voetnoottekst"/>
        <w:tabs>
          <w:tab w:val="clear" w:pos="227"/>
        </w:tabs>
        <w:ind w:left="227" w:hanging="227"/>
      </w:pPr>
      <w:r>
        <w:rPr>
          <w:rStyle w:val="Voetnootmarkering"/>
        </w:rPr>
        <w:footnoteRef/>
      </w:r>
      <w:r>
        <w:t xml:space="preserve"> </w:t>
      </w:r>
      <w:r>
        <w:tab/>
        <w:t xml:space="preserve">Bekendmaking van de Commissie “Naar een doelmatige tenuitvoerlegging van beschikkingen van de Commissie waarbij lidstaten wordt gelast onrechtmatige en onverenigbare steun terug te vorderen” (2007/C 272/05), PB 2007, C 272/4), paragrafen 66 en 67. </w:t>
      </w:r>
    </w:p>
  </w:footnote>
  <w:footnote w:id="43">
    <w:p w:rsidR="0026514E" w:rsidRDefault="00A143F4" w:rsidP="0026514E">
      <w:pPr>
        <w:pStyle w:val="Voetnoottekst"/>
        <w:tabs>
          <w:tab w:val="clear" w:pos="227"/>
        </w:tabs>
        <w:ind w:left="227" w:hanging="227"/>
      </w:pPr>
      <w:r>
        <w:rPr>
          <w:rStyle w:val="Voetnootmarkering"/>
        </w:rPr>
        <w:footnoteRef/>
      </w:r>
      <w:r>
        <w:t xml:space="preserve"> </w:t>
      </w:r>
      <w:r>
        <w:tab/>
        <w:t>Z</w:t>
      </w:r>
      <w:r w:rsidRPr="0026514E">
        <w:t>oals ook gesteld in de internetconsultatie</w:t>
      </w:r>
      <w:r>
        <w:t xml:space="preserve"> van Maastricht University, 20 juli 2016, onder “Overige aandachtspunten”.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143F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4C83">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C4C8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2F275EF"/>
    <w:multiLevelType w:val="hybridMultilevel"/>
    <w:tmpl w:val="C3761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143F4"/>
    <w:rsid w:val="00A316AD"/>
    <w:rsid w:val="00A31DA9"/>
    <w:rsid w:val="00A5507F"/>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C4C83"/>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7A234E"/>
    <w:rPr>
      <w:vertAlign w:val="superscript"/>
    </w:rPr>
  </w:style>
  <w:style w:type="paragraph" w:styleId="Lijstalinea">
    <w:name w:val="List Paragraph"/>
    <w:basedOn w:val="Standaard"/>
    <w:uiPriority w:val="34"/>
    <w:qFormat/>
    <w:rsid w:val="007A234E"/>
    <w:pPr>
      <w:ind w:left="720"/>
      <w:contextualSpacing/>
    </w:pPr>
  </w:style>
  <w:style w:type="character" w:styleId="Verwijzingopmerking">
    <w:name w:val="annotation reference"/>
    <w:basedOn w:val="Standaardalinea-lettertype"/>
    <w:rsid w:val="00332059"/>
    <w:rPr>
      <w:sz w:val="16"/>
      <w:szCs w:val="16"/>
    </w:rPr>
  </w:style>
  <w:style w:type="paragraph" w:styleId="Tekstopmerking">
    <w:name w:val="annotation text"/>
    <w:basedOn w:val="Standaard"/>
    <w:link w:val="TekstopmerkingChar"/>
    <w:rsid w:val="00332059"/>
    <w:rPr>
      <w:sz w:val="20"/>
      <w:szCs w:val="20"/>
    </w:rPr>
  </w:style>
  <w:style w:type="character" w:customStyle="1" w:styleId="TekstopmerkingChar">
    <w:name w:val="Tekst opmerking Char"/>
    <w:basedOn w:val="Standaardalinea-lettertype"/>
    <w:link w:val="Tekstopmerking"/>
    <w:rsid w:val="00332059"/>
    <w:rPr>
      <w:rFonts w:ascii="Univers" w:hAnsi="Univers"/>
    </w:rPr>
  </w:style>
  <w:style w:type="paragraph" w:styleId="Onderwerpvanopmerking">
    <w:name w:val="annotation subject"/>
    <w:basedOn w:val="Tekstopmerking"/>
    <w:next w:val="Tekstopmerking"/>
    <w:link w:val="OnderwerpvanopmerkingChar"/>
    <w:rsid w:val="00332059"/>
    <w:rPr>
      <w:b/>
      <w:bCs/>
    </w:rPr>
  </w:style>
  <w:style w:type="character" w:customStyle="1" w:styleId="OnderwerpvanopmerkingChar">
    <w:name w:val="Onderwerp van opmerking Char"/>
    <w:basedOn w:val="TekstopmerkingChar"/>
    <w:link w:val="Onderwerpvanopmerking"/>
    <w:rsid w:val="00332059"/>
    <w:rPr>
      <w:rFonts w:ascii="Univers" w:hAnsi="Univers"/>
      <w:b/>
      <w:bCs/>
    </w:rPr>
  </w:style>
  <w:style w:type="paragraph" w:styleId="Revisie">
    <w:name w:val="Revision"/>
    <w:hidden/>
    <w:uiPriority w:val="99"/>
    <w:semiHidden/>
    <w:rsid w:val="004511E1"/>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7A234E"/>
    <w:rPr>
      <w:vertAlign w:val="superscript"/>
    </w:rPr>
  </w:style>
  <w:style w:type="paragraph" w:styleId="Lijstalinea">
    <w:name w:val="List Paragraph"/>
    <w:basedOn w:val="Standaard"/>
    <w:uiPriority w:val="34"/>
    <w:qFormat/>
    <w:rsid w:val="007A234E"/>
    <w:pPr>
      <w:ind w:left="720"/>
      <w:contextualSpacing/>
    </w:pPr>
  </w:style>
  <w:style w:type="character" w:styleId="Verwijzingopmerking">
    <w:name w:val="annotation reference"/>
    <w:basedOn w:val="Standaardalinea-lettertype"/>
    <w:rsid w:val="00332059"/>
    <w:rPr>
      <w:sz w:val="16"/>
      <w:szCs w:val="16"/>
    </w:rPr>
  </w:style>
  <w:style w:type="paragraph" w:styleId="Tekstopmerking">
    <w:name w:val="annotation text"/>
    <w:basedOn w:val="Standaard"/>
    <w:link w:val="TekstopmerkingChar"/>
    <w:rsid w:val="00332059"/>
    <w:rPr>
      <w:sz w:val="20"/>
      <w:szCs w:val="20"/>
    </w:rPr>
  </w:style>
  <w:style w:type="character" w:customStyle="1" w:styleId="TekstopmerkingChar">
    <w:name w:val="Tekst opmerking Char"/>
    <w:basedOn w:val="Standaardalinea-lettertype"/>
    <w:link w:val="Tekstopmerking"/>
    <w:rsid w:val="00332059"/>
    <w:rPr>
      <w:rFonts w:ascii="Univers" w:hAnsi="Univers"/>
    </w:rPr>
  </w:style>
  <w:style w:type="paragraph" w:styleId="Onderwerpvanopmerking">
    <w:name w:val="annotation subject"/>
    <w:basedOn w:val="Tekstopmerking"/>
    <w:next w:val="Tekstopmerking"/>
    <w:link w:val="OnderwerpvanopmerkingChar"/>
    <w:rsid w:val="00332059"/>
    <w:rPr>
      <w:b/>
      <w:bCs/>
    </w:rPr>
  </w:style>
  <w:style w:type="character" w:customStyle="1" w:styleId="OnderwerpvanopmerkingChar">
    <w:name w:val="Onderwerp van opmerking Char"/>
    <w:basedOn w:val="TekstopmerkingChar"/>
    <w:link w:val="Onderwerpvanopmerking"/>
    <w:rsid w:val="00332059"/>
    <w:rPr>
      <w:rFonts w:ascii="Univers" w:hAnsi="Univers"/>
      <w:b/>
      <w:bCs/>
    </w:rPr>
  </w:style>
  <w:style w:type="paragraph" w:styleId="Revisie">
    <w:name w:val="Revision"/>
    <w:hidden/>
    <w:uiPriority w:val="99"/>
    <w:semiHidden/>
    <w:rsid w:val="004511E1"/>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3102</ap:Words>
  <ap:Characters>18763</ap:Characters>
  <ap:DocSecurity>4</ap:DocSecurity>
  <ap:Lines>156</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2017-02-15T11:43:00.0000000Z</lastPrinted>
  <dcterms:created xsi:type="dcterms:W3CDTF">2017-06-30T10:34:00.0000000Z</dcterms:created>
  <dcterms:modified xsi:type="dcterms:W3CDTF">2017-06-30T10:34:00.0000000Z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0x0101008DCDC7353ED37546809E6DFBCC3A4015</vt:lpwstr>
  </property>
</Properties>
</file>