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00" w:rsidP="00A01ABC" w:rsidRDefault="000303BF">
      <w:pPr>
        <w:rPr>
          <w:szCs w:val="20"/>
        </w:rPr>
      </w:pPr>
    </w:p>
    <w:p w:rsidRPr="00CB7226" w:rsidR="00180575" w:rsidP="00180575" w:rsidRDefault="00180575"/>
    <w:p w:rsidR="00180575" w:rsidP="00180575" w:rsidRDefault="00180575"/>
    <w:p w:rsidRPr="00CB7226" w:rsidR="00180575" w:rsidP="00180575" w:rsidRDefault="00180575">
      <w:r w:rsidRPr="00CB7226">
        <w:t xml:space="preserve">Betreft: Rondetafelgesprek mestfraude 22 juni 2017 </w:t>
      </w:r>
    </w:p>
    <w:p w:rsidRPr="00CB7226" w:rsidR="00180575" w:rsidP="00180575" w:rsidRDefault="00180575"/>
    <w:p w:rsidR="0040194B" w:rsidP="0040194B" w:rsidRDefault="0040194B"/>
    <w:p w:rsidR="0040194B" w:rsidP="0040194B" w:rsidRDefault="0040194B">
      <w:r>
        <w:t xml:space="preserve">Wij maken ons in Brabant zorgen om mestfraude. Regelmatig hebben wij bij het Rijk aangedrongen om maatregelen te nemen. Daarom zijn wij als provincie blij dat dit </w:t>
      </w:r>
      <w:proofErr w:type="gramStart"/>
      <w:r>
        <w:t xml:space="preserve">thema  </w:t>
      </w:r>
      <w:proofErr w:type="gramEnd"/>
      <w:r>
        <w:t xml:space="preserve">onder de aandacht gebracht wordt. Hartelijk dank voor uw uitnodiging. </w:t>
      </w:r>
    </w:p>
    <w:p w:rsidR="0040194B" w:rsidP="0040194B" w:rsidRDefault="0040194B">
      <w:r>
        <w:t xml:space="preserve">Graag brengt de provincie Noord-Brabant enkele zaken onder uw aandacht. </w:t>
      </w:r>
    </w:p>
    <w:p w:rsidR="0040194B" w:rsidP="0040194B" w:rsidRDefault="0040194B">
      <w:pPr>
        <w:rPr>
          <w:b/>
        </w:rPr>
      </w:pPr>
    </w:p>
    <w:p w:rsidR="0040194B" w:rsidP="0040194B" w:rsidRDefault="0040194B">
      <w:pPr>
        <w:rPr>
          <w:b/>
        </w:rPr>
      </w:pPr>
      <w:r>
        <w:rPr>
          <w:b/>
        </w:rPr>
        <w:t xml:space="preserve">Ruimte voor mestbewerking </w:t>
      </w:r>
    </w:p>
    <w:p w:rsidR="0040194B" w:rsidP="0040194B" w:rsidRDefault="0040194B">
      <w:r>
        <w:t xml:space="preserve">Onze Provinciale Staten besluiten 7 juli over een </w:t>
      </w:r>
      <w:hyperlink w:history="1" r:id="rId9">
        <w:r>
          <w:rPr>
            <w:rStyle w:val="Hyperlink"/>
          </w:rPr>
          <w:t>pakket aan maatregelen</w:t>
        </w:r>
      </w:hyperlink>
      <w:r>
        <w:t xml:space="preserve"> om de transitie van de veehouderijsector te versnellen. Een onderdeel van dit pakket is, dat we meer </w:t>
      </w:r>
      <w:proofErr w:type="spellStart"/>
      <w:r>
        <w:t>capacitaire</w:t>
      </w:r>
      <w:proofErr w:type="spellEnd"/>
      <w:r>
        <w:t xml:space="preserve"> ruimte bieden aan agrarische ondernemers om mest te bewerken. Daar hoort onlosmakelijk de voorwaarde bij dat de hoeveelheid vee niet verder groeit, want dan spannen we het paard achter de wagen. Ruimte voor mestbewerking kan mede bijdragen aan het terugdringen van fraude. Mest is voor ons een waardevolle grondstof wanneer we dit op een juiste manier weten te </w:t>
      </w:r>
      <w:proofErr w:type="spellStart"/>
      <w:r>
        <w:t>verwaarden</w:t>
      </w:r>
      <w:proofErr w:type="spellEnd"/>
      <w:r>
        <w:t xml:space="preserve">. </w:t>
      </w:r>
      <w:r>
        <w:rPr>
          <w:rFonts w:cs="Arial"/>
        </w:rPr>
        <w:t xml:space="preserve">De provincie Noord-Brabant wil emissies uit mest minimaliseren. Dit verkleint de risico’s voor gezondheid en veiligheid en is goed voor de natuur. Het is daarvoor nodig dat veehouders mest bewerken voordat het wordt opgeslagen of aangewend. </w:t>
      </w:r>
      <w:r>
        <w:t xml:space="preserve">Daarom zetten wij ons als provincie in voor de ontwikkeling van innovatieve stalinrichtingen en innovatieve manieren van mestverwerking. Wij vragen het Rijk deze lijn te steunen. </w:t>
      </w:r>
    </w:p>
    <w:p w:rsidR="0040194B" w:rsidP="0040194B" w:rsidRDefault="0040194B">
      <w:pPr>
        <w:rPr>
          <w:b/>
        </w:rPr>
      </w:pPr>
      <w:r>
        <w:rPr>
          <w:b/>
        </w:rPr>
        <w:t xml:space="preserve">Weg met versnipperde regelgeving </w:t>
      </w:r>
    </w:p>
    <w:p w:rsidR="0040194B" w:rsidP="0040194B" w:rsidRDefault="0040194B">
      <w:r>
        <w:t xml:space="preserve">De transitie in de veehouderijsector kan niet zonder integrale sturing van het Rijk. Wij wensen van het Rijk dat zij een overkoepelende visie heeft op het aanpakken van de uitdagingen in de landbouwsector, waar de mestfraude onderdeel van uitmaakt. Uw Tweede Kamer kan sturen op een integrale aanpak in het terugdringen van emissies, een gezonde leefomgeving, en een vitale bodem. Laten wij ons gezamenlijk hard maken voor het terugdringen van de versnipperde regelgeving. Maak het systeem simpeler, ook voor de agrarisch ondernemers. </w:t>
      </w:r>
    </w:p>
    <w:p w:rsidR="0040194B" w:rsidP="0040194B" w:rsidRDefault="0040194B"/>
    <w:p w:rsidR="0040194B" w:rsidP="0040194B" w:rsidRDefault="0040194B">
      <w:pPr>
        <w:rPr>
          <w:b/>
        </w:rPr>
      </w:pPr>
      <w:r>
        <w:rPr>
          <w:b/>
        </w:rPr>
        <w:t xml:space="preserve">Kies een ketenbenadering en los vele problemen in samenhang op </w:t>
      </w:r>
    </w:p>
    <w:p w:rsidR="0040194B" w:rsidP="0040194B" w:rsidRDefault="0040194B">
      <w:r>
        <w:t xml:space="preserve">De oorsprong van mest ligt in de productie van veevoer. Het eindpunt is een plant die groeit op een gezonde bodem. Een ketenbenadering bestaat </w:t>
      </w:r>
      <w:proofErr w:type="gramStart"/>
      <w:r>
        <w:t>ten minste</w:t>
      </w:r>
      <w:proofErr w:type="gramEnd"/>
      <w:r>
        <w:t xml:space="preserve"> uit de volgende elementen en voordelen:</w:t>
      </w:r>
    </w:p>
    <w:p w:rsidR="0040194B" w:rsidP="0040194B" w:rsidRDefault="0040194B">
      <w:r>
        <w:t xml:space="preserve">- Een samenstelling van het veevoer gericht op het verlagen van </w:t>
      </w:r>
      <w:r>
        <w:t>nutriënten</w:t>
      </w:r>
      <w:r>
        <w:t>gehaltes in mest en het verlagen van emissies uit mest naar lucht, bodem en water</w:t>
      </w:r>
      <w:r>
        <w:t>;</w:t>
      </w:r>
    </w:p>
    <w:p w:rsidR="0040194B" w:rsidP="0040194B" w:rsidRDefault="0040194B">
      <w:r>
        <w:t>- een stalsysteem waarin mest al aan de bron wordt gescheiden. Dit gaat het ontstaan van ammoniak tegen en geeft zo een beter stalklimaat. Dit is gezonder voor de dieren, de boer en zijn medewerkers en de omgeving</w:t>
      </w:r>
      <w:r>
        <w:t>;</w:t>
      </w:r>
    </w:p>
    <w:p w:rsidR="0040194B" w:rsidP="0040194B" w:rsidRDefault="0040194B">
      <w:r>
        <w:t>- zo spoedig mogelijke bewerking van mest, ten eerste gericht op het tegengaan van emissies (ammoniak, methaan, fijnstof, endotoxine en ziektekiemen) bij zowel opslag als aanwending van mest. En ten tweede gericht op het produceren van meststoffen die aansluiten bij gewas, bodemtype en seizoen. Zo kan dierlijke mest waarde krijgen, wat</w:t>
      </w:r>
      <w:r w:rsidR="00C406B4">
        <w:t xml:space="preserve"> het risico op fraude verkleint;</w:t>
      </w:r>
    </w:p>
    <w:p w:rsidR="0040194B" w:rsidP="0040194B" w:rsidRDefault="0040194B">
      <w:r>
        <w:t>- Kunstmest vervangen door bewerkte dierlijke mest (dusdanig bewerkt dat een gelijke werking heeft voor plant en milieu als kunstmest). Hiermee wordt een forse hoeveelheid energie bespaard die nu wordt gebruikt voor de productie van kunstmest</w:t>
      </w:r>
      <w:r>
        <w:t>.</w:t>
      </w:r>
    </w:p>
    <w:p w:rsidR="0040194B" w:rsidP="0040194B" w:rsidRDefault="0040194B"/>
    <w:p w:rsidR="0040194B" w:rsidP="0040194B" w:rsidRDefault="0040194B">
      <w:pPr>
        <w:rPr>
          <w:b/>
        </w:rPr>
      </w:pPr>
      <w:r>
        <w:rPr>
          <w:b/>
        </w:rPr>
        <w:t xml:space="preserve">Meer effectieve handhaving </w:t>
      </w:r>
    </w:p>
    <w:p w:rsidR="0040194B" w:rsidP="0040194B" w:rsidRDefault="0040194B">
      <w:r>
        <w:t xml:space="preserve">Handhaving moet en kan effectiever. In het kader van de Meststoffenwet zijn veehouderijen verplicht om gegevens te registreren over de afvoer van mest. RVO beheert deze gegevens en NWWA houdt daar toezicht op. Het NVWA en RVO moeten adequater optreden tegen mestfraude. </w:t>
      </w:r>
    </w:p>
    <w:p w:rsidR="0040194B" w:rsidP="0040194B" w:rsidRDefault="0040194B">
      <w:r>
        <w:t>Daarnaast zijn er nu teveel instanties belast met toezicht en handhaving op veehouderijen. Wij wensen een betere samenwerking van NVWA met de regionaal opererende omgevingsdiensten. Daarnaast maakt de ingewikkeldheid van de regelgeving de meststoffenwet fraudegevoelig en moeilijker handhaafbaar. Robuuste regelgeving vermindert dit probleem.</w:t>
      </w:r>
    </w:p>
    <w:p w:rsidR="0040194B" w:rsidP="0040194B" w:rsidRDefault="0040194B">
      <w:pPr>
        <w:rPr>
          <w:b/>
        </w:rPr>
      </w:pPr>
    </w:p>
    <w:p w:rsidR="0040194B" w:rsidP="0040194B" w:rsidRDefault="0040194B">
      <w:pPr>
        <w:rPr>
          <w:b/>
        </w:rPr>
      </w:pPr>
      <w:r>
        <w:rPr>
          <w:b/>
        </w:rPr>
        <w:t>Betere waterkwaliteit en een vitalere bodem</w:t>
      </w:r>
    </w:p>
    <w:p w:rsidR="0040194B" w:rsidP="0040194B" w:rsidRDefault="0040194B">
      <w:r>
        <w:t xml:space="preserve">Een deel van de oplossing voor waterkwaliteitsproblemen ligt in de toepassing van de juiste hoeveelheden mest in de landbouw. We beschouwen water en bodem als een systeem met onderlinge </w:t>
      </w:r>
      <w:proofErr w:type="gramStart"/>
      <w:r>
        <w:t>interactie</w:t>
      </w:r>
      <w:proofErr w:type="gramEnd"/>
      <w:r>
        <w:t xml:space="preserve"> en van groot belang voor een duurzaam en toekomstbestendige fysieke leefomgeving.</w:t>
      </w:r>
    </w:p>
    <w:p w:rsidR="0040194B" w:rsidP="0040194B" w:rsidRDefault="0040194B">
      <w:r>
        <w:t xml:space="preserve">Voor Zuid-Nederland kan (mede op basis van de Evaluatie Meststoffenwet door PBL) worden geconcludeerd dat zelfs het voldoen aan een goede landbouwpraktijk niet voldoende zal zijn om de waterkwaliteitsdoelstellingen te realiseren. Bovendien wordt het realiseren van doelen gefrustreerd door mestfraude; er komen meer meststoffen in het oppervlaktewater dan wenselijk. </w:t>
      </w:r>
    </w:p>
    <w:p w:rsidR="0040194B" w:rsidP="0040194B" w:rsidRDefault="0040194B">
      <w:r>
        <w:t xml:space="preserve">Op dit moment vindt overleg plaats tussen de EU en Nederland met betrekking tot de invulling van het 6e actieprogramma Nitraatrichtlijn. Wij vragen aan het Rijk meer aandacht voor de resultaatsverplichting om uiterlijk in 2027 een goede grond- en oppervlaktewatertoestand te realiseren. </w:t>
      </w:r>
    </w:p>
    <w:p w:rsidR="0040194B" w:rsidP="0040194B" w:rsidRDefault="0040194B">
      <w:r>
        <w:t>Goede maatregelen die opgenomen zouden moeten in het 6e nitraat actieprogramma zijn: het be</w:t>
      </w:r>
      <w:r w:rsidR="00C406B4">
        <w:t xml:space="preserve">vorderen van precisielandbouw; </w:t>
      </w:r>
      <w:r>
        <w:t>het bevorderen van de teelt van v</w:t>
      </w:r>
      <w:r w:rsidR="00C406B4">
        <w:t xml:space="preserve">anggewassen en groenbemesters; </w:t>
      </w:r>
      <w:r>
        <w:t>maatregelen in het kader van de gebruiksnormen fosfaat; verhoging minimumopslagcapaciteit dierlijke mest; bredere bufferstroken langs oppervlaktewater (waar nodig); maatregelen ter verbetering van controle en handhaving rondom.</w:t>
      </w:r>
    </w:p>
    <w:p w:rsidRPr="00C32F60" w:rsidR="00EB08D9" w:rsidP="00971CD2" w:rsidRDefault="000303BF"/>
    <w:sectPr w:rsidRPr="00C32F60" w:rsidR="00EB08D9" w:rsidSect="002C020C">
      <w:headerReference w:type="default" r:id="rId10"/>
      <w:footerReference w:type="default" r:id="rId11"/>
      <w:headerReference w:type="first" r:id="rId12"/>
      <w:pgSz w:w="11906" w:h="16838" w:code="9"/>
      <w:pgMar w:top="2325" w:right="3158" w:bottom="1418" w:left="1588" w:header="567" w:footer="567" w:gutter="0"/>
      <w:pgNumType w:start="1"/>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BF" w:rsidRDefault="000303BF">
      <w:pPr>
        <w:spacing w:line="240" w:lineRule="auto"/>
      </w:pPr>
      <w:r>
        <w:separator/>
      </w:r>
    </w:p>
  </w:endnote>
  <w:endnote w:type="continuationSeparator" w:id="0">
    <w:p w:rsidR="000303BF" w:rsidRDefault="00030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E16917" w:rsidTr="001A4E89">
      <w:trPr>
        <w:cnfStyle w:val="100000000000" w:firstRow="1" w:lastRow="0" w:firstColumn="0" w:lastColumn="0" w:oddVBand="0" w:evenVBand="0" w:oddHBand="0" w:evenHBand="0" w:firstRowFirstColumn="0" w:firstRowLastColumn="0" w:lastRowFirstColumn="0" w:lastRowLastColumn="0"/>
      </w:trPr>
      <w:tc>
        <w:tcPr>
          <w:tcW w:w="1191" w:type="dxa"/>
        </w:tcPr>
        <w:p w:rsidR="001A4E89" w:rsidRPr="00A15EDA" w:rsidRDefault="000303BF" w:rsidP="00E5548B">
          <w:pPr>
            <w:pStyle w:val="Voettekst"/>
            <w:jc w:val="center"/>
            <w:rPr>
              <w:lang w:val="en-US"/>
            </w:rPr>
          </w:pPr>
        </w:p>
      </w:tc>
      <w:tc>
        <w:tcPr>
          <w:tcW w:w="7540" w:type="dxa"/>
        </w:tcPr>
        <w:p w:rsidR="001A4E89" w:rsidRPr="00A15EDA" w:rsidRDefault="000303BF" w:rsidP="00E5548B">
          <w:pPr>
            <w:pStyle w:val="Voettekst"/>
            <w:jc w:val="center"/>
            <w:rPr>
              <w:lang w:val="en-US"/>
            </w:rPr>
          </w:pPr>
        </w:p>
      </w:tc>
      <w:tc>
        <w:tcPr>
          <w:tcW w:w="2381" w:type="dxa"/>
        </w:tcPr>
        <w:p w:rsidR="001A4E89" w:rsidRPr="00A15EDA" w:rsidRDefault="000303BF" w:rsidP="00E5548B">
          <w:pPr>
            <w:pStyle w:val="Voettekst"/>
            <w:jc w:val="center"/>
            <w:rPr>
              <w:lang w:val="en-US"/>
            </w:rPr>
          </w:pPr>
          <w:r w:rsidRPr="00A15EDA">
            <w:rPr>
              <w:rStyle w:val="Paginanummer"/>
            </w:rPr>
            <w:fldChar w:fldCharType="begin"/>
          </w:r>
          <w:r w:rsidRPr="00A15EDA">
            <w:rPr>
              <w:rStyle w:val="Paginanummer"/>
            </w:rPr>
            <w:instrText xml:space="preserve"> PAGE </w:instrText>
          </w:r>
          <w:r w:rsidRPr="00A15EDA">
            <w:rPr>
              <w:rStyle w:val="Paginanummer"/>
            </w:rPr>
            <w:fldChar w:fldCharType="separate"/>
          </w:r>
          <w:r w:rsidR="005E1FBF">
            <w:rPr>
              <w:rStyle w:val="Paginanummer"/>
              <w:noProof/>
            </w:rPr>
            <w:t>2</w:t>
          </w:r>
          <w:r w:rsidRPr="00A15EDA">
            <w:rPr>
              <w:rStyle w:val="Paginanummer"/>
            </w:rPr>
            <w:fldChar w:fldCharType="end"/>
          </w:r>
          <w:r w:rsidRPr="00A15EDA">
            <w:rPr>
              <w:rStyle w:val="Paginanummer"/>
            </w:rPr>
            <w:t>/</w:t>
          </w:r>
          <w:r w:rsidRPr="00A15EDA">
            <w:rPr>
              <w:rStyle w:val="Paginanummer"/>
            </w:rPr>
            <w:fldChar w:fldCharType="begin"/>
          </w:r>
          <w:r w:rsidRPr="00A15EDA">
            <w:rPr>
              <w:rStyle w:val="Paginanummer"/>
            </w:rPr>
            <w:instrText xml:space="preserve"> SECTIONPAGES   \* MERGEFORMAT </w:instrText>
          </w:r>
          <w:r w:rsidRPr="00A15EDA">
            <w:rPr>
              <w:rStyle w:val="Paginanummer"/>
            </w:rPr>
            <w:fldChar w:fldCharType="separate"/>
          </w:r>
          <w:r w:rsidR="005E1FBF">
            <w:rPr>
              <w:rStyle w:val="Paginanummer"/>
              <w:noProof/>
            </w:rPr>
            <w:t>3</w:t>
          </w:r>
          <w:r w:rsidRPr="00A15EDA">
            <w:rPr>
              <w:rStyle w:val="Paginanummer"/>
            </w:rPr>
            <w:fldChar w:fldCharType="end"/>
          </w:r>
        </w:p>
      </w:tc>
    </w:tr>
  </w:tbl>
  <w:p w:rsidR="002B6D72" w:rsidRDefault="000303B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BF" w:rsidRDefault="000303BF">
      <w:pPr>
        <w:spacing w:line="240" w:lineRule="auto"/>
      </w:pPr>
      <w:r>
        <w:separator/>
      </w:r>
    </w:p>
  </w:footnote>
  <w:footnote w:type="continuationSeparator" w:id="0">
    <w:p w:rsidR="000303BF" w:rsidRDefault="000303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E16917" w:rsidTr="001A4E89">
      <w:trPr>
        <w:cnfStyle w:val="100000000000" w:firstRow="1" w:lastRow="0" w:firstColumn="0" w:lastColumn="0" w:oddVBand="0" w:evenVBand="0" w:oddHBand="0" w:evenHBand="0" w:firstRowFirstColumn="0" w:firstRowLastColumn="0" w:lastRowFirstColumn="0" w:lastRowLastColumn="0"/>
      </w:trPr>
      <w:tc>
        <w:tcPr>
          <w:tcW w:w="2835" w:type="dxa"/>
        </w:tcPr>
        <w:p w:rsidR="001A4E89" w:rsidRPr="00B060AD" w:rsidRDefault="000303BF" w:rsidP="00E5548B">
          <w:pPr>
            <w:rPr>
              <w:b/>
            </w:rPr>
          </w:pPr>
          <w:r>
            <w:rPr>
              <w:rFonts w:ascii="Times New Roman" w:hAnsi="Times New Roman"/>
              <w:noProof/>
              <w:sz w:val="24"/>
            </w:rPr>
            <w:drawing>
              <wp:inline distT="0" distB="0" distL="0" distR="0" wp14:anchorId="358689DC" wp14:editId="358689DD">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rsidR="001A4E89" w:rsidRPr="009B0EBC" w:rsidRDefault="000303BF"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E16917" w:rsidTr="00E5548B">
      <w:trPr>
        <w:trHeight w:val="556"/>
      </w:trPr>
      <w:tc>
        <w:tcPr>
          <w:tcW w:w="2390" w:type="dxa"/>
        </w:tcPr>
        <w:p w:rsidR="001A4E89" w:rsidRPr="00764085" w:rsidRDefault="000303BF" w:rsidP="00E5548B">
          <w:pPr>
            <w:pStyle w:val="PNB"/>
            <w:rPr>
              <w:b/>
              <w:sz w:val="14"/>
              <w:szCs w:val="14"/>
            </w:rPr>
          </w:pPr>
          <w:r w:rsidRPr="00764085">
            <w:rPr>
              <w:b/>
              <w:sz w:val="14"/>
              <w:szCs w:val="14"/>
            </w:rPr>
            <w:t>Datum</w:t>
          </w:r>
        </w:p>
        <w:p w:rsidR="001A4E89" w:rsidRPr="00764085" w:rsidRDefault="000303BF" w:rsidP="00E5548B">
          <w:pPr>
            <w:pStyle w:val="PNB"/>
          </w:pPr>
          <w:r>
            <w:t>21 juni 2017</w:t>
          </w:r>
        </w:p>
      </w:tc>
    </w:tr>
    <w:tr w:rsidR="00E16917" w:rsidTr="00E5548B">
      <w:trPr>
        <w:trHeight w:val="556"/>
      </w:trPr>
      <w:tc>
        <w:tcPr>
          <w:tcW w:w="2390" w:type="dxa"/>
        </w:tcPr>
        <w:p w:rsidR="001A4E89" w:rsidRPr="00764085" w:rsidRDefault="000303BF" w:rsidP="00E5548B">
          <w:pPr>
            <w:pStyle w:val="referentiekop"/>
          </w:pPr>
          <w:r w:rsidRPr="00764085">
            <w:t>Ons kenmerk</w:t>
          </w:r>
        </w:p>
        <w:p w:rsidR="001A4E89" w:rsidRPr="0086419B" w:rsidRDefault="000303BF" w:rsidP="001A4E89">
          <w:pPr>
            <w:rPr>
              <w:sz w:val="16"/>
              <w:lang w:val="fr-FR"/>
            </w:rPr>
          </w:pPr>
          <w:r>
            <w:rPr>
              <w:noProof/>
              <w:sz w:val="16"/>
              <w:lang w:val="fr-FR"/>
            </w:rPr>
            <w:t>/</w:t>
          </w:r>
        </w:p>
      </w:tc>
    </w:tr>
  </w:tbl>
  <w:p w:rsidR="002B6D72" w:rsidRDefault="000303BF" w:rsidP="001A4E8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E1691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rsidR="002B6D72" w:rsidRDefault="000303BF" w:rsidP="00E5548B">
          <w:pPr>
            <w:rPr>
              <w:sz w:val="16"/>
            </w:rPr>
          </w:pPr>
          <w:r>
            <w:rPr>
              <w:noProof/>
            </w:rPr>
            <w:drawing>
              <wp:anchor distT="0" distB="0" distL="114300" distR="114300" simplePos="0" relativeHeight="251659264" behindDoc="1" locked="0" layoutInCell="1" allowOverlap="1" wp14:anchorId="358689DE" wp14:editId="358689DF">
                <wp:simplePos x="0" y="0"/>
                <wp:positionH relativeFrom="column">
                  <wp:posOffset>0</wp:posOffset>
                </wp:positionH>
                <wp:positionV relativeFrom="page">
                  <wp:posOffset>0</wp:posOffset>
                </wp:positionV>
                <wp:extent cx="2016125" cy="252095"/>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E16917" w:rsidTr="00E5548B">
      <w:tc>
        <w:tcPr>
          <w:tcW w:w="1191" w:type="dxa"/>
          <w:vMerge w:val="restart"/>
          <w:tcBorders>
            <w:top w:val="nil"/>
            <w:left w:val="nil"/>
            <w:bottom w:val="nil"/>
            <w:right w:val="nil"/>
          </w:tcBorders>
        </w:tcPr>
        <w:p w:rsidR="002B6D72" w:rsidRDefault="000303BF" w:rsidP="00E5548B"/>
      </w:tc>
      <w:tc>
        <w:tcPr>
          <w:tcW w:w="7314" w:type="dxa"/>
          <w:tcBorders>
            <w:top w:val="nil"/>
            <w:left w:val="nil"/>
            <w:bottom w:val="nil"/>
            <w:right w:val="nil"/>
          </w:tcBorders>
        </w:tcPr>
        <w:p w:rsidR="002B6D72" w:rsidRDefault="000303BF" w:rsidP="00E5548B"/>
      </w:tc>
    </w:tr>
    <w:tr w:rsidR="00E16917" w:rsidTr="00E5548B">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hideMark/>
        </w:tcPr>
        <w:p w:rsidR="002B6D72" w:rsidRDefault="000303BF" w:rsidP="00E5548B">
          <w:pPr>
            <w:rPr>
              <w:b/>
              <w:szCs w:val="20"/>
            </w:rPr>
          </w:pPr>
        </w:p>
      </w:tc>
    </w:tr>
    <w:tr w:rsidR="00E16917" w:rsidTr="00E5548B">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tcPr>
        <w:p w:rsidR="002B6D72" w:rsidRDefault="000303BF" w:rsidP="00E5548B"/>
      </w:tc>
    </w:tr>
    <w:tr w:rsidR="00E16917" w:rsidTr="00E5548B">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tcPr>
        <w:p w:rsidR="002B6D72" w:rsidRDefault="000303BF" w:rsidP="00E5548B"/>
      </w:tc>
    </w:tr>
    <w:tr w:rsidR="00E16917" w:rsidTr="00E5548B">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tcPr>
        <w:p w:rsidR="002B6D72" w:rsidRDefault="000303BF" w:rsidP="00E5548B"/>
      </w:tc>
    </w:tr>
    <w:tr w:rsidR="00E16917" w:rsidTr="00E5548B">
      <w:tc>
        <w:tcPr>
          <w:tcW w:w="8505" w:type="dxa"/>
          <w:vMerge/>
          <w:tcBorders>
            <w:top w:val="nil"/>
            <w:left w:val="nil"/>
            <w:bottom w:val="nil"/>
            <w:right w:val="nil"/>
          </w:tcBorders>
          <w:vAlign w:val="center"/>
        </w:tcPr>
        <w:p w:rsidR="00C220AC" w:rsidRDefault="000303BF" w:rsidP="00E5548B">
          <w:pPr>
            <w:spacing w:line="240" w:lineRule="auto"/>
          </w:pPr>
        </w:p>
      </w:tc>
      <w:tc>
        <w:tcPr>
          <w:tcW w:w="7314" w:type="dxa"/>
          <w:tcBorders>
            <w:top w:val="nil"/>
            <w:left w:val="nil"/>
            <w:bottom w:val="nil"/>
            <w:right w:val="nil"/>
          </w:tcBorders>
        </w:tcPr>
        <w:p w:rsidR="00180575" w:rsidRPr="00CB7226" w:rsidRDefault="00180575" w:rsidP="00180575"/>
        <w:p w:rsidR="00180575" w:rsidRDefault="00180575" w:rsidP="00180575">
          <w:r w:rsidRPr="00CB7226">
            <w:t>Tweede Kamer der Staten-Generaal</w:t>
          </w:r>
        </w:p>
        <w:p w:rsidR="00180575" w:rsidRPr="00CB7226" w:rsidRDefault="00180575" w:rsidP="00180575">
          <w:proofErr w:type="spellStart"/>
          <w:r w:rsidRPr="00CB7226">
            <w:t>Tav</w:t>
          </w:r>
          <w:proofErr w:type="spellEnd"/>
          <w:r w:rsidRPr="00CB7226">
            <w:t xml:space="preserve"> de vaste commissie voor Economische Zaken </w:t>
          </w:r>
        </w:p>
        <w:p w:rsidR="00C220AC" w:rsidRDefault="000303BF" w:rsidP="00E5548B"/>
      </w:tc>
    </w:tr>
    <w:tr w:rsidR="00E16917" w:rsidTr="00E5548B">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hideMark/>
        </w:tcPr>
        <w:p w:rsidR="002B6D72" w:rsidRDefault="000303BF" w:rsidP="00E5548B">
          <w:pPr>
            <w:rPr>
              <w:b/>
            </w:rPr>
          </w:pPr>
        </w:p>
      </w:tc>
    </w:tr>
    <w:tr w:rsidR="00E16917" w:rsidTr="00E5548B">
      <w:trPr>
        <w:trHeight w:val="284"/>
      </w:trPr>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vMerge w:val="restart"/>
          <w:tcBorders>
            <w:top w:val="nil"/>
            <w:left w:val="nil"/>
            <w:bottom w:val="nil"/>
            <w:right w:val="nil"/>
          </w:tcBorders>
        </w:tcPr>
        <w:p w:rsidR="002B6D72" w:rsidRDefault="000303BF" w:rsidP="00E5548B"/>
      </w:tc>
    </w:tr>
    <w:tr w:rsidR="00E16917" w:rsidTr="00E5548B">
      <w:trPr>
        <w:trHeight w:val="283"/>
      </w:trPr>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vMerge/>
          <w:tcBorders>
            <w:top w:val="nil"/>
            <w:left w:val="nil"/>
            <w:bottom w:val="nil"/>
            <w:right w:val="nil"/>
          </w:tcBorders>
          <w:vAlign w:val="center"/>
          <w:hideMark/>
        </w:tcPr>
        <w:p w:rsidR="002B6D72" w:rsidRDefault="000303BF" w:rsidP="00E5548B">
          <w:pPr>
            <w:spacing w:line="240" w:lineRule="auto"/>
          </w:pPr>
        </w:p>
      </w:tc>
    </w:tr>
    <w:tr w:rsidR="00E16917" w:rsidTr="00E5548B">
      <w:trPr>
        <w:trHeight w:val="427"/>
      </w:trPr>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vMerge/>
          <w:tcBorders>
            <w:top w:val="nil"/>
            <w:left w:val="nil"/>
            <w:bottom w:val="nil"/>
            <w:right w:val="nil"/>
          </w:tcBorders>
          <w:vAlign w:val="center"/>
          <w:hideMark/>
        </w:tcPr>
        <w:p w:rsidR="002B6D72" w:rsidRDefault="000303BF" w:rsidP="00E5548B">
          <w:pPr>
            <w:spacing w:line="240" w:lineRule="auto"/>
          </w:pPr>
        </w:p>
      </w:tc>
    </w:tr>
    <w:tr w:rsidR="00E16917" w:rsidTr="00E5548B">
      <w:trPr>
        <w:trHeight w:val="1666"/>
      </w:trPr>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vMerge/>
          <w:tcBorders>
            <w:top w:val="nil"/>
            <w:left w:val="nil"/>
            <w:bottom w:val="nil"/>
            <w:right w:val="nil"/>
          </w:tcBorders>
          <w:vAlign w:val="center"/>
          <w:hideMark/>
        </w:tcPr>
        <w:p w:rsidR="002B6D72" w:rsidRDefault="000303BF" w:rsidP="00E5548B">
          <w:pPr>
            <w:spacing w:line="240" w:lineRule="auto"/>
          </w:pPr>
        </w:p>
      </w:tc>
    </w:tr>
    <w:tr w:rsidR="00E16917" w:rsidTr="00E5548B">
      <w:trPr>
        <w:trHeight w:val="1496"/>
      </w:trPr>
      <w:tc>
        <w:tcPr>
          <w:tcW w:w="8505" w:type="dxa"/>
          <w:vMerge/>
          <w:tcBorders>
            <w:top w:val="nil"/>
            <w:left w:val="nil"/>
            <w:bottom w:val="nil"/>
            <w:right w:val="nil"/>
          </w:tcBorders>
          <w:vAlign w:val="center"/>
          <w:hideMark/>
        </w:tcPr>
        <w:p w:rsidR="002B6D72" w:rsidRDefault="000303BF" w:rsidP="00E5548B">
          <w:pPr>
            <w:spacing w:line="240" w:lineRule="auto"/>
          </w:pPr>
        </w:p>
      </w:tc>
      <w:tc>
        <w:tcPr>
          <w:tcW w:w="7314" w:type="dxa"/>
          <w:tcBorders>
            <w:top w:val="nil"/>
            <w:left w:val="nil"/>
            <w:bottom w:val="nil"/>
            <w:right w:val="nil"/>
          </w:tcBorders>
          <w:hideMark/>
        </w:tcPr>
        <w:p w:rsidR="002B6D72" w:rsidRPr="00A95CB3" w:rsidRDefault="000303BF" w:rsidP="0048562C">
          <w:pPr>
            <w:rPr>
              <w:szCs w:val="20"/>
            </w:rPr>
          </w:pPr>
          <w:r w:rsidRPr="00825B99">
            <w:rPr>
              <w:b/>
              <w:sz w:val="14"/>
              <w:szCs w:val="14"/>
              <w:lang w:val="en-US"/>
            </w:rPr>
            <w:t>Onderwerp</w:t>
          </w:r>
        </w:p>
        <w:p w:rsidR="005B6DFC" w:rsidRPr="005B6DFC" w:rsidRDefault="000303BF" w:rsidP="00C32F60">
          <w:pPr>
            <w:rPr>
              <w:lang w:val="en-US"/>
            </w:rPr>
          </w:pPr>
          <w:r>
            <w:rPr>
              <w:lang w:val="en-US"/>
            </w:rPr>
            <w:t xml:space="preserve">Rondetafelgesprek mestfraude op 22 juni </w:t>
          </w:r>
        </w:p>
        <w:p w:rsidR="00A95CB3" w:rsidRDefault="000303BF" w:rsidP="0048562C"/>
        <w:p w:rsidR="002B6D72" w:rsidRDefault="000303BF" w:rsidP="0048562C"/>
        <w:p w:rsidR="009C3906" w:rsidRDefault="000303BF" w:rsidP="0048562C"/>
        <w:p w:rsidR="002B6D72" w:rsidRDefault="000303BF" w:rsidP="0048562C"/>
        <w:p w:rsidR="000C45E5" w:rsidRDefault="000303BF"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E16917" w:rsidTr="00F22A8A">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rsidR="002B6D72" w:rsidRPr="00C914C4" w:rsidRDefault="000303BF" w:rsidP="00E5548B">
          <w:pPr>
            <w:rPr>
              <w:b/>
              <w:sz w:val="16"/>
              <w:szCs w:val="16"/>
            </w:rPr>
          </w:pPr>
          <w:r w:rsidRPr="00C914C4">
            <w:rPr>
              <w:sz w:val="16"/>
              <w:szCs w:val="16"/>
            </w:rPr>
            <w:t>Brabantlaan 1</w:t>
          </w:r>
        </w:p>
        <w:p w:rsidR="002B6D72" w:rsidRPr="00C914C4" w:rsidRDefault="000303BF" w:rsidP="00E5548B">
          <w:pPr>
            <w:rPr>
              <w:b/>
              <w:sz w:val="16"/>
              <w:szCs w:val="16"/>
            </w:rPr>
          </w:pPr>
          <w:r w:rsidRPr="00C914C4">
            <w:rPr>
              <w:sz w:val="16"/>
              <w:szCs w:val="16"/>
            </w:rPr>
            <w:t>Postbus 90151</w:t>
          </w:r>
        </w:p>
        <w:p w:rsidR="002B6D72" w:rsidRPr="00C914C4" w:rsidRDefault="000303BF" w:rsidP="00E5548B">
          <w:pPr>
            <w:rPr>
              <w:b/>
              <w:sz w:val="16"/>
              <w:szCs w:val="16"/>
            </w:rPr>
          </w:pPr>
          <w:r w:rsidRPr="00C914C4">
            <w:rPr>
              <w:sz w:val="16"/>
              <w:szCs w:val="16"/>
            </w:rPr>
            <w:t>5200 MC ’s-Hertogenbosch</w:t>
          </w:r>
        </w:p>
        <w:p w:rsidR="002B6D72" w:rsidRPr="00C914C4" w:rsidRDefault="000303BF" w:rsidP="00E5548B">
          <w:pPr>
            <w:rPr>
              <w:b/>
              <w:sz w:val="16"/>
              <w:szCs w:val="16"/>
            </w:rPr>
          </w:pPr>
          <w:r w:rsidRPr="00C914C4">
            <w:rPr>
              <w:sz w:val="16"/>
              <w:szCs w:val="16"/>
            </w:rPr>
            <w:t>Telefoon (073) 681 28 12</w:t>
          </w:r>
        </w:p>
        <w:p w:rsidR="002B6D72" w:rsidRPr="00180575" w:rsidRDefault="000303BF" w:rsidP="00E5548B">
          <w:pPr>
            <w:rPr>
              <w:b/>
              <w:sz w:val="16"/>
              <w:szCs w:val="16"/>
            </w:rPr>
          </w:pPr>
          <w:r w:rsidRPr="00180575">
            <w:rPr>
              <w:sz w:val="16"/>
              <w:szCs w:val="16"/>
            </w:rPr>
            <w:t>Fax (073) 614 11 15</w:t>
          </w:r>
        </w:p>
        <w:p w:rsidR="002B6D72" w:rsidRPr="00180575" w:rsidRDefault="000303BF" w:rsidP="00E5548B">
          <w:pPr>
            <w:rPr>
              <w:b/>
              <w:sz w:val="16"/>
              <w:szCs w:val="16"/>
            </w:rPr>
          </w:pPr>
          <w:r w:rsidRPr="00180575">
            <w:rPr>
              <w:sz w:val="16"/>
              <w:szCs w:val="16"/>
            </w:rPr>
            <w:t>www.</w:t>
          </w:r>
          <w:proofErr w:type="gramStart"/>
          <w:r w:rsidRPr="00180575">
            <w:rPr>
              <w:sz w:val="16"/>
              <w:szCs w:val="16"/>
            </w:rPr>
            <w:t>brabant</w:t>
          </w:r>
          <w:proofErr w:type="gramEnd"/>
          <w:r w:rsidRPr="00180575">
            <w:rPr>
              <w:sz w:val="16"/>
              <w:szCs w:val="16"/>
            </w:rPr>
            <w:t>.nl</w:t>
          </w:r>
        </w:p>
        <w:p w:rsidR="002B6D72" w:rsidRDefault="000303BF" w:rsidP="00E5548B">
          <w:pPr>
            <w:rPr>
              <w:sz w:val="16"/>
              <w:szCs w:val="16"/>
            </w:rPr>
          </w:pPr>
          <w:r w:rsidRPr="00C914C4">
            <w:rPr>
              <w:sz w:val="16"/>
              <w:szCs w:val="16"/>
            </w:rPr>
            <w:t xml:space="preserve">IBAN </w:t>
          </w:r>
          <w:r w:rsidRPr="00C914C4">
            <w:rPr>
              <w:sz w:val="16"/>
              <w:szCs w:val="16"/>
            </w:rPr>
            <w:t>NL86INGB0674560043</w:t>
          </w:r>
        </w:p>
        <w:p w:rsidR="00F22A8A" w:rsidRDefault="000303BF" w:rsidP="00E5548B">
          <w:pPr>
            <w:rPr>
              <w:sz w:val="16"/>
              <w:szCs w:val="16"/>
            </w:rPr>
          </w:pPr>
        </w:p>
        <w:p w:rsidR="00F22A8A" w:rsidRDefault="000303BF" w:rsidP="00E5548B">
          <w:pPr>
            <w:rPr>
              <w:sz w:val="16"/>
              <w:szCs w:val="16"/>
            </w:rPr>
          </w:pPr>
        </w:p>
        <w:p w:rsidR="00710EE9" w:rsidRPr="00710EE9" w:rsidRDefault="000303BF" w:rsidP="00710EE9">
          <w:pPr>
            <w:rPr>
              <w:sz w:val="16"/>
            </w:rPr>
          </w:pPr>
          <w:r w:rsidRPr="00710EE9">
            <w:rPr>
              <w:sz w:val="16"/>
            </w:rPr>
            <w:t>Bereikbaarheid</w:t>
          </w:r>
        </w:p>
        <w:p w:rsidR="00710EE9" w:rsidRPr="00710EE9" w:rsidRDefault="000303BF" w:rsidP="00710EE9">
          <w:pPr>
            <w:rPr>
              <w:sz w:val="16"/>
            </w:rPr>
          </w:pPr>
          <w:r w:rsidRPr="00710EE9">
            <w:rPr>
              <w:sz w:val="16"/>
            </w:rPr>
            <w:t>openbaar vervoer en fiets:</w:t>
          </w:r>
        </w:p>
        <w:p w:rsidR="00F22A8A" w:rsidRPr="00F22A8A" w:rsidRDefault="000303BF" w:rsidP="00710EE9">
          <w:pPr>
            <w:rPr>
              <w:sz w:val="16"/>
              <w:szCs w:val="16"/>
            </w:rPr>
          </w:pPr>
          <w:r w:rsidRPr="00710EE9">
            <w:rPr>
              <w:sz w:val="16"/>
            </w:rPr>
            <w:t>www.brabant.nl/route</w:t>
          </w:r>
        </w:p>
      </w:tc>
    </w:tr>
    <w:tr w:rsidR="00E16917" w:rsidTr="00206F99">
      <w:tc>
        <w:tcPr>
          <w:tcW w:w="2625" w:type="dxa"/>
          <w:hideMark/>
        </w:tcPr>
        <w:p w:rsidR="002B6D72" w:rsidRDefault="000303BF" w:rsidP="00E5548B">
          <w:pPr>
            <w:rPr>
              <w:sz w:val="16"/>
            </w:rPr>
          </w:pPr>
          <w:r>
            <w:rPr>
              <w:b/>
              <w:sz w:val="14"/>
            </w:rPr>
            <w:t>Datum</w:t>
          </w:r>
        </w:p>
      </w:tc>
    </w:tr>
    <w:tr w:rsidR="00E16917" w:rsidTr="00206F99">
      <w:tc>
        <w:tcPr>
          <w:tcW w:w="2625" w:type="dxa"/>
          <w:hideMark/>
        </w:tcPr>
        <w:p w:rsidR="002B6D72" w:rsidRDefault="000303BF" w:rsidP="00E5548B">
          <w:pPr>
            <w:rPr>
              <w:sz w:val="16"/>
            </w:rPr>
          </w:pPr>
          <w:r>
            <w:rPr>
              <w:sz w:val="16"/>
            </w:rPr>
            <w:t>21 juni 2017</w:t>
          </w:r>
        </w:p>
      </w:tc>
    </w:tr>
    <w:tr w:rsidR="00E16917" w:rsidTr="00206F99">
      <w:tc>
        <w:tcPr>
          <w:tcW w:w="2625" w:type="dxa"/>
          <w:hideMark/>
        </w:tcPr>
        <w:p w:rsidR="002B6D72" w:rsidRDefault="000303BF" w:rsidP="00E5548B">
          <w:pPr>
            <w:rPr>
              <w:b/>
              <w:sz w:val="16"/>
            </w:rPr>
          </w:pPr>
          <w:r>
            <w:rPr>
              <w:b/>
              <w:sz w:val="14"/>
            </w:rPr>
            <w:t>Ons kenmerk</w:t>
          </w:r>
        </w:p>
      </w:tc>
    </w:tr>
    <w:tr w:rsidR="00E16917" w:rsidTr="00206F99">
      <w:tc>
        <w:tcPr>
          <w:tcW w:w="2625" w:type="dxa"/>
          <w:hideMark/>
        </w:tcPr>
        <w:p w:rsidR="002B6D72" w:rsidRDefault="000303BF" w:rsidP="00E5548B">
          <w:pPr>
            <w:rPr>
              <w:sz w:val="16"/>
            </w:rPr>
          </w:pPr>
          <w:r>
            <w:rPr>
              <w:sz w:val="16"/>
            </w:rPr>
            <w:t>/</w:t>
          </w:r>
          <w:r>
            <w:rPr>
              <w:rFonts w:ascii="Times New Roman" w:hAnsi="Times New Roman"/>
              <w:sz w:val="24"/>
            </w:rPr>
            <w:t xml:space="preserve"> </w:t>
          </w:r>
        </w:p>
      </w:tc>
    </w:tr>
    <w:tr w:rsidR="00E16917" w:rsidTr="00206F99">
      <w:tc>
        <w:tcPr>
          <w:tcW w:w="2625" w:type="dxa"/>
          <w:hideMark/>
        </w:tcPr>
        <w:p w:rsidR="002B6D72" w:rsidRDefault="000303BF" w:rsidP="00E5548B">
          <w:pPr>
            <w:rPr>
              <w:b/>
              <w:sz w:val="16"/>
              <w:szCs w:val="16"/>
            </w:rPr>
          </w:pPr>
          <w:r>
            <w:rPr>
              <w:b/>
              <w:sz w:val="14"/>
              <w:szCs w:val="16"/>
            </w:rPr>
            <w:t>Uw kenmerk</w:t>
          </w:r>
        </w:p>
      </w:tc>
    </w:tr>
    <w:tr w:rsidR="00E16917" w:rsidTr="00206F99">
      <w:tc>
        <w:tcPr>
          <w:tcW w:w="2625" w:type="dxa"/>
          <w:hideMark/>
        </w:tcPr>
        <w:p w:rsidR="002B6D72" w:rsidRDefault="000303BF" w:rsidP="00E5548B">
          <w:pPr>
            <w:rPr>
              <w:sz w:val="16"/>
              <w:szCs w:val="16"/>
            </w:rPr>
          </w:pPr>
        </w:p>
      </w:tc>
    </w:tr>
    <w:tr w:rsidR="00E16917" w:rsidTr="00206F99">
      <w:tc>
        <w:tcPr>
          <w:tcW w:w="2625" w:type="dxa"/>
        </w:tcPr>
        <w:tbl>
          <w:tblPr>
            <w:tblW w:w="0" w:type="auto"/>
            <w:tblLayout w:type="fixed"/>
            <w:tblCellMar>
              <w:left w:w="0" w:type="dxa"/>
              <w:right w:w="0" w:type="dxa"/>
            </w:tblCellMar>
            <w:tblLook w:val="04A0" w:firstRow="1" w:lastRow="0" w:firstColumn="1" w:lastColumn="0" w:noHBand="0" w:noVBand="1"/>
          </w:tblPr>
          <w:tblGrid>
            <w:gridCol w:w="2552"/>
          </w:tblGrid>
          <w:tr w:rsidR="00E16917" w:rsidTr="00220BB4">
            <w:tc>
              <w:tcPr>
                <w:tcW w:w="2552" w:type="dxa"/>
              </w:tcPr>
              <w:p w:rsidR="0026628F" w:rsidRDefault="000303BF" w:rsidP="00220BB4">
                <w:pPr>
                  <w:framePr w:hSpace="142" w:wrap="around" w:vAnchor="page" w:hAnchor="page" w:x="9073" w:y="1248"/>
                  <w:spacing w:line="284" w:lineRule="exact"/>
                  <w:rPr>
                    <w:b/>
                    <w:sz w:val="14"/>
                  </w:rPr>
                </w:pPr>
                <w:r>
                  <w:rPr>
                    <w:b/>
                    <w:sz w:val="14"/>
                  </w:rPr>
                  <w:t>Contactpersoon</w:t>
                </w:r>
              </w:p>
            </w:tc>
          </w:tr>
          <w:tr w:rsidR="00E16917" w:rsidRPr="00180575" w:rsidTr="00220BB4">
            <w:tc>
              <w:tcPr>
                <w:tcW w:w="2552" w:type="dxa"/>
                <w:hideMark/>
              </w:tcPr>
              <w:p w:rsidR="0026628F" w:rsidRPr="00180575" w:rsidRDefault="000303BF" w:rsidP="00A63C83">
                <w:pPr>
                  <w:framePr w:hSpace="142" w:wrap="around" w:vAnchor="page" w:hAnchor="page" w:x="9073" w:y="1248"/>
                  <w:rPr>
                    <w:sz w:val="16"/>
                    <w:lang w:val="de-DE"/>
                  </w:rPr>
                </w:pPr>
              </w:p>
            </w:tc>
          </w:tr>
          <w:tr w:rsidR="00E16917" w:rsidTr="00220BB4">
            <w:tc>
              <w:tcPr>
                <w:tcW w:w="2552" w:type="dxa"/>
              </w:tcPr>
              <w:p w:rsidR="0026628F" w:rsidRDefault="000303BF" w:rsidP="0026628F">
                <w:pPr>
                  <w:framePr w:hSpace="142" w:wrap="around" w:vAnchor="page" w:hAnchor="page" w:x="9073" w:y="1248"/>
                  <w:spacing w:line="284" w:lineRule="exact"/>
                  <w:rPr>
                    <w:b/>
                    <w:sz w:val="14"/>
                  </w:rPr>
                </w:pPr>
                <w:r>
                  <w:rPr>
                    <w:b/>
                    <w:sz w:val="14"/>
                  </w:rPr>
                  <w:t>Telefoon</w:t>
                </w:r>
              </w:p>
            </w:tc>
          </w:tr>
          <w:tr w:rsidR="00E16917" w:rsidTr="0026628F">
            <w:tc>
              <w:tcPr>
                <w:tcW w:w="2552" w:type="dxa"/>
              </w:tcPr>
              <w:p w:rsidR="0026628F" w:rsidRPr="00A63C83" w:rsidRDefault="000303BF" w:rsidP="00A63C83">
                <w:pPr>
                  <w:framePr w:hSpace="142" w:wrap="around" w:vAnchor="page" w:hAnchor="page" w:x="9073" w:y="1248"/>
                  <w:rPr>
                    <w:sz w:val="16"/>
                    <w:szCs w:val="16"/>
                  </w:rPr>
                </w:pPr>
              </w:p>
            </w:tc>
          </w:tr>
          <w:tr w:rsidR="00E16917" w:rsidTr="00220BB4">
            <w:tc>
              <w:tcPr>
                <w:tcW w:w="2552" w:type="dxa"/>
              </w:tcPr>
              <w:p w:rsidR="0026628F" w:rsidRPr="00782EAE" w:rsidRDefault="000303BF" w:rsidP="0026628F">
                <w:pPr>
                  <w:framePr w:hSpace="142" w:wrap="around" w:vAnchor="page" w:hAnchor="page" w:x="9073" w:y="1248"/>
                  <w:spacing w:line="284" w:lineRule="exact"/>
                  <w:rPr>
                    <w:noProof/>
                    <w:sz w:val="16"/>
                    <w:szCs w:val="16"/>
                  </w:rPr>
                </w:pPr>
                <w:r>
                  <w:rPr>
                    <w:b/>
                    <w:sz w:val="14"/>
                  </w:rPr>
                  <w:t>Email</w:t>
                </w:r>
              </w:p>
            </w:tc>
          </w:tr>
          <w:tr w:rsidR="00E16917" w:rsidTr="00220BB4">
            <w:tc>
              <w:tcPr>
                <w:tcW w:w="2552" w:type="dxa"/>
              </w:tcPr>
              <w:p w:rsidR="0026628F" w:rsidRDefault="00180575" w:rsidP="00A63C83">
                <w:pPr>
                  <w:framePr w:hSpace="142" w:wrap="around" w:vAnchor="page" w:hAnchor="page" w:x="9073" w:y="1248"/>
                  <w:spacing w:line="284" w:lineRule="exact"/>
                  <w:rPr>
                    <w:sz w:val="16"/>
                  </w:rPr>
                </w:pPr>
                <w:hyperlink r:id="rId2" w:history="1">
                  <w:r w:rsidRPr="005D7FBA">
                    <w:rPr>
                      <w:rStyle w:val="Hyperlink"/>
                      <w:sz w:val="16"/>
                    </w:rPr>
                    <w:t>Mvberg5@brabant.nl</w:t>
                  </w:r>
                </w:hyperlink>
              </w:p>
              <w:p w:rsidR="00180575" w:rsidRPr="00A63C83" w:rsidRDefault="00180575" w:rsidP="00A63C83">
                <w:pPr>
                  <w:framePr w:hSpace="142" w:wrap="around" w:vAnchor="page" w:hAnchor="page" w:x="9073" w:y="1248"/>
                  <w:spacing w:line="284" w:lineRule="exact"/>
                  <w:rPr>
                    <w:sz w:val="16"/>
                  </w:rPr>
                </w:pPr>
              </w:p>
            </w:tc>
          </w:tr>
        </w:tbl>
        <w:p w:rsidR="00E16917" w:rsidRDefault="00E16917"/>
      </w:tc>
    </w:tr>
    <w:tr w:rsidR="00E16917" w:rsidTr="00206F99">
      <w:tc>
        <w:tcPr>
          <w:tcW w:w="2625" w:type="dxa"/>
        </w:tcPr>
        <w:p w:rsidR="002B6D72" w:rsidRPr="008F14CA" w:rsidRDefault="000303BF" w:rsidP="00E5548B">
          <w:pPr>
            <w:rPr>
              <w:b/>
              <w:sz w:val="14"/>
              <w:szCs w:val="16"/>
            </w:rPr>
          </w:pPr>
          <w:r w:rsidRPr="008F14CA">
            <w:rPr>
              <w:b/>
              <w:sz w:val="14"/>
              <w:szCs w:val="16"/>
            </w:rPr>
            <w:t>Bijlage(n)</w:t>
          </w:r>
        </w:p>
      </w:tc>
    </w:tr>
    <w:tr w:rsidR="00E16917" w:rsidTr="00206F99">
      <w:tc>
        <w:tcPr>
          <w:tcW w:w="2625" w:type="dxa"/>
        </w:tcPr>
        <w:p w:rsidR="002B6D72" w:rsidRPr="008F14CA" w:rsidRDefault="000303BF" w:rsidP="00E5548B">
          <w:pPr>
            <w:rPr>
              <w:sz w:val="16"/>
              <w:szCs w:val="16"/>
            </w:rPr>
          </w:pPr>
          <w:r w:rsidRPr="006A00ED">
            <w:rPr>
              <w:sz w:val="16"/>
            </w:rPr>
            <w:t>-</w:t>
          </w:r>
        </w:p>
      </w:tc>
    </w:tr>
  </w:tbl>
  <w:p w:rsidR="002B6D72" w:rsidRDefault="000303BF" w:rsidP="002B6D72">
    <w:pPr>
      <w:pStyle w:val="Koptekst"/>
    </w:pPr>
  </w:p>
  <w:p w:rsidR="002B6D72" w:rsidRDefault="000303BF" w:rsidP="002B6D72">
    <w:pPr>
      <w:pStyle w:val="Koptekst"/>
    </w:pPr>
  </w:p>
  <w:p w:rsidR="002B6D72" w:rsidRDefault="000303BF" w:rsidP="002B6D72">
    <w:pPr>
      <w:pStyle w:val="Koptekst"/>
    </w:pPr>
  </w:p>
  <w:p w:rsidR="00E2757A" w:rsidRDefault="000303B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901E99"/>
    <w:multiLevelType w:val="multilevel"/>
    <w:tmpl w:val="3932B52E"/>
    <w:numStyleLink w:val="PNB123-lijst"/>
  </w:abstractNum>
  <w:abstractNum w:abstractNumId="18">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2B04D7"/>
    <w:multiLevelType w:val="multilevel"/>
    <w:tmpl w:val="FC04E50C"/>
    <w:numStyleLink w:val="PNBabclijst"/>
  </w:abstractNum>
  <w:abstractNum w:abstractNumId="21">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890829"/>
    <w:multiLevelType w:val="multilevel"/>
    <w:tmpl w:val="3932B52E"/>
    <w:numStyleLink w:val="PNB123-lijst"/>
  </w:abstractNum>
  <w:abstractNum w:abstractNumId="25">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BE64200"/>
    <w:multiLevelType w:val="multilevel"/>
    <w:tmpl w:val="FC04E50C"/>
    <w:numStyleLink w:val="PNBabclijst"/>
  </w:abstractNum>
  <w:abstractNum w:abstractNumId="27">
    <w:nsid w:val="74215C1E"/>
    <w:multiLevelType w:val="multilevel"/>
    <w:tmpl w:val="4DC4AD46"/>
    <w:numStyleLink w:val="1ai"/>
  </w:abstractNum>
  <w:abstractNum w:abstractNumId="28">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17"/>
    <w:rsid w:val="000303BF"/>
    <w:rsid w:val="001332B6"/>
    <w:rsid w:val="00180575"/>
    <w:rsid w:val="002C19D4"/>
    <w:rsid w:val="0040194B"/>
    <w:rsid w:val="004F53CE"/>
    <w:rsid w:val="005E1FBF"/>
    <w:rsid w:val="00723FAA"/>
    <w:rsid w:val="00A1724D"/>
    <w:rsid w:val="00C406B4"/>
    <w:rsid w:val="00E16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A15EDA"/>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A15EDA"/>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www.brabant.nl/dossiers/dossiers-op-thema/platteland/agrofood-in-brabant/sneller-naar-een-zorgvuldige-veehouderij.aspx"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Mvberg5@brabant.nl" TargetMode="External"/><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826</ap:Words>
  <ap:Characters>4548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2017-06-21T13:51:00.0000000Z</lastPrinted>
  <dcterms:created xsi:type="dcterms:W3CDTF">2017-06-21T13:50:00.0000000Z</dcterms:created>
  <dcterms:modified xsi:type="dcterms:W3CDTF">2017-06-21T14:03:00.0000000Z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0x0101001A2843907B85C44DAB2B621CC1EF789F</vt:lpwstr>
  </property>
</Properties>
</file>